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DCB42">
      <w:pPr>
        <w:pStyle w:val="7"/>
        <w:jc w:val="center"/>
        <w:outlineLvl w:val="0"/>
        <w:rPr>
          <w:highlight w:val="none"/>
        </w:rPr>
      </w:pPr>
      <w:r>
        <w:rPr>
          <w:b/>
          <w:sz w:val="36"/>
          <w:highlight w:val="none"/>
        </w:rPr>
        <w:t>拟签订采购合同文本</w:t>
      </w:r>
    </w:p>
    <w:p w14:paraId="0C65D62F">
      <w:pPr>
        <w:jc w:val="center"/>
        <w:rPr>
          <w:rFonts w:hAnsi="宋体" w:cs="楷体"/>
          <w:b/>
          <w:bCs/>
          <w:sz w:val="52"/>
          <w:szCs w:val="52"/>
          <w:highlight w:val="none"/>
        </w:rPr>
      </w:pPr>
      <w:r>
        <w:rPr>
          <w:rFonts w:hint="eastAsia" w:hAnsi="宋体" w:cs="楷体"/>
          <w:b/>
          <w:bCs/>
          <w:sz w:val="52"/>
          <w:szCs w:val="52"/>
          <w:highlight w:val="none"/>
          <w:lang w:val="en-US" w:eastAsia="zh-CN"/>
        </w:rPr>
        <w:t>沉浸式虚实互动急救虚拟仿真实训室建设项目</w:t>
      </w:r>
    </w:p>
    <w:p w14:paraId="1081536C">
      <w:pPr>
        <w:jc w:val="center"/>
        <w:rPr>
          <w:rFonts w:hAnsi="宋体" w:cs="楷体"/>
          <w:b/>
          <w:bCs/>
          <w:sz w:val="52"/>
          <w:szCs w:val="52"/>
          <w:highlight w:val="none"/>
        </w:rPr>
      </w:pPr>
    </w:p>
    <w:p w14:paraId="6268F7A0">
      <w:pPr>
        <w:jc w:val="center"/>
        <w:rPr>
          <w:rFonts w:hAnsi="宋体" w:cs="楷体"/>
          <w:b/>
          <w:bCs/>
          <w:sz w:val="72"/>
          <w:szCs w:val="72"/>
          <w:highlight w:val="none"/>
        </w:rPr>
      </w:pPr>
      <w:r>
        <w:rPr>
          <w:rFonts w:hint="eastAsia" w:hAnsi="宋体" w:cs="楷体"/>
          <w:b/>
          <w:bCs/>
          <w:sz w:val="52"/>
          <w:szCs w:val="52"/>
          <w:highlight w:val="none"/>
        </w:rPr>
        <w:t>合同书</w:t>
      </w:r>
    </w:p>
    <w:p w14:paraId="1F2FBED7">
      <w:pPr>
        <w:jc w:val="center"/>
        <w:rPr>
          <w:rFonts w:hAnsi="宋体" w:cs="楷体"/>
          <w:sz w:val="44"/>
          <w:szCs w:val="44"/>
          <w:highlight w:val="none"/>
        </w:rPr>
      </w:pPr>
    </w:p>
    <w:p w14:paraId="6659079F">
      <w:pPr>
        <w:jc w:val="center"/>
        <w:rPr>
          <w:rFonts w:hAnsi="宋体" w:cs="楷体"/>
          <w:sz w:val="44"/>
          <w:szCs w:val="44"/>
          <w:highlight w:val="none"/>
        </w:rPr>
      </w:pPr>
    </w:p>
    <w:p w14:paraId="7D40F283">
      <w:pPr>
        <w:rPr>
          <w:rFonts w:hAnsi="宋体" w:cs="楷体"/>
          <w:sz w:val="44"/>
          <w:szCs w:val="44"/>
          <w:highlight w:val="none"/>
        </w:rPr>
      </w:pPr>
    </w:p>
    <w:p w14:paraId="4001E533">
      <w:pPr>
        <w:spacing w:line="360" w:lineRule="auto"/>
        <w:ind w:left="718" w:leftChars="298" w:hanging="3"/>
        <w:rPr>
          <w:rFonts w:hAnsi="宋体" w:cs="楷体"/>
          <w:b/>
          <w:bCs/>
          <w:color w:val="000000"/>
          <w:sz w:val="32"/>
          <w:szCs w:val="28"/>
          <w:highlight w:val="none"/>
        </w:rPr>
      </w:pPr>
    </w:p>
    <w:p w14:paraId="4AB24C25">
      <w:pPr>
        <w:pStyle w:val="2"/>
        <w:ind w:firstLine="480"/>
        <w:rPr>
          <w:highlight w:val="none"/>
        </w:rPr>
      </w:pPr>
    </w:p>
    <w:p w14:paraId="70266794">
      <w:pPr>
        <w:pStyle w:val="2"/>
        <w:ind w:firstLine="480"/>
        <w:rPr>
          <w:highlight w:val="none"/>
        </w:rPr>
      </w:pPr>
    </w:p>
    <w:p w14:paraId="3B916067">
      <w:pPr>
        <w:pStyle w:val="2"/>
        <w:ind w:firstLine="480"/>
        <w:rPr>
          <w:highlight w:val="none"/>
        </w:rPr>
      </w:pPr>
    </w:p>
    <w:p w14:paraId="2E6B7BAE">
      <w:pPr>
        <w:pStyle w:val="2"/>
        <w:ind w:firstLine="480"/>
        <w:rPr>
          <w:highlight w:val="none"/>
        </w:rPr>
      </w:pPr>
    </w:p>
    <w:p w14:paraId="041D0162">
      <w:pPr>
        <w:pStyle w:val="2"/>
        <w:ind w:firstLine="480"/>
        <w:rPr>
          <w:highlight w:val="none"/>
        </w:rPr>
      </w:pPr>
    </w:p>
    <w:p w14:paraId="0289AC06">
      <w:pPr>
        <w:spacing w:line="360" w:lineRule="auto"/>
        <w:ind w:left="718" w:leftChars="298" w:hanging="3"/>
        <w:rPr>
          <w:rFonts w:hAnsi="宋体" w:cs="楷体"/>
          <w:b/>
          <w:bCs/>
          <w:color w:val="000000"/>
          <w:sz w:val="32"/>
          <w:szCs w:val="28"/>
          <w:highlight w:val="none"/>
        </w:rPr>
      </w:pPr>
    </w:p>
    <w:p w14:paraId="19565AA1">
      <w:pPr>
        <w:spacing w:line="360" w:lineRule="auto"/>
        <w:ind w:left="278" w:leftChars="116" w:firstLine="555" w:firstLineChars="198"/>
        <w:rPr>
          <w:rFonts w:hAnsi="宋体" w:cs="楷体"/>
          <w:b/>
          <w:bCs/>
          <w:color w:val="000000"/>
          <w:sz w:val="28"/>
          <w:szCs w:val="24"/>
          <w:highlight w:val="none"/>
        </w:rPr>
      </w:pPr>
      <w:r>
        <w:rPr>
          <w:rFonts w:hint="eastAsia" w:hAnsi="宋体" w:cs="楷体"/>
          <w:b/>
          <w:bCs/>
          <w:color w:val="000000"/>
          <w:sz w:val="28"/>
          <w:szCs w:val="24"/>
          <w:highlight w:val="none"/>
        </w:rPr>
        <w:t>委托方（甲方）：西安市卫生学校</w:t>
      </w:r>
    </w:p>
    <w:p w14:paraId="0761F7B6">
      <w:pPr>
        <w:spacing w:line="360" w:lineRule="auto"/>
        <w:ind w:left="278" w:leftChars="116" w:firstLine="555" w:firstLineChars="198"/>
        <w:rPr>
          <w:rFonts w:hAnsi="宋体" w:cs="楷体"/>
          <w:b/>
          <w:bCs/>
          <w:color w:val="000000"/>
          <w:sz w:val="28"/>
          <w:szCs w:val="24"/>
          <w:highlight w:val="none"/>
        </w:rPr>
      </w:pPr>
      <w:r>
        <w:rPr>
          <w:rFonts w:hint="eastAsia" w:hAnsi="宋体" w:cs="楷体"/>
          <w:b/>
          <w:bCs/>
          <w:color w:val="000000"/>
          <w:sz w:val="28"/>
          <w:szCs w:val="24"/>
          <w:highlight w:val="none"/>
        </w:rPr>
        <w:t xml:space="preserve">受托方（乙方）：      </w:t>
      </w:r>
    </w:p>
    <w:p w14:paraId="230595CF">
      <w:pPr>
        <w:spacing w:line="360" w:lineRule="auto"/>
        <w:ind w:firstLine="840" w:firstLineChars="300"/>
        <w:rPr>
          <w:rFonts w:hAnsi="宋体" w:cs="仿宋"/>
          <w:b/>
          <w:bCs/>
          <w:sz w:val="44"/>
          <w:szCs w:val="44"/>
          <w:highlight w:val="none"/>
        </w:rPr>
      </w:pPr>
      <w:r>
        <w:rPr>
          <w:rFonts w:hint="eastAsia" w:hAnsi="宋体" w:cs="楷体"/>
          <w:b/>
          <w:bCs/>
          <w:color w:val="000000"/>
          <w:sz w:val="28"/>
          <w:szCs w:val="24"/>
          <w:highlight w:val="none"/>
        </w:rPr>
        <w:t xml:space="preserve">签订时间： </w:t>
      </w:r>
      <w:r>
        <w:rPr>
          <w:rFonts w:hint="eastAsia" w:hAnsi="宋体" w:cs="楷体"/>
          <w:b/>
          <w:bCs/>
          <w:color w:val="000000"/>
          <w:sz w:val="48"/>
          <w:szCs w:val="44"/>
          <w:highlight w:val="none"/>
        </w:rPr>
        <w:t xml:space="preserve"> </w:t>
      </w:r>
      <w:r>
        <w:rPr>
          <w:rFonts w:hint="eastAsia" w:hAnsi="宋体" w:cs="楷体"/>
          <w:b/>
          <w:bCs/>
          <w:color w:val="000000"/>
          <w:sz w:val="32"/>
          <w:szCs w:val="28"/>
          <w:highlight w:val="none"/>
        </w:rPr>
        <w:t xml:space="preserve"> </w:t>
      </w:r>
      <w:r>
        <w:rPr>
          <w:rFonts w:hint="eastAsia" w:hAnsi="宋体" w:cs="楷体"/>
          <w:b/>
          <w:bCs/>
          <w:color w:val="000000"/>
          <w:sz w:val="48"/>
          <w:szCs w:val="44"/>
          <w:highlight w:val="none"/>
        </w:rPr>
        <w:t xml:space="preserve"> </w:t>
      </w:r>
      <w:r>
        <w:rPr>
          <w:rFonts w:hint="eastAsia" w:hAnsi="宋体" w:cs="楷体"/>
          <w:bCs/>
          <w:sz w:val="48"/>
          <w:szCs w:val="48"/>
          <w:highlight w:val="none"/>
        </w:rPr>
        <w:br w:type="page"/>
      </w:r>
    </w:p>
    <w:p w14:paraId="33DBDBC2">
      <w:pPr>
        <w:spacing w:line="360" w:lineRule="auto"/>
        <w:ind w:firstLine="480" w:firstLineChars="200"/>
        <w:rPr>
          <w:rFonts w:hAnsi="宋体" w:cs="楷体"/>
          <w:b/>
          <w:color w:val="000000"/>
          <w:szCs w:val="24"/>
          <w:highlight w:val="none"/>
        </w:rPr>
      </w:pPr>
      <w:r>
        <w:rPr>
          <w:rFonts w:hint="eastAsia" w:hAnsi="宋体" w:cs="楷体"/>
          <w:b/>
          <w:color w:val="000000"/>
          <w:szCs w:val="24"/>
          <w:highlight w:val="none"/>
        </w:rPr>
        <w:t>委托方（全称）：</w:t>
      </w:r>
      <w:r>
        <w:rPr>
          <w:rFonts w:hint="eastAsia" w:hAnsi="宋体" w:cs="楷体"/>
          <w:b/>
          <w:color w:val="000000"/>
          <w:szCs w:val="24"/>
          <w:highlight w:val="none"/>
          <w:u w:val="single"/>
        </w:rPr>
        <w:t xml:space="preserve">  西安市卫生学校     </w:t>
      </w:r>
      <w:r>
        <w:rPr>
          <w:rFonts w:hint="eastAsia" w:hAnsi="宋体" w:eastAsia="宋体" w:cs="楷体"/>
          <w:b/>
          <w:color w:val="000000"/>
          <w:szCs w:val="24"/>
          <w:highlight w:val="none"/>
          <w:u w:val="single"/>
          <w:lang w:val="en-US" w:eastAsia="zh-CN"/>
        </w:rPr>
        <w:t xml:space="preserve">        </w:t>
      </w:r>
      <w:r>
        <w:rPr>
          <w:rFonts w:hint="eastAsia" w:hAnsi="宋体" w:cs="楷体"/>
          <w:b/>
          <w:color w:val="000000"/>
          <w:szCs w:val="24"/>
          <w:highlight w:val="none"/>
          <w:u w:val="single"/>
        </w:rPr>
        <w:t xml:space="preserve">    </w:t>
      </w:r>
      <w:r>
        <w:rPr>
          <w:rFonts w:hAnsi="宋体" w:cs="楷体"/>
          <w:b/>
          <w:color w:val="000000"/>
          <w:szCs w:val="24"/>
          <w:highlight w:val="none"/>
          <w:u w:val="single"/>
        </w:rPr>
        <w:t xml:space="preserve"> </w:t>
      </w:r>
      <w:r>
        <w:rPr>
          <w:rFonts w:hint="eastAsia" w:hAnsi="宋体" w:cs="楷体"/>
          <w:b/>
          <w:color w:val="000000"/>
          <w:szCs w:val="24"/>
          <w:highlight w:val="none"/>
          <w:u w:val="single"/>
        </w:rPr>
        <w:t xml:space="preserve">           </w:t>
      </w:r>
    </w:p>
    <w:p w14:paraId="4AC04C93">
      <w:pPr>
        <w:adjustRightInd w:val="0"/>
        <w:snapToGrid w:val="0"/>
        <w:spacing w:line="360" w:lineRule="auto"/>
        <w:ind w:firstLine="480" w:firstLineChars="200"/>
        <w:rPr>
          <w:rFonts w:hAnsi="宋体" w:cs="楷体"/>
          <w:color w:val="000000"/>
          <w:szCs w:val="24"/>
          <w:highlight w:val="none"/>
          <w:u w:val="single"/>
        </w:rPr>
      </w:pPr>
      <w:r>
        <w:rPr>
          <w:rFonts w:hint="eastAsia" w:hAnsi="宋体" w:cs="楷体"/>
          <w:b/>
          <w:color w:val="000000"/>
          <w:szCs w:val="24"/>
          <w:highlight w:val="none"/>
        </w:rPr>
        <w:t>受托方（全称）：</w:t>
      </w:r>
      <w:r>
        <w:rPr>
          <w:rFonts w:hint="eastAsia" w:hAnsi="宋体" w:cs="楷体"/>
          <w:b/>
          <w:color w:val="000000"/>
          <w:szCs w:val="24"/>
          <w:highlight w:val="none"/>
          <w:u w:val="single"/>
        </w:rPr>
        <w:t xml:space="preserve">                                           </w:t>
      </w:r>
      <w:r>
        <w:rPr>
          <w:rFonts w:hint="eastAsia" w:hAnsi="宋体" w:cs="楷体"/>
          <w:color w:val="000000"/>
          <w:szCs w:val="24"/>
          <w:highlight w:val="none"/>
          <w:u w:val="single"/>
        </w:rPr>
        <w:t xml:space="preserve">  </w:t>
      </w:r>
    </w:p>
    <w:p w14:paraId="141D98EA">
      <w:pPr>
        <w:adjustRightInd w:val="0"/>
        <w:snapToGrid w:val="0"/>
        <w:spacing w:line="360" w:lineRule="auto"/>
        <w:ind w:firstLine="480" w:firstLineChars="200"/>
        <w:rPr>
          <w:rFonts w:hAnsi="宋体" w:cs="楷体"/>
          <w:color w:val="000000"/>
          <w:szCs w:val="24"/>
          <w:highlight w:val="none"/>
          <w:u w:val="single"/>
        </w:rPr>
      </w:pPr>
      <w:r>
        <w:rPr>
          <w:rFonts w:hint="eastAsia" w:hAnsi="宋体" w:cs="楷体"/>
          <w:color w:val="000000"/>
          <w:szCs w:val="24"/>
          <w:highlight w:val="none"/>
        </w:rPr>
        <w:t>根据《中华人民共和国民法典》及其他有关法律、法规，遵循平等、自愿、公平和诚信的原则，双方就下述项目范围与相关服务事项协商一致，订立本合同。</w:t>
      </w:r>
    </w:p>
    <w:p w14:paraId="55EF43C6">
      <w:pPr>
        <w:spacing w:line="360" w:lineRule="auto"/>
        <w:rPr>
          <w:rFonts w:hAnsi="宋体" w:cs="楷体"/>
          <w:b/>
          <w:color w:val="000000"/>
          <w:szCs w:val="24"/>
          <w:highlight w:val="none"/>
        </w:rPr>
      </w:pPr>
      <w:r>
        <w:rPr>
          <w:rFonts w:hint="eastAsia" w:hAnsi="宋体" w:cs="楷体"/>
          <w:b/>
          <w:color w:val="000000"/>
          <w:szCs w:val="24"/>
          <w:highlight w:val="none"/>
        </w:rPr>
        <w:t>一、项目概况</w:t>
      </w:r>
    </w:p>
    <w:p w14:paraId="6FE6DF63">
      <w:pPr>
        <w:autoSpaceDE w:val="0"/>
        <w:autoSpaceDN w:val="0"/>
        <w:adjustRightInd w:val="0"/>
        <w:spacing w:line="360" w:lineRule="auto"/>
        <w:ind w:firstLine="480" w:firstLineChars="200"/>
        <w:rPr>
          <w:rFonts w:hint="default" w:hAnsi="宋体" w:eastAsia="宋体" w:cs="楷体"/>
          <w:color w:val="000000"/>
          <w:szCs w:val="24"/>
          <w:highlight w:val="none"/>
          <w:u w:val="single"/>
          <w:lang w:val="en-US" w:eastAsia="zh-CN"/>
        </w:rPr>
      </w:pPr>
      <w:r>
        <w:rPr>
          <w:rFonts w:hint="eastAsia" w:hAnsi="宋体" w:cs="楷体"/>
          <w:color w:val="000000"/>
          <w:szCs w:val="24"/>
          <w:highlight w:val="none"/>
        </w:rPr>
        <w:t>1.项目名称：</w:t>
      </w:r>
      <w:r>
        <w:rPr>
          <w:rFonts w:hint="eastAsia" w:hAnsi="宋体" w:cs="楷体"/>
          <w:color w:val="000000"/>
          <w:szCs w:val="24"/>
          <w:highlight w:val="none"/>
          <w:u w:val="single"/>
        </w:rPr>
        <w:t xml:space="preserve"> </w:t>
      </w:r>
      <w:r>
        <w:rPr>
          <w:rFonts w:hint="eastAsia" w:hAnsi="宋体" w:eastAsia="宋体" w:cs="楷体"/>
          <w:color w:val="000000"/>
          <w:szCs w:val="24"/>
          <w:highlight w:val="none"/>
          <w:u w:val="single"/>
          <w:lang w:eastAsia="zh-CN"/>
        </w:rPr>
        <w:t>沉浸式虚实互动急救虚拟仿真实训室建设项目</w:t>
      </w:r>
      <w:r>
        <w:rPr>
          <w:rFonts w:hint="eastAsia" w:hAnsi="宋体" w:eastAsia="宋体" w:cs="楷体"/>
          <w:color w:val="000000"/>
          <w:szCs w:val="24"/>
          <w:highlight w:val="none"/>
          <w:u w:val="single"/>
          <w:lang w:val="en-US" w:eastAsia="zh-CN"/>
        </w:rPr>
        <w:t xml:space="preserve">                </w:t>
      </w:r>
    </w:p>
    <w:p w14:paraId="5B0242F8">
      <w:pPr>
        <w:autoSpaceDE w:val="0"/>
        <w:autoSpaceDN w:val="0"/>
        <w:adjustRightInd w:val="0"/>
        <w:spacing w:line="360" w:lineRule="auto"/>
        <w:ind w:firstLine="480" w:firstLineChars="200"/>
        <w:rPr>
          <w:rFonts w:hAnsi="宋体" w:cs="楷体"/>
          <w:color w:val="000000"/>
          <w:szCs w:val="24"/>
          <w:highlight w:val="none"/>
        </w:rPr>
      </w:pPr>
      <w:r>
        <w:rPr>
          <w:rFonts w:hint="eastAsia" w:hAnsi="宋体" w:cs="楷体"/>
          <w:color w:val="000000"/>
          <w:szCs w:val="24"/>
          <w:highlight w:val="none"/>
        </w:rPr>
        <w:t>2.项目地点：</w:t>
      </w:r>
      <w:r>
        <w:rPr>
          <w:rFonts w:hint="eastAsia" w:hAnsi="宋体" w:cs="楷体"/>
          <w:color w:val="000000"/>
          <w:szCs w:val="24"/>
          <w:highlight w:val="none"/>
          <w:u w:val="single"/>
        </w:rPr>
        <w:t xml:space="preserve"> </w:t>
      </w:r>
      <w:r>
        <w:rPr>
          <w:rFonts w:hint="eastAsia" w:hAnsi="宋体" w:eastAsia="宋体" w:cs="楷体"/>
          <w:color w:val="000000"/>
          <w:szCs w:val="24"/>
          <w:highlight w:val="none"/>
          <w:u w:val="single"/>
          <w:lang w:val="en-US" w:eastAsia="zh-CN"/>
        </w:rPr>
        <w:t xml:space="preserve">采购人指定地点                                     </w:t>
      </w:r>
      <w:r>
        <w:rPr>
          <w:rFonts w:hint="eastAsia" w:hAnsi="宋体" w:cs="楷体"/>
          <w:color w:val="000000"/>
          <w:szCs w:val="24"/>
          <w:highlight w:val="none"/>
          <w:u w:val="single"/>
        </w:rPr>
        <w:t xml:space="preserve"> </w:t>
      </w:r>
    </w:p>
    <w:p w14:paraId="182958D9">
      <w:pPr>
        <w:autoSpaceDE w:val="0"/>
        <w:autoSpaceDN w:val="0"/>
        <w:adjustRightInd w:val="0"/>
        <w:spacing w:line="360" w:lineRule="auto"/>
        <w:ind w:firstLine="480" w:firstLineChars="200"/>
        <w:rPr>
          <w:rFonts w:hint="eastAsia" w:hAnsi="宋体" w:eastAsia="宋体" w:cs="楷体"/>
          <w:color w:val="000000"/>
          <w:szCs w:val="24"/>
          <w:highlight w:val="none"/>
          <w:u w:val="single"/>
          <w:lang w:val="en-US" w:eastAsia="zh-CN"/>
        </w:rPr>
      </w:pPr>
      <w:r>
        <w:rPr>
          <w:rFonts w:hint="eastAsia" w:hAnsi="宋体" w:cs="楷体"/>
          <w:color w:val="000000"/>
          <w:szCs w:val="24"/>
          <w:highlight w:val="none"/>
        </w:rPr>
        <w:t>3.项目内容：</w:t>
      </w:r>
      <w:r>
        <w:rPr>
          <w:rFonts w:hint="eastAsia" w:hAnsi="宋体" w:eastAsia="宋体" w:cs="楷体"/>
          <w:color w:val="000000"/>
          <w:szCs w:val="24"/>
          <w:highlight w:val="none"/>
          <w:u w:val="single"/>
          <w:lang w:val="en-US" w:eastAsia="zh-CN"/>
        </w:rPr>
        <w:t xml:space="preserve">                                                     </w:t>
      </w:r>
    </w:p>
    <w:p w14:paraId="228D4C03">
      <w:pPr>
        <w:pStyle w:val="3"/>
        <w:ind w:firstLine="480" w:firstLineChars="200"/>
        <w:rPr>
          <w:rFonts w:hint="default"/>
          <w:highlight w:val="none"/>
          <w:lang w:val="en-US"/>
        </w:rPr>
      </w:pPr>
      <w:r>
        <w:rPr>
          <w:rFonts w:hint="eastAsia" w:hAnsi="宋体" w:eastAsia="宋体" w:cs="楷体"/>
          <w:color w:val="000000"/>
          <w:szCs w:val="24"/>
          <w:highlight w:val="none"/>
          <w:lang w:val="en-US" w:eastAsia="zh-CN"/>
        </w:rPr>
        <w:t>4</w:t>
      </w:r>
      <w:r>
        <w:rPr>
          <w:rFonts w:hint="eastAsia" w:hAnsi="宋体" w:cs="楷体"/>
          <w:color w:val="000000"/>
          <w:szCs w:val="24"/>
          <w:highlight w:val="none"/>
        </w:rPr>
        <w:t>.项目</w:t>
      </w:r>
      <w:r>
        <w:rPr>
          <w:rFonts w:hint="eastAsia" w:hAnsi="宋体" w:eastAsia="宋体" w:cs="楷体"/>
          <w:color w:val="000000"/>
          <w:szCs w:val="24"/>
          <w:highlight w:val="none"/>
          <w:lang w:val="en-US" w:eastAsia="zh-CN"/>
        </w:rPr>
        <w:t>服务期限</w:t>
      </w:r>
      <w:r>
        <w:rPr>
          <w:rFonts w:hint="eastAsia" w:hAnsi="宋体" w:cs="楷体"/>
          <w:color w:val="000000"/>
          <w:szCs w:val="24"/>
          <w:highlight w:val="none"/>
        </w:rPr>
        <w:t>：</w:t>
      </w:r>
      <w:r>
        <w:rPr>
          <w:rFonts w:hint="eastAsia" w:hAnsi="宋体" w:eastAsia="宋体" w:cs="楷体"/>
          <w:color w:val="000000"/>
          <w:szCs w:val="24"/>
          <w:highlight w:val="none"/>
          <w:u w:val="single"/>
          <w:lang w:val="en-US" w:eastAsia="zh-CN"/>
        </w:rPr>
        <w:t xml:space="preserve">                                                  </w:t>
      </w:r>
    </w:p>
    <w:p w14:paraId="1665F331">
      <w:pPr>
        <w:spacing w:line="360" w:lineRule="auto"/>
        <w:rPr>
          <w:rFonts w:hAnsi="宋体" w:cs="楷体"/>
          <w:b/>
          <w:szCs w:val="24"/>
          <w:highlight w:val="none"/>
        </w:rPr>
      </w:pPr>
      <w:r>
        <w:rPr>
          <w:rFonts w:hint="eastAsia" w:hAnsi="宋体" w:cs="楷体"/>
          <w:b/>
          <w:szCs w:val="24"/>
          <w:highlight w:val="none"/>
        </w:rPr>
        <w:t>二、组成本合同的文件</w:t>
      </w:r>
    </w:p>
    <w:p w14:paraId="3688B4B1">
      <w:pPr>
        <w:adjustRightInd w:val="0"/>
        <w:snapToGrid w:val="0"/>
        <w:spacing w:line="360" w:lineRule="auto"/>
        <w:ind w:firstLine="475" w:firstLineChars="198"/>
        <w:rPr>
          <w:rFonts w:hAnsi="宋体" w:cs="楷体"/>
          <w:szCs w:val="24"/>
          <w:highlight w:val="none"/>
        </w:rPr>
      </w:pPr>
      <w:r>
        <w:rPr>
          <w:rFonts w:hint="eastAsia" w:hAnsi="宋体" w:cs="楷体"/>
          <w:szCs w:val="24"/>
          <w:highlight w:val="none"/>
        </w:rPr>
        <w:t>1. 协议书；</w:t>
      </w:r>
    </w:p>
    <w:p w14:paraId="260F88A0">
      <w:pPr>
        <w:adjustRightInd w:val="0"/>
        <w:snapToGrid w:val="0"/>
        <w:spacing w:line="360" w:lineRule="auto"/>
        <w:ind w:firstLine="475" w:firstLineChars="198"/>
        <w:rPr>
          <w:rFonts w:hAnsi="宋体" w:cs="楷体"/>
          <w:szCs w:val="24"/>
          <w:highlight w:val="none"/>
        </w:rPr>
      </w:pPr>
      <w:r>
        <w:rPr>
          <w:rFonts w:hint="eastAsia" w:hAnsi="宋体" w:cs="楷体"/>
          <w:szCs w:val="24"/>
          <w:highlight w:val="none"/>
        </w:rPr>
        <w:t>2. 成交通知书、磋商响应文件、磋商文件、澄清、磋商补充文件（或委托书）；</w:t>
      </w:r>
    </w:p>
    <w:p w14:paraId="3F7377A9">
      <w:pPr>
        <w:adjustRightInd w:val="0"/>
        <w:snapToGrid w:val="0"/>
        <w:spacing w:line="360" w:lineRule="auto"/>
        <w:ind w:firstLine="480" w:firstLineChars="200"/>
        <w:rPr>
          <w:rFonts w:hAnsi="宋体" w:cs="楷体"/>
          <w:szCs w:val="24"/>
          <w:highlight w:val="none"/>
        </w:rPr>
      </w:pPr>
      <w:r>
        <w:rPr>
          <w:rFonts w:hint="eastAsia" w:hAnsi="宋体" w:cs="楷体"/>
          <w:szCs w:val="24"/>
          <w:highlight w:val="none"/>
        </w:rPr>
        <w:t>3.</w:t>
      </w:r>
      <w:r>
        <w:rPr>
          <w:rFonts w:hAnsi="宋体" w:cs="楷体"/>
          <w:szCs w:val="24"/>
          <w:highlight w:val="none"/>
        </w:rPr>
        <w:t xml:space="preserve"> </w:t>
      </w:r>
      <w:r>
        <w:rPr>
          <w:rFonts w:hint="eastAsia" w:hAnsi="宋体" w:cs="楷体"/>
          <w:szCs w:val="24"/>
          <w:highlight w:val="none"/>
        </w:rPr>
        <w:t>相关服务建议书（如有）；</w:t>
      </w:r>
    </w:p>
    <w:p w14:paraId="52375311">
      <w:pPr>
        <w:adjustRightInd w:val="0"/>
        <w:snapToGrid w:val="0"/>
        <w:spacing w:line="360" w:lineRule="auto"/>
        <w:rPr>
          <w:rFonts w:hAnsi="宋体" w:cs="楷体"/>
          <w:szCs w:val="24"/>
          <w:highlight w:val="none"/>
        </w:rPr>
      </w:pPr>
      <w:r>
        <w:rPr>
          <w:rFonts w:hint="eastAsia" w:hAnsi="宋体" w:cs="楷体"/>
          <w:szCs w:val="24"/>
          <w:highlight w:val="none"/>
        </w:rPr>
        <w:t xml:space="preserve">    4. 附录，</w:t>
      </w:r>
    </w:p>
    <w:p w14:paraId="563BB23D">
      <w:pPr>
        <w:adjustRightInd w:val="0"/>
        <w:snapToGrid w:val="0"/>
        <w:spacing w:line="360" w:lineRule="auto"/>
        <w:ind w:firstLine="475" w:firstLineChars="198"/>
        <w:rPr>
          <w:rFonts w:hAnsi="宋体" w:cs="楷体"/>
          <w:szCs w:val="24"/>
          <w:highlight w:val="none"/>
        </w:rPr>
      </w:pPr>
      <w:r>
        <w:rPr>
          <w:rFonts w:hint="eastAsia" w:hAnsi="宋体" w:cs="楷体"/>
          <w:szCs w:val="24"/>
          <w:highlight w:val="none"/>
        </w:rPr>
        <w:t>本合同签订后，双方依法签订的补充协议也是本合同文件的组成部分。</w:t>
      </w:r>
    </w:p>
    <w:p w14:paraId="2D24092E">
      <w:pPr>
        <w:spacing w:line="360" w:lineRule="auto"/>
        <w:rPr>
          <w:rFonts w:hAnsi="宋体" w:cs="楷体"/>
          <w:b/>
          <w:color w:val="000000"/>
          <w:szCs w:val="24"/>
          <w:highlight w:val="none"/>
        </w:rPr>
      </w:pPr>
      <w:r>
        <w:rPr>
          <w:rFonts w:hint="eastAsia" w:hAnsi="宋体" w:cs="楷体"/>
          <w:b/>
          <w:color w:val="000000"/>
          <w:szCs w:val="24"/>
          <w:highlight w:val="none"/>
        </w:rPr>
        <w:t>三、合同价款</w:t>
      </w:r>
    </w:p>
    <w:p w14:paraId="3265B124">
      <w:pPr>
        <w:adjustRightInd w:val="0"/>
        <w:snapToGrid w:val="0"/>
        <w:spacing w:line="360" w:lineRule="auto"/>
        <w:ind w:firstLine="475" w:firstLineChars="198"/>
        <w:rPr>
          <w:rFonts w:hAnsi="宋体" w:cs="楷体"/>
          <w:b/>
          <w:color w:val="000000"/>
          <w:szCs w:val="24"/>
          <w:highlight w:val="none"/>
        </w:rPr>
      </w:pPr>
      <w:r>
        <w:rPr>
          <w:rFonts w:hint="eastAsia" w:hAnsi="宋体" w:cs="楷体"/>
          <w:color w:val="000000"/>
          <w:szCs w:val="24"/>
          <w:highlight w:val="none"/>
        </w:rPr>
        <w:t>1.合同金额（大写）：</w:t>
      </w:r>
      <w:r>
        <w:rPr>
          <w:rFonts w:hint="eastAsia" w:hAnsi="宋体" w:cs="楷体"/>
          <w:color w:val="000000"/>
          <w:szCs w:val="24"/>
          <w:highlight w:val="none"/>
          <w:u w:val="single"/>
        </w:rPr>
        <w:t xml:space="preserve">                 </w:t>
      </w:r>
      <w:r>
        <w:rPr>
          <w:rFonts w:hint="eastAsia" w:hAnsi="宋体" w:cs="楷体"/>
          <w:color w:val="000000"/>
          <w:szCs w:val="24"/>
          <w:highlight w:val="none"/>
        </w:rPr>
        <w:t xml:space="preserve">（¥ </w:t>
      </w:r>
      <w:r>
        <w:rPr>
          <w:rFonts w:hint="eastAsia" w:hAnsi="宋体" w:cs="楷体"/>
          <w:color w:val="000000"/>
          <w:szCs w:val="24"/>
          <w:highlight w:val="none"/>
          <w:u w:val="single"/>
        </w:rPr>
        <w:t xml:space="preserve">           </w:t>
      </w:r>
      <w:r>
        <w:rPr>
          <w:rFonts w:hint="eastAsia" w:hAnsi="宋体" w:cs="楷体"/>
          <w:color w:val="000000"/>
          <w:szCs w:val="24"/>
          <w:highlight w:val="none"/>
        </w:rPr>
        <w:t>元）。</w:t>
      </w:r>
    </w:p>
    <w:p w14:paraId="476D6076">
      <w:pPr>
        <w:adjustRightInd w:val="0"/>
        <w:snapToGrid w:val="0"/>
        <w:spacing w:line="360" w:lineRule="auto"/>
        <w:rPr>
          <w:rFonts w:hAnsi="宋体" w:cs="楷体"/>
          <w:b/>
          <w:szCs w:val="24"/>
          <w:highlight w:val="none"/>
        </w:rPr>
      </w:pPr>
      <w:r>
        <w:rPr>
          <w:rFonts w:hint="eastAsia" w:hAnsi="宋体" w:cs="楷体"/>
          <w:b/>
          <w:color w:val="000000"/>
          <w:szCs w:val="24"/>
          <w:highlight w:val="none"/>
        </w:rPr>
        <w:t>四</w:t>
      </w:r>
      <w:r>
        <w:rPr>
          <w:rFonts w:hint="eastAsia" w:hAnsi="宋体" w:cs="楷体"/>
          <w:b/>
          <w:szCs w:val="24"/>
          <w:highlight w:val="none"/>
        </w:rPr>
        <w:t>、项目实施地点：</w:t>
      </w:r>
      <w:r>
        <w:rPr>
          <w:rFonts w:hint="eastAsia" w:hAnsi="宋体" w:cs="楷体"/>
          <w:bCs/>
          <w:szCs w:val="24"/>
          <w:highlight w:val="none"/>
        </w:rPr>
        <w:t>采购人指定地点；</w:t>
      </w:r>
    </w:p>
    <w:p w14:paraId="096CA700">
      <w:pPr>
        <w:adjustRightInd w:val="0"/>
        <w:snapToGrid w:val="0"/>
        <w:spacing w:line="360" w:lineRule="auto"/>
        <w:ind w:left="482" w:hanging="480" w:hangingChars="200"/>
        <w:rPr>
          <w:rFonts w:hint="eastAsia" w:hAnsi="宋体" w:cs="楷体"/>
          <w:b/>
          <w:szCs w:val="24"/>
          <w:highlight w:val="none"/>
        </w:rPr>
      </w:pPr>
      <w:r>
        <w:rPr>
          <w:rFonts w:hint="eastAsia" w:hAnsi="宋体" w:cs="楷体"/>
          <w:b/>
          <w:szCs w:val="24"/>
          <w:highlight w:val="none"/>
        </w:rPr>
        <w:t>五、付款方式：</w:t>
      </w:r>
    </w:p>
    <w:p w14:paraId="137D1EB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Ansi="宋体" w:cs="楷体"/>
          <w:szCs w:val="24"/>
          <w:highlight w:val="none"/>
        </w:rPr>
      </w:pPr>
      <w:r>
        <w:rPr>
          <w:rFonts w:hint="eastAsia" w:hAnsi="宋体" w:cs="楷体"/>
          <w:b w:val="0"/>
          <w:bCs/>
          <w:szCs w:val="24"/>
          <w:highlight w:val="none"/>
        </w:rPr>
        <w:t>项目完成且经验收合格后，达到付款条件起 30 日内，支付合同总金额的 100.00%。</w:t>
      </w:r>
    </w:p>
    <w:p w14:paraId="7786BB53">
      <w:pPr>
        <w:numPr>
          <w:ilvl w:val="0"/>
          <w:numId w:val="1"/>
        </w:numPr>
        <w:adjustRightInd w:val="0"/>
        <w:snapToGrid w:val="0"/>
        <w:spacing w:line="360" w:lineRule="auto"/>
        <w:rPr>
          <w:rFonts w:hAnsi="宋体" w:cs="楷体"/>
          <w:b/>
          <w:color w:val="000000"/>
          <w:szCs w:val="24"/>
          <w:highlight w:val="none"/>
        </w:rPr>
      </w:pPr>
      <w:r>
        <w:rPr>
          <w:rFonts w:hint="eastAsia" w:hAnsi="宋体" w:cs="楷体"/>
          <w:b/>
          <w:color w:val="000000"/>
          <w:szCs w:val="24"/>
          <w:highlight w:val="none"/>
        </w:rPr>
        <w:t>质量保证：</w:t>
      </w:r>
    </w:p>
    <w:p w14:paraId="606EDD9A">
      <w:pPr>
        <w:spacing w:line="360" w:lineRule="auto"/>
        <w:ind w:firstLine="480" w:firstLineChars="200"/>
        <w:rPr>
          <w:rFonts w:hAnsi="宋体"/>
          <w:szCs w:val="24"/>
          <w:highlight w:val="none"/>
        </w:rPr>
      </w:pPr>
      <w:r>
        <w:rPr>
          <w:rFonts w:hint="eastAsia" w:hAnsi="宋体"/>
          <w:szCs w:val="24"/>
          <w:highlight w:val="none"/>
        </w:rPr>
        <w:t>1.在服务范围内按工作内容和要求制定详细的方案，方案应科学、合理、合法、可靠。</w:t>
      </w:r>
    </w:p>
    <w:p w14:paraId="3644BE1F">
      <w:pPr>
        <w:spacing w:line="360" w:lineRule="auto"/>
        <w:ind w:firstLine="480" w:firstLineChars="200"/>
        <w:rPr>
          <w:rFonts w:hAnsi="宋体"/>
          <w:szCs w:val="24"/>
          <w:highlight w:val="none"/>
        </w:rPr>
      </w:pPr>
      <w:r>
        <w:rPr>
          <w:rFonts w:hint="eastAsia" w:hAnsi="宋体"/>
          <w:szCs w:val="24"/>
          <w:highlight w:val="none"/>
        </w:rPr>
        <w:t>2.人员配备合理。有针对本项目的专项服务小组，项目负责人、工作人员分工明确，确保服务质量（应有具体成员名单，包括姓名、工作职责、联系方式等）</w:t>
      </w:r>
    </w:p>
    <w:p w14:paraId="3BF9A607">
      <w:pPr>
        <w:adjustRightInd w:val="0"/>
        <w:snapToGrid w:val="0"/>
        <w:spacing w:line="360" w:lineRule="auto"/>
        <w:ind w:firstLine="480" w:firstLineChars="200"/>
        <w:rPr>
          <w:rFonts w:hAnsi="宋体" w:cs="楷体"/>
          <w:bCs/>
          <w:color w:val="000000"/>
          <w:szCs w:val="24"/>
          <w:highlight w:val="none"/>
        </w:rPr>
      </w:pPr>
      <w:r>
        <w:rPr>
          <w:rFonts w:hint="eastAsia" w:hAnsi="宋体" w:eastAsia="宋体"/>
          <w:szCs w:val="24"/>
          <w:highlight w:val="none"/>
          <w:lang w:val="en-US" w:eastAsia="zh-CN"/>
        </w:rPr>
        <w:t>3</w:t>
      </w:r>
      <w:r>
        <w:rPr>
          <w:rFonts w:hint="eastAsia" w:hAnsi="宋体"/>
          <w:szCs w:val="24"/>
          <w:highlight w:val="none"/>
        </w:rPr>
        <w:t>.</w:t>
      </w:r>
      <w:r>
        <w:rPr>
          <w:rFonts w:hint="eastAsia" w:hAnsi="宋体" w:cs="楷体"/>
          <w:szCs w:val="24"/>
          <w:highlight w:val="none"/>
        </w:rPr>
        <w:t>供应商所拟派的工作人员，若在服务期间发生侵害第三方或被第三方侵害，采购人概不负责，由供应商自行处理并承担相应损失</w:t>
      </w:r>
      <w:r>
        <w:rPr>
          <w:rFonts w:hint="eastAsia" w:hAnsi="宋体" w:cs="楷体"/>
          <w:color w:val="000000"/>
          <w:szCs w:val="24"/>
          <w:highlight w:val="none"/>
        </w:rPr>
        <w:t>。</w:t>
      </w:r>
    </w:p>
    <w:p w14:paraId="58346361">
      <w:pPr>
        <w:pStyle w:val="8"/>
        <w:numPr>
          <w:ilvl w:val="0"/>
          <w:numId w:val="1"/>
        </w:numPr>
        <w:spacing w:line="360" w:lineRule="auto"/>
        <w:ind w:firstLine="0" w:firstLineChars="0"/>
        <w:rPr>
          <w:rFonts w:hAnsi="宋体" w:cs="楷体"/>
          <w:b/>
          <w:color w:val="000000"/>
          <w:szCs w:val="24"/>
          <w:highlight w:val="none"/>
        </w:rPr>
      </w:pPr>
      <w:r>
        <w:rPr>
          <w:rFonts w:hint="eastAsia" w:hAnsi="宋体" w:cs="楷体"/>
          <w:b/>
          <w:color w:val="000000"/>
          <w:szCs w:val="24"/>
          <w:highlight w:val="none"/>
        </w:rPr>
        <w:t>安全责任：</w:t>
      </w:r>
    </w:p>
    <w:p w14:paraId="25E461AC">
      <w:pPr>
        <w:pStyle w:val="8"/>
        <w:spacing w:line="360" w:lineRule="auto"/>
        <w:ind w:firstLine="480"/>
        <w:rPr>
          <w:rFonts w:hAnsi="宋体" w:cs="楷体"/>
          <w:szCs w:val="24"/>
          <w:highlight w:val="none"/>
          <w:lang w:val="zh-CN"/>
        </w:rPr>
      </w:pPr>
      <w:r>
        <w:rPr>
          <w:rFonts w:hint="eastAsia" w:hAnsi="宋体" w:cs="楷体"/>
          <w:color w:val="000000"/>
          <w:szCs w:val="24"/>
          <w:highlight w:val="none"/>
          <w:lang w:val="zh-CN"/>
        </w:rPr>
        <w:t>乙方应对其工作人员在现场工作期间的一切行为负责，如安全事故责任及因</w:t>
      </w:r>
      <w:r>
        <w:rPr>
          <w:rFonts w:hint="eastAsia" w:hAnsi="宋体" w:cs="楷体"/>
          <w:szCs w:val="24"/>
          <w:highlight w:val="none"/>
          <w:lang w:val="zh-CN"/>
        </w:rPr>
        <w:t>此发生的人身损害赔偿和其它费用由乙方承担。</w:t>
      </w:r>
    </w:p>
    <w:p w14:paraId="6F0619C0">
      <w:pPr>
        <w:numPr>
          <w:ilvl w:val="0"/>
          <w:numId w:val="1"/>
        </w:numPr>
        <w:spacing w:line="360" w:lineRule="auto"/>
        <w:rPr>
          <w:rFonts w:hAnsi="宋体" w:cs="楷体"/>
          <w:b/>
          <w:szCs w:val="24"/>
          <w:highlight w:val="none"/>
        </w:rPr>
      </w:pPr>
      <w:r>
        <w:rPr>
          <w:rFonts w:hint="eastAsia" w:hAnsi="宋体" w:cs="楷体"/>
          <w:b/>
          <w:szCs w:val="24"/>
          <w:highlight w:val="none"/>
        </w:rPr>
        <w:t>考核验收：</w:t>
      </w:r>
    </w:p>
    <w:p w14:paraId="5DE09066">
      <w:pPr>
        <w:spacing w:line="360" w:lineRule="auto"/>
        <w:ind w:firstLine="480" w:firstLineChars="200"/>
        <w:rPr>
          <w:rFonts w:hint="eastAsia" w:hAnsi="宋体" w:cs="楷体"/>
          <w:szCs w:val="24"/>
          <w:highlight w:val="none"/>
        </w:rPr>
      </w:pPr>
      <w:r>
        <w:rPr>
          <w:rFonts w:hint="eastAsia" w:hAnsi="宋体" w:cs="楷体"/>
          <w:szCs w:val="24"/>
          <w:highlight w:val="none"/>
        </w:rPr>
        <w:t xml:space="preserve">（1）验收分初次开箱验收和学校最终验收两个阶段，以最终验收为准； </w:t>
      </w:r>
    </w:p>
    <w:p w14:paraId="5F062C74">
      <w:pPr>
        <w:spacing w:line="360" w:lineRule="auto"/>
        <w:ind w:firstLine="480" w:firstLineChars="200"/>
        <w:rPr>
          <w:rFonts w:hint="eastAsia" w:hAnsi="宋体" w:cs="楷体"/>
          <w:szCs w:val="24"/>
          <w:highlight w:val="none"/>
        </w:rPr>
      </w:pPr>
      <w:r>
        <w:rPr>
          <w:rFonts w:hint="eastAsia" w:hAnsi="宋体" w:cs="楷体"/>
          <w:szCs w:val="24"/>
          <w:highlight w:val="none"/>
        </w:rPr>
        <w:t xml:space="preserve">（2）货物到货后，甲、乙双方共同开箱验收。在检查货物原产地、型号、规格、配置符合 </w:t>
      </w:r>
    </w:p>
    <w:p w14:paraId="605F4192">
      <w:pPr>
        <w:spacing w:line="360" w:lineRule="auto"/>
        <w:ind w:firstLine="480" w:firstLineChars="200"/>
        <w:rPr>
          <w:rFonts w:hint="eastAsia" w:hAnsi="宋体" w:cs="楷体"/>
          <w:szCs w:val="24"/>
          <w:highlight w:val="none"/>
        </w:rPr>
      </w:pPr>
      <w:r>
        <w:rPr>
          <w:rFonts w:hint="eastAsia" w:hAnsi="宋体" w:cs="楷体"/>
          <w:szCs w:val="24"/>
          <w:highlight w:val="none"/>
        </w:rPr>
        <w:t xml:space="preserve">合同要求后，由乙方负责安装调试、甲方负责技术验收（乙方协助）.验收以国内行业标准或合同文本货物供货配置清单中描述的有关技术要求为准； </w:t>
      </w:r>
    </w:p>
    <w:p w14:paraId="4D05306D">
      <w:pPr>
        <w:spacing w:line="360" w:lineRule="auto"/>
        <w:ind w:firstLine="480" w:firstLineChars="200"/>
        <w:rPr>
          <w:rFonts w:hint="eastAsia" w:hAnsi="宋体" w:cs="楷体"/>
          <w:szCs w:val="24"/>
          <w:highlight w:val="none"/>
        </w:rPr>
      </w:pPr>
      <w:r>
        <w:rPr>
          <w:rFonts w:hint="eastAsia" w:hAnsi="宋体" w:cs="楷体"/>
          <w:szCs w:val="24"/>
          <w:highlight w:val="none"/>
        </w:rPr>
        <w:t xml:space="preserve">（3）特殊说明：本次采购的全景数字孪生仿真管理中心及移动交互式心肺复苏模拟人为高价值实训教学专用设备，承担我校师生实训及重大赛事保障任务。为严格防范履约风险，确保供货产品性能与投标文件完全一致，签订合同后，5日内到货并开箱验收，将执行“投标演示功能及实质性参数现场复核机制”。具体要求：中标人必须在验收现场无条件复现投标文件中所列的全部演示功能及实质性参数。如现场复现失败或功能缺失，即认定为未按合同约定提供合格产品，验收不予通过。中标人应在采购人限定的期限内完成整改；若整改无效或拒绝整改，采购人有权单方面解除合同，将其列入不良行为记录名单，并依法追究其虚假应标及违约的法律责任。 </w:t>
      </w:r>
    </w:p>
    <w:p w14:paraId="2E21DCD5">
      <w:pPr>
        <w:spacing w:line="360" w:lineRule="auto"/>
        <w:ind w:firstLine="480" w:firstLineChars="200"/>
        <w:rPr>
          <w:rFonts w:hint="eastAsia" w:hAnsi="宋体" w:cs="楷体"/>
          <w:szCs w:val="24"/>
          <w:highlight w:val="none"/>
        </w:rPr>
      </w:pPr>
      <w:r>
        <w:rPr>
          <w:rFonts w:hint="eastAsia" w:hAnsi="宋体" w:cs="楷体"/>
          <w:szCs w:val="24"/>
          <w:highlight w:val="none"/>
        </w:rPr>
        <w:t>（4）在货物安装调试运行正常后，甲方（采购单位）按学校相关业务部门规定提交验收申请，学校根据采购单位技术验收结果，组织有关专家进行货物的最终验收。</w:t>
      </w:r>
    </w:p>
    <w:p w14:paraId="715AFA6D">
      <w:pPr>
        <w:spacing w:line="360" w:lineRule="auto"/>
        <w:ind w:firstLine="480" w:firstLineChars="200"/>
        <w:rPr>
          <w:rFonts w:hAnsi="宋体" w:cs="楷体"/>
          <w:color w:val="FF0000"/>
          <w:szCs w:val="24"/>
          <w:highlight w:val="none"/>
        </w:rPr>
      </w:pPr>
      <w:r>
        <w:rPr>
          <w:rFonts w:hint="eastAsia" w:hAnsi="宋体" w:cs="楷体"/>
          <w:szCs w:val="24"/>
          <w:highlight w:val="none"/>
        </w:rPr>
        <w:t>验收依据 1.磋商文件、磋商响应文件、澄清表（函）； 2.本合同及附件文本； 3.国家相应的标准、规范。</w:t>
      </w:r>
    </w:p>
    <w:p w14:paraId="11A913B1">
      <w:pPr>
        <w:spacing w:line="360" w:lineRule="auto"/>
        <w:rPr>
          <w:rFonts w:hAnsi="宋体" w:cs="楷体"/>
          <w:b/>
          <w:bCs/>
          <w:szCs w:val="24"/>
          <w:highlight w:val="none"/>
        </w:rPr>
      </w:pPr>
      <w:r>
        <w:rPr>
          <w:rFonts w:hint="eastAsia" w:hAnsi="宋体" w:cs="楷体"/>
          <w:b/>
          <w:bCs/>
          <w:szCs w:val="24"/>
          <w:highlight w:val="none"/>
        </w:rPr>
        <w:t>九、保密要求：</w:t>
      </w:r>
    </w:p>
    <w:p w14:paraId="68C63C72">
      <w:pPr>
        <w:spacing w:line="360" w:lineRule="auto"/>
        <w:ind w:firstLine="480" w:firstLineChars="200"/>
        <w:rPr>
          <w:rFonts w:hAnsi="宋体" w:cs="楷体"/>
          <w:szCs w:val="24"/>
          <w:highlight w:val="none"/>
        </w:rPr>
      </w:pPr>
      <w:r>
        <w:rPr>
          <w:rFonts w:hint="eastAsia" w:hAnsi="宋体" w:cs="楷体"/>
          <w:szCs w:val="24"/>
          <w:highlight w:val="none"/>
        </w:rPr>
        <w:t>1.成交供应商应严格遵守采购单位有关保密规定，不得泄漏一切机密；</w:t>
      </w:r>
    </w:p>
    <w:p w14:paraId="4E3074B3">
      <w:pPr>
        <w:pStyle w:val="8"/>
        <w:spacing w:line="360" w:lineRule="auto"/>
        <w:ind w:firstLine="480"/>
        <w:rPr>
          <w:rFonts w:hAnsi="宋体" w:cs="楷体"/>
          <w:b/>
          <w:color w:val="000000"/>
          <w:szCs w:val="24"/>
          <w:highlight w:val="none"/>
        </w:rPr>
      </w:pPr>
      <w:r>
        <w:rPr>
          <w:rFonts w:hint="eastAsia" w:hAnsi="宋体" w:cs="楷体"/>
          <w:szCs w:val="24"/>
          <w:highlight w:val="none"/>
        </w:rPr>
        <w:t>2.在技术服务期间，成交供应商对接触到的有关采购单位商业活动、技术情报和技术资料等文件进行保密。</w:t>
      </w:r>
    </w:p>
    <w:p w14:paraId="7F8652F1">
      <w:pPr>
        <w:pStyle w:val="8"/>
        <w:spacing w:line="360" w:lineRule="auto"/>
        <w:ind w:firstLine="0" w:firstLineChars="0"/>
        <w:rPr>
          <w:rFonts w:hAnsi="宋体" w:cs="楷体"/>
          <w:b/>
          <w:szCs w:val="24"/>
          <w:highlight w:val="none"/>
        </w:rPr>
      </w:pPr>
      <w:r>
        <w:rPr>
          <w:rFonts w:hint="eastAsia" w:hAnsi="宋体" w:cs="楷体"/>
          <w:b/>
          <w:color w:val="000000"/>
          <w:szCs w:val="24"/>
          <w:highlight w:val="none"/>
        </w:rPr>
        <w:t>十、违约责</w:t>
      </w:r>
      <w:r>
        <w:rPr>
          <w:rFonts w:hint="eastAsia" w:hAnsi="宋体" w:cs="楷体"/>
          <w:b/>
          <w:szCs w:val="24"/>
          <w:highlight w:val="none"/>
        </w:rPr>
        <w:t>任：</w:t>
      </w:r>
    </w:p>
    <w:p w14:paraId="008112BA">
      <w:pPr>
        <w:spacing w:line="360" w:lineRule="auto"/>
        <w:ind w:firstLine="480" w:firstLineChars="200"/>
        <w:rPr>
          <w:rFonts w:hAnsi="宋体" w:cs="楷体"/>
          <w:szCs w:val="24"/>
          <w:highlight w:val="none"/>
        </w:rPr>
      </w:pPr>
      <w:r>
        <w:rPr>
          <w:rFonts w:hint="eastAsia" w:hAnsi="宋体" w:cs="楷体"/>
          <w:szCs w:val="24"/>
          <w:highlight w:val="none"/>
        </w:rPr>
        <w:t>按《中华人民共和国政府采购法》、《中华人民共和国民法典》中的相关条款执行。</w:t>
      </w:r>
    </w:p>
    <w:p w14:paraId="06CDCEBD">
      <w:pPr>
        <w:adjustRightInd w:val="0"/>
        <w:snapToGrid w:val="0"/>
        <w:spacing w:line="360" w:lineRule="auto"/>
        <w:rPr>
          <w:rFonts w:hAnsi="宋体" w:cs="楷体"/>
          <w:b/>
          <w:color w:val="000000"/>
          <w:szCs w:val="24"/>
          <w:highlight w:val="none"/>
        </w:rPr>
      </w:pPr>
      <w:r>
        <w:rPr>
          <w:rFonts w:hint="eastAsia" w:hAnsi="宋体" w:cs="楷体"/>
          <w:b/>
          <w:color w:val="000000"/>
          <w:szCs w:val="24"/>
          <w:highlight w:val="none"/>
        </w:rPr>
        <w:t>十一、合同争议的解决</w:t>
      </w:r>
    </w:p>
    <w:p w14:paraId="5F77B08B">
      <w:pPr>
        <w:spacing w:line="360" w:lineRule="auto"/>
        <w:ind w:firstLine="480" w:firstLineChars="200"/>
        <w:rPr>
          <w:rFonts w:hAnsi="宋体" w:cs="楷体"/>
          <w:color w:val="000000"/>
          <w:szCs w:val="24"/>
          <w:highlight w:val="none"/>
        </w:rPr>
      </w:pPr>
      <w:r>
        <w:rPr>
          <w:rFonts w:hint="eastAsia" w:hAnsi="宋体" w:cs="楷体"/>
          <w:color w:val="000000"/>
          <w:szCs w:val="24"/>
          <w:highlight w:val="none"/>
        </w:rPr>
        <w:t>合同执行中发生争议的，当事人双方应协商解决，协商达不成一致时，可依法向有管辖权的人民法院起诉。</w:t>
      </w:r>
    </w:p>
    <w:p w14:paraId="4B7FEBBA">
      <w:pPr>
        <w:spacing w:line="360" w:lineRule="auto"/>
        <w:jc w:val="left"/>
        <w:rPr>
          <w:rFonts w:hAnsi="宋体" w:cs="楷体"/>
          <w:b/>
          <w:bCs/>
          <w:color w:val="000000"/>
          <w:szCs w:val="24"/>
          <w:highlight w:val="none"/>
        </w:rPr>
      </w:pPr>
      <w:r>
        <w:rPr>
          <w:rFonts w:hint="eastAsia" w:hAnsi="宋体" w:cs="楷体"/>
          <w:b/>
          <w:bCs/>
          <w:color w:val="000000"/>
          <w:szCs w:val="24"/>
          <w:highlight w:val="none"/>
        </w:rPr>
        <w:t>十二、不可抗力情况下的免责约定</w:t>
      </w:r>
    </w:p>
    <w:p w14:paraId="47B31844">
      <w:pPr>
        <w:spacing w:line="360" w:lineRule="auto"/>
        <w:jc w:val="left"/>
        <w:rPr>
          <w:rFonts w:hAnsi="宋体" w:cs="楷体"/>
          <w:color w:val="000000"/>
          <w:szCs w:val="24"/>
          <w:highlight w:val="none"/>
        </w:rPr>
      </w:pPr>
      <w:r>
        <w:rPr>
          <w:rFonts w:hint="eastAsia" w:hAnsi="宋体" w:cs="楷体"/>
          <w:color w:val="000000"/>
          <w:szCs w:val="24"/>
          <w:highlight w:val="none"/>
        </w:rPr>
        <w:t xml:space="preserve">    双方约定不可抗力情况指：双方不可预见、不可避免、不可克服的客观情况，但不包括双方的违约或疏忽。这些事件包括但不限于：战争、严重火灾、洪水、台风、地震等。</w:t>
      </w:r>
    </w:p>
    <w:p w14:paraId="0425C26F">
      <w:pPr>
        <w:numPr>
          <w:ilvl w:val="0"/>
          <w:numId w:val="0"/>
        </w:numPr>
        <w:spacing w:line="360" w:lineRule="auto"/>
        <w:rPr>
          <w:rFonts w:hint="eastAsia" w:hAnsi="宋体" w:cs="楷体"/>
          <w:b/>
          <w:color w:val="000000"/>
          <w:szCs w:val="24"/>
          <w:highlight w:val="none"/>
        </w:rPr>
      </w:pPr>
      <w:r>
        <w:rPr>
          <w:rFonts w:hint="eastAsia" w:ascii="Times New Roman" w:hAnsi="宋体" w:eastAsia="Times New Roman" w:cs="楷体"/>
          <w:b/>
          <w:color w:val="000000"/>
          <w:sz w:val="24"/>
          <w:szCs w:val="24"/>
          <w:highlight w:val="none"/>
          <w:lang w:val="en-US" w:eastAsia="en-US" w:bidi="en-US"/>
        </w:rPr>
        <w:t>十三、</w:t>
      </w:r>
      <w:r>
        <w:rPr>
          <w:rFonts w:hint="eastAsia" w:hAnsi="宋体" w:cs="楷体"/>
          <w:b/>
          <w:color w:val="000000"/>
          <w:szCs w:val="24"/>
          <w:highlight w:val="none"/>
        </w:rPr>
        <w:t>其他</w:t>
      </w:r>
    </w:p>
    <w:p w14:paraId="29D7291C">
      <w:pPr>
        <w:spacing w:line="360" w:lineRule="auto"/>
        <w:ind w:firstLine="480" w:firstLineChars="200"/>
        <w:rPr>
          <w:rFonts w:hint="eastAsia" w:hAnsi="宋体" w:cs="楷体"/>
          <w:szCs w:val="24"/>
          <w:highlight w:val="none"/>
        </w:rPr>
      </w:pPr>
      <w:r>
        <w:rPr>
          <w:rFonts w:hint="eastAsia" w:hAnsi="宋体" w:cs="楷体"/>
          <w:szCs w:val="24"/>
          <w:highlight w:val="none"/>
        </w:rPr>
        <w:t>因本项目有高价值的系统以及利旧的设备升级改造，甲方有权在货物到达现场后邀请第三方机构一起参与对主要设备的到场验收，若设备功能不达标，甲方有权拒收、退货并要求</w:t>
      </w:r>
      <w:r>
        <w:rPr>
          <w:rFonts w:hint="eastAsia" w:hAnsi="宋体" w:eastAsia="宋体" w:cs="楷体"/>
          <w:szCs w:val="24"/>
          <w:highlight w:val="none"/>
          <w:lang w:val="en-US" w:eastAsia="zh-CN"/>
        </w:rPr>
        <w:t>供应商</w:t>
      </w:r>
      <w:r>
        <w:rPr>
          <w:rFonts w:hint="eastAsia" w:hAnsi="宋体" w:cs="楷体"/>
          <w:szCs w:val="24"/>
          <w:highlight w:val="none"/>
        </w:rPr>
        <w:t>承担违约责任。</w:t>
      </w:r>
    </w:p>
    <w:p w14:paraId="7A6E0F94">
      <w:pPr>
        <w:spacing w:line="360" w:lineRule="auto"/>
        <w:rPr>
          <w:rFonts w:hAnsi="宋体" w:cs="楷体"/>
          <w:b/>
          <w:color w:val="000000"/>
          <w:szCs w:val="24"/>
          <w:highlight w:val="none"/>
        </w:rPr>
      </w:pPr>
      <w:r>
        <w:rPr>
          <w:rFonts w:hint="eastAsia" w:hAnsi="宋体" w:cs="楷体"/>
          <w:b/>
          <w:color w:val="000000"/>
          <w:szCs w:val="24"/>
          <w:highlight w:val="none"/>
        </w:rPr>
        <w:t>十四、合同订立</w:t>
      </w:r>
    </w:p>
    <w:p w14:paraId="6873997A">
      <w:pPr>
        <w:adjustRightInd w:val="0"/>
        <w:snapToGrid w:val="0"/>
        <w:spacing w:line="360" w:lineRule="auto"/>
        <w:ind w:firstLine="475" w:firstLineChars="198"/>
        <w:rPr>
          <w:rFonts w:hAnsi="宋体" w:cs="楷体"/>
          <w:color w:val="000000"/>
          <w:szCs w:val="24"/>
          <w:highlight w:val="none"/>
        </w:rPr>
      </w:pPr>
      <w:r>
        <w:rPr>
          <w:rFonts w:hint="eastAsia" w:hAnsi="宋体" w:cs="楷体"/>
          <w:color w:val="000000"/>
          <w:szCs w:val="24"/>
          <w:highlight w:val="none"/>
        </w:rPr>
        <w:t>1. 订立时间：</w:t>
      </w:r>
      <w:r>
        <w:rPr>
          <w:rFonts w:hint="eastAsia" w:hAnsi="宋体" w:cs="楷体"/>
          <w:color w:val="000000"/>
          <w:szCs w:val="24"/>
          <w:highlight w:val="none"/>
          <w:u w:val="single"/>
        </w:rPr>
        <w:t xml:space="preserve">          </w:t>
      </w:r>
      <w:r>
        <w:rPr>
          <w:rFonts w:hint="eastAsia" w:hAnsi="宋体" w:cs="楷体"/>
          <w:color w:val="000000"/>
          <w:szCs w:val="24"/>
          <w:highlight w:val="none"/>
        </w:rPr>
        <w:t>年</w:t>
      </w:r>
      <w:r>
        <w:rPr>
          <w:rFonts w:hint="eastAsia" w:hAnsi="宋体" w:cs="楷体"/>
          <w:color w:val="000000"/>
          <w:szCs w:val="24"/>
          <w:highlight w:val="none"/>
          <w:u w:val="single"/>
        </w:rPr>
        <w:t xml:space="preserve">       </w:t>
      </w:r>
      <w:r>
        <w:rPr>
          <w:rFonts w:hint="eastAsia" w:hAnsi="宋体" w:cs="楷体"/>
          <w:color w:val="000000"/>
          <w:szCs w:val="24"/>
          <w:highlight w:val="none"/>
        </w:rPr>
        <w:t>月</w:t>
      </w:r>
      <w:r>
        <w:rPr>
          <w:rFonts w:hint="eastAsia" w:hAnsi="宋体" w:cs="楷体"/>
          <w:color w:val="000000"/>
          <w:szCs w:val="24"/>
          <w:highlight w:val="none"/>
          <w:u w:val="single"/>
        </w:rPr>
        <w:t xml:space="preserve">      </w:t>
      </w:r>
      <w:r>
        <w:rPr>
          <w:rFonts w:hint="eastAsia" w:hAnsi="宋体" w:cs="楷体"/>
          <w:color w:val="000000"/>
          <w:szCs w:val="24"/>
          <w:highlight w:val="none"/>
        </w:rPr>
        <w:t>日。</w:t>
      </w:r>
    </w:p>
    <w:p w14:paraId="226F15C0">
      <w:pPr>
        <w:adjustRightInd w:val="0"/>
        <w:snapToGrid w:val="0"/>
        <w:spacing w:line="360" w:lineRule="auto"/>
        <w:ind w:firstLine="475" w:firstLineChars="198"/>
        <w:rPr>
          <w:rFonts w:hAnsi="宋体" w:cs="楷体"/>
          <w:color w:val="000000"/>
          <w:szCs w:val="24"/>
          <w:highlight w:val="none"/>
        </w:rPr>
      </w:pPr>
      <w:r>
        <w:rPr>
          <w:rFonts w:hint="eastAsia" w:hAnsi="宋体" w:cs="楷体"/>
          <w:color w:val="000000"/>
          <w:szCs w:val="24"/>
          <w:highlight w:val="none"/>
        </w:rPr>
        <w:t>2. 订立地点：</w:t>
      </w:r>
      <w:r>
        <w:rPr>
          <w:rFonts w:hint="eastAsia" w:hAnsi="宋体" w:cs="楷体"/>
          <w:color w:val="000000"/>
          <w:szCs w:val="24"/>
          <w:highlight w:val="none"/>
          <w:u w:val="single"/>
        </w:rPr>
        <w:t xml:space="preserve">                                 </w:t>
      </w:r>
      <w:r>
        <w:rPr>
          <w:rFonts w:hint="eastAsia" w:hAnsi="宋体" w:cs="楷体"/>
          <w:color w:val="000000"/>
          <w:szCs w:val="24"/>
          <w:highlight w:val="none"/>
        </w:rPr>
        <w:t>。</w:t>
      </w:r>
    </w:p>
    <w:p w14:paraId="54F76A5C">
      <w:pPr>
        <w:tabs>
          <w:tab w:val="left" w:pos="980"/>
        </w:tabs>
        <w:kinsoku w:val="0"/>
        <w:spacing w:line="360" w:lineRule="auto"/>
        <w:ind w:firstLine="480" w:firstLineChars="200"/>
        <w:rPr>
          <w:rFonts w:hAnsi="宋体" w:cs="楷体"/>
          <w:color w:val="000000"/>
          <w:szCs w:val="24"/>
          <w:highlight w:val="none"/>
        </w:rPr>
      </w:pPr>
      <w:r>
        <w:rPr>
          <w:rFonts w:hint="eastAsia" w:hAnsi="宋体" w:cs="楷体"/>
          <w:color w:val="000000"/>
          <w:szCs w:val="24"/>
          <w:highlight w:val="none"/>
        </w:rPr>
        <w:t>3. 本合同一式</w:t>
      </w:r>
      <w:r>
        <w:rPr>
          <w:rFonts w:hint="eastAsia" w:hAnsi="宋体" w:cs="楷体"/>
          <w:color w:val="000000"/>
          <w:szCs w:val="24"/>
          <w:highlight w:val="none"/>
          <w:u w:val="single"/>
        </w:rPr>
        <w:t xml:space="preserve"> 伍 </w:t>
      </w:r>
      <w:r>
        <w:rPr>
          <w:rFonts w:hint="eastAsia" w:hAnsi="宋体" w:cs="楷体"/>
          <w:color w:val="000000"/>
          <w:szCs w:val="24"/>
          <w:highlight w:val="none"/>
        </w:rPr>
        <w:t>份，具有同等法律效力，双方各执</w:t>
      </w:r>
      <w:r>
        <w:rPr>
          <w:rFonts w:hint="eastAsia" w:hAnsi="宋体" w:cs="楷体"/>
          <w:color w:val="000000"/>
          <w:szCs w:val="24"/>
          <w:highlight w:val="none"/>
          <w:u w:val="single"/>
        </w:rPr>
        <w:t xml:space="preserve"> 贰 </w:t>
      </w:r>
      <w:r>
        <w:rPr>
          <w:rFonts w:hint="eastAsia" w:hAnsi="宋体" w:cs="楷体"/>
          <w:color w:val="000000"/>
          <w:szCs w:val="24"/>
          <w:highlight w:val="none"/>
        </w:rPr>
        <w:t>份招标代理机构存档</w:t>
      </w:r>
      <w:r>
        <w:rPr>
          <w:rFonts w:hint="eastAsia" w:hAnsi="宋体" w:cs="楷体"/>
          <w:color w:val="000000"/>
          <w:szCs w:val="24"/>
          <w:highlight w:val="none"/>
          <w:u w:val="single"/>
        </w:rPr>
        <w:t xml:space="preserve"> 壹 </w:t>
      </w:r>
      <w:r>
        <w:rPr>
          <w:rFonts w:hint="eastAsia" w:hAnsi="宋体" w:cs="楷体"/>
          <w:color w:val="000000"/>
          <w:szCs w:val="24"/>
          <w:highlight w:val="none"/>
        </w:rPr>
        <w:t>份。各方签字盖章后生效，合同执行完毕自动失效。</w:t>
      </w:r>
    </w:p>
    <w:p w14:paraId="047395F2">
      <w:pPr>
        <w:pStyle w:val="2"/>
        <w:ind w:firstLine="480"/>
        <w:rPr>
          <w:highlight w:val="none"/>
        </w:rPr>
      </w:pPr>
    </w:p>
    <w:p w14:paraId="520621FE">
      <w:pPr>
        <w:pStyle w:val="2"/>
        <w:ind w:firstLine="480"/>
        <w:rPr>
          <w:highlight w:val="none"/>
        </w:rPr>
      </w:pPr>
    </w:p>
    <w:p w14:paraId="002CBDC3">
      <w:pPr>
        <w:pStyle w:val="2"/>
        <w:ind w:firstLine="480"/>
        <w:rPr>
          <w:highlight w:val="none"/>
        </w:rPr>
      </w:pPr>
    </w:p>
    <w:p w14:paraId="3BE41E0A">
      <w:pPr>
        <w:pStyle w:val="2"/>
        <w:ind w:firstLine="480"/>
        <w:rPr>
          <w:highlight w:val="none"/>
        </w:rPr>
      </w:pPr>
    </w:p>
    <w:p w14:paraId="39A53F38">
      <w:pPr>
        <w:pStyle w:val="2"/>
        <w:ind w:firstLine="480"/>
        <w:rPr>
          <w:highlight w:val="none"/>
        </w:rPr>
      </w:pPr>
    </w:p>
    <w:p w14:paraId="466ED12A">
      <w:pPr>
        <w:tabs>
          <w:tab w:val="left" w:pos="480"/>
        </w:tabs>
        <w:spacing w:line="360" w:lineRule="auto"/>
        <w:jc w:val="center"/>
        <w:rPr>
          <w:rFonts w:hint="eastAsia" w:hAnsi="宋体" w:cs="楷体"/>
          <w:b/>
          <w:color w:val="000000"/>
          <w:szCs w:val="24"/>
          <w:highlight w:val="none"/>
        </w:rPr>
      </w:pPr>
    </w:p>
    <w:p w14:paraId="46B32039">
      <w:pPr>
        <w:tabs>
          <w:tab w:val="left" w:pos="480"/>
        </w:tabs>
        <w:spacing w:line="360" w:lineRule="auto"/>
        <w:jc w:val="center"/>
        <w:rPr>
          <w:rFonts w:hAnsi="宋体" w:cs="楷体"/>
          <w:b/>
          <w:color w:val="000000"/>
          <w:szCs w:val="24"/>
          <w:highlight w:val="none"/>
        </w:rPr>
      </w:pPr>
      <w:r>
        <w:rPr>
          <w:rFonts w:hint="eastAsia" w:hAnsi="宋体" w:cs="楷体"/>
          <w:b/>
          <w:color w:val="000000"/>
          <w:szCs w:val="24"/>
          <w:highlight w:val="none"/>
        </w:rPr>
        <w:t>甲  方（公章）</w:t>
      </w:r>
      <w:r>
        <w:rPr>
          <w:rFonts w:hint="eastAsia" w:hAnsi="宋体" w:cs="楷体"/>
          <w:color w:val="000000"/>
          <w:szCs w:val="24"/>
          <w:highlight w:val="none"/>
        </w:rPr>
        <w:t xml:space="preserve">                      </w:t>
      </w:r>
      <w:r>
        <w:rPr>
          <w:rFonts w:hint="eastAsia" w:hAnsi="宋体" w:cs="楷体"/>
          <w:b/>
          <w:color w:val="000000"/>
          <w:szCs w:val="24"/>
          <w:highlight w:val="none"/>
        </w:rPr>
        <w:t>乙  方（公章）</w:t>
      </w:r>
    </w:p>
    <w:p w14:paraId="49DD55E5">
      <w:pPr>
        <w:tabs>
          <w:tab w:val="left" w:pos="480"/>
        </w:tabs>
        <w:spacing w:line="360" w:lineRule="auto"/>
        <w:ind w:left="5280" w:leftChars="500" w:hanging="4080" w:hangingChars="1700"/>
        <w:rPr>
          <w:rFonts w:hAnsi="宋体" w:cs="楷体"/>
          <w:color w:val="000000"/>
          <w:szCs w:val="24"/>
          <w:highlight w:val="none"/>
        </w:rPr>
      </w:pPr>
      <w:r>
        <w:rPr>
          <w:rFonts w:hint="eastAsia" w:hAnsi="宋体" w:cs="楷体"/>
          <w:color w:val="000000"/>
          <w:szCs w:val="24"/>
          <w:highlight w:val="none"/>
        </w:rPr>
        <w:t>单位名称：                          单位名称：</w:t>
      </w:r>
    </w:p>
    <w:p w14:paraId="58AC03EF">
      <w:pPr>
        <w:tabs>
          <w:tab w:val="left" w:pos="480"/>
        </w:tabs>
        <w:wordWrap w:val="0"/>
        <w:spacing w:line="360" w:lineRule="auto"/>
        <w:ind w:firstLine="1200" w:firstLineChars="500"/>
        <w:rPr>
          <w:rFonts w:hAnsi="宋体" w:cs="楷体"/>
          <w:color w:val="000000"/>
          <w:szCs w:val="24"/>
          <w:highlight w:val="none"/>
        </w:rPr>
      </w:pPr>
      <w:r>
        <w:rPr>
          <w:rFonts w:hint="eastAsia" w:hAnsi="宋体" w:cs="楷体"/>
          <w:color w:val="000000"/>
          <w:szCs w:val="24"/>
          <w:highlight w:val="none"/>
        </w:rPr>
        <w:t>地    址：                          地  址：</w:t>
      </w:r>
    </w:p>
    <w:p w14:paraId="48FBA76D">
      <w:pPr>
        <w:tabs>
          <w:tab w:val="left" w:pos="480"/>
        </w:tabs>
        <w:spacing w:line="360" w:lineRule="auto"/>
        <w:ind w:firstLine="1200" w:firstLineChars="500"/>
        <w:rPr>
          <w:rFonts w:hAnsi="宋体" w:cs="楷体"/>
          <w:color w:val="000000"/>
          <w:szCs w:val="24"/>
          <w:highlight w:val="none"/>
        </w:rPr>
      </w:pPr>
      <w:r>
        <w:rPr>
          <w:rFonts w:hint="eastAsia" w:hAnsi="宋体" w:cs="楷体"/>
          <w:color w:val="000000"/>
          <w:szCs w:val="24"/>
          <w:highlight w:val="none"/>
        </w:rPr>
        <w:t>代 理 人：                          代 理 人：</w:t>
      </w:r>
    </w:p>
    <w:p w14:paraId="7C594D8F">
      <w:pPr>
        <w:tabs>
          <w:tab w:val="left" w:pos="480"/>
        </w:tabs>
        <w:spacing w:line="360" w:lineRule="auto"/>
        <w:ind w:firstLine="1200" w:firstLineChars="500"/>
        <w:rPr>
          <w:rFonts w:hAnsi="宋体" w:cs="楷体"/>
          <w:color w:val="000000"/>
          <w:szCs w:val="24"/>
          <w:highlight w:val="none"/>
        </w:rPr>
      </w:pPr>
      <w:r>
        <w:rPr>
          <w:rFonts w:hint="eastAsia" w:hAnsi="宋体" w:cs="楷体"/>
          <w:color w:val="000000"/>
          <w:szCs w:val="24"/>
          <w:highlight w:val="none"/>
        </w:rPr>
        <w:t>联系电话：                          联系电话：</w:t>
      </w:r>
    </w:p>
    <w:p w14:paraId="7D65FA79">
      <w:pPr>
        <w:tabs>
          <w:tab w:val="left" w:pos="480"/>
        </w:tabs>
        <w:spacing w:line="360" w:lineRule="auto"/>
        <w:jc w:val="center"/>
        <w:rPr>
          <w:rFonts w:hAnsi="宋体" w:cs="楷体"/>
          <w:color w:val="000000"/>
          <w:szCs w:val="24"/>
          <w:highlight w:val="none"/>
        </w:rPr>
      </w:pPr>
      <w:r>
        <w:rPr>
          <w:rFonts w:hint="eastAsia" w:hAnsi="宋体" w:cs="楷体"/>
          <w:color w:val="000000"/>
          <w:szCs w:val="24"/>
          <w:highlight w:val="none"/>
        </w:rPr>
        <w:t xml:space="preserve">                                 </w:t>
      </w:r>
      <w:r>
        <w:rPr>
          <w:rFonts w:hint="eastAsia" w:hAnsi="宋体" w:eastAsia="宋体" w:cs="楷体"/>
          <w:color w:val="000000"/>
          <w:szCs w:val="24"/>
          <w:highlight w:val="none"/>
          <w:lang w:val="en-US" w:eastAsia="zh-CN"/>
        </w:rPr>
        <w:t>账</w:t>
      </w:r>
      <w:r>
        <w:rPr>
          <w:rFonts w:hint="eastAsia" w:hAnsi="宋体" w:cs="楷体"/>
          <w:color w:val="000000"/>
          <w:szCs w:val="24"/>
          <w:highlight w:val="none"/>
        </w:rPr>
        <w:t xml:space="preserve">    号：</w:t>
      </w:r>
    </w:p>
    <w:p w14:paraId="34C99840">
      <w:pPr>
        <w:tabs>
          <w:tab w:val="left" w:pos="480"/>
        </w:tabs>
        <w:spacing w:line="360" w:lineRule="auto"/>
        <w:jc w:val="center"/>
        <w:rPr>
          <w:rFonts w:hAnsi="宋体" w:cs="楷体"/>
          <w:color w:val="000000"/>
          <w:szCs w:val="24"/>
          <w:highlight w:val="none"/>
        </w:rPr>
      </w:pPr>
      <w:r>
        <w:rPr>
          <w:rFonts w:hint="eastAsia" w:hAnsi="宋体" w:cs="楷体"/>
          <w:color w:val="000000"/>
          <w:szCs w:val="24"/>
          <w:highlight w:val="none"/>
        </w:rPr>
        <w:t xml:space="preserve">                                 开户银行：</w:t>
      </w:r>
    </w:p>
    <w:p w14:paraId="209A82AB">
      <w:pPr>
        <w:ind w:firstLine="1200" w:firstLineChars="500"/>
      </w:pPr>
      <w:bookmarkStart w:id="0" w:name="_GoBack"/>
      <w:bookmarkEnd w:id="0"/>
      <w:r>
        <w:rPr>
          <w:rFonts w:hint="eastAsia" w:ascii="宋体" w:hAnsi="宋体" w:cs="楷体"/>
          <w:color w:val="000000"/>
          <w:sz w:val="24"/>
          <w:szCs w:val="24"/>
          <w:highlight w:val="none"/>
        </w:rPr>
        <w:t>签订日期：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34F8E"/>
    <w:multiLevelType w:val="singleLevel"/>
    <w:tmpl w:val="2E734F8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911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w:basedOn w:val="1"/>
    <w:next w:val="1"/>
    <w:semiHidden/>
    <w:unhideWhenUsed/>
    <w:qFormat/>
    <w:uiPriority w:val="99"/>
    <w:pPr>
      <w:spacing w:after="120"/>
    </w:p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2026-07-08T07:38:35Z</dcterms:created>
  <dc:creator>Admin</dc:creator>
  <cp:lastModifiedBy>WPS_1544074700</cp:lastModifiedBy>
  <dcterms:modified xsi:type="dcterms:W3CDTF">2026-07-08T07:40:22Z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F6040437FB214F30BAB88EBF42600635_12</vt:lpwstr>
  </property>
</Properties>
</file>