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1B4AF2">
      <w:pPr>
        <w:jc w:val="center"/>
        <w:outlineLvl w:val="0"/>
        <w:rPr>
          <w:rFonts w:hint="eastAsia" w:asciiTheme="minorEastAsia" w:hAnsiTheme="minorEastAsia" w:eastAsiaTheme="minorEastAsia" w:cstheme="minorEastAsia"/>
          <w:b/>
          <w:bCs/>
          <w:highlight w:val="none"/>
          <w:lang w:eastAsia="zh-CN"/>
        </w:rPr>
      </w:pPr>
      <w:r>
        <w:rPr>
          <w:rFonts w:hint="eastAsia" w:asciiTheme="minorEastAsia" w:hAnsiTheme="minorEastAsia" w:eastAsiaTheme="minorEastAsia" w:cstheme="minorEastAsia"/>
          <w:b/>
          <w:bCs/>
          <w:sz w:val="36"/>
          <w:szCs w:val="36"/>
          <w:highlight w:val="none"/>
        </w:rPr>
        <w:t>采购需求附件</w:t>
      </w:r>
    </w:p>
    <w:p w14:paraId="2A45F6B7">
      <w:pPr>
        <w:jc w:val="center"/>
        <w:rPr>
          <w:highlight w:val="none"/>
        </w:rPr>
      </w:pPr>
    </w:p>
    <w:p w14:paraId="19964DDB">
      <w:pPr>
        <w:jc w:val="center"/>
        <w:rPr>
          <w:rFonts w:ascii="仿宋" w:hAnsi="仿宋" w:eastAsia="仿宋"/>
          <w:b/>
          <w:sz w:val="32"/>
          <w:highlight w:val="none"/>
        </w:rPr>
      </w:pPr>
      <w:r>
        <w:rPr>
          <w:rFonts w:hint="eastAsia" w:ascii="仿宋" w:hAnsi="仿宋" w:eastAsia="仿宋"/>
          <w:b/>
          <w:sz w:val="32"/>
          <w:highlight w:val="none"/>
        </w:rPr>
        <w:t>西安市卫生学校</w:t>
      </w:r>
    </w:p>
    <w:p w14:paraId="0334149D">
      <w:pPr>
        <w:jc w:val="center"/>
        <w:rPr>
          <w:rFonts w:ascii="仿宋" w:hAnsi="仿宋" w:eastAsia="仿宋"/>
          <w:b/>
          <w:sz w:val="32"/>
          <w:highlight w:val="none"/>
        </w:rPr>
      </w:pPr>
      <w:r>
        <w:rPr>
          <w:rFonts w:hint="eastAsia" w:ascii="仿宋" w:hAnsi="仿宋" w:eastAsia="仿宋"/>
          <w:b/>
          <w:sz w:val="32"/>
          <w:highlight w:val="none"/>
          <w:lang w:eastAsia="zh-CN"/>
        </w:rPr>
        <w:t>沉浸式虚实互动急救虚拟仿真实训室建设项目</w:t>
      </w:r>
      <w:r>
        <w:rPr>
          <w:rFonts w:hint="eastAsia" w:ascii="仿宋" w:hAnsi="仿宋" w:eastAsia="仿宋"/>
          <w:b/>
          <w:sz w:val="32"/>
          <w:highlight w:val="none"/>
        </w:rPr>
        <w:t>产品清单</w:t>
      </w:r>
    </w:p>
    <w:tbl>
      <w:tblPr>
        <w:tblStyle w:val="2"/>
        <w:tblW w:w="10207" w:type="dxa"/>
        <w:tblInd w:w="-866"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760"/>
        <w:gridCol w:w="800"/>
        <w:gridCol w:w="672"/>
        <w:gridCol w:w="6557"/>
        <w:gridCol w:w="709"/>
        <w:gridCol w:w="709"/>
      </w:tblGrid>
      <w:tr w14:paraId="5E36A79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trPr>
        <w:tc>
          <w:tcPr>
            <w:tcW w:w="760" w:type="dxa"/>
            <w:tcBorders>
              <w:top w:val="double" w:color="auto" w:sz="4" w:space="0"/>
              <w:bottom w:val="double" w:color="auto" w:sz="4" w:space="0"/>
            </w:tcBorders>
            <w:shd w:val="clear" w:color="auto" w:fill="E3F1D9" w:themeFill="accent4" w:themeFillTint="33"/>
            <w:noWrap/>
            <w:vAlign w:val="center"/>
          </w:tcPr>
          <w:p w14:paraId="109CEA04">
            <w:pPr>
              <w:widowControl/>
              <w:jc w:val="center"/>
              <w:rPr>
                <w:rFonts w:hint="eastAsia" w:asciiTheme="minorEastAsia" w:hAnsiTheme="minorEastAsia" w:eastAsiaTheme="minorEastAsia" w:cstheme="minorEastAsia"/>
                <w:b/>
                <w:color w:val="000000"/>
                <w:kern w:val="0"/>
                <w:sz w:val="20"/>
                <w:szCs w:val="20"/>
                <w:highlight w:val="none"/>
              </w:rPr>
            </w:pPr>
            <w:r>
              <w:rPr>
                <w:rFonts w:hint="eastAsia" w:asciiTheme="minorEastAsia" w:hAnsiTheme="minorEastAsia" w:eastAsiaTheme="minorEastAsia" w:cstheme="minorEastAsia"/>
                <w:b/>
                <w:color w:val="000000"/>
                <w:kern w:val="0"/>
                <w:sz w:val="20"/>
                <w:szCs w:val="20"/>
                <w:highlight w:val="none"/>
              </w:rPr>
              <w:t>序号</w:t>
            </w:r>
          </w:p>
        </w:tc>
        <w:tc>
          <w:tcPr>
            <w:tcW w:w="1472" w:type="dxa"/>
            <w:gridSpan w:val="2"/>
            <w:tcBorders>
              <w:top w:val="double" w:color="auto" w:sz="4" w:space="0"/>
              <w:bottom w:val="double" w:color="auto" w:sz="4" w:space="0"/>
            </w:tcBorders>
            <w:shd w:val="clear" w:color="auto" w:fill="E3F1D9" w:themeFill="accent4" w:themeFillTint="33"/>
            <w:vAlign w:val="center"/>
          </w:tcPr>
          <w:p w14:paraId="628FFF17">
            <w:pPr>
              <w:widowControl/>
              <w:jc w:val="center"/>
              <w:rPr>
                <w:rFonts w:hint="eastAsia" w:asciiTheme="minorEastAsia" w:hAnsiTheme="minorEastAsia" w:eastAsiaTheme="minorEastAsia" w:cstheme="minorEastAsia"/>
                <w:b/>
                <w:color w:val="000000"/>
                <w:kern w:val="0"/>
                <w:sz w:val="20"/>
                <w:szCs w:val="20"/>
                <w:highlight w:val="none"/>
              </w:rPr>
            </w:pPr>
            <w:r>
              <w:rPr>
                <w:rFonts w:hint="eastAsia" w:asciiTheme="minorEastAsia" w:hAnsiTheme="minorEastAsia" w:eastAsiaTheme="minorEastAsia" w:cstheme="minorEastAsia"/>
                <w:b/>
                <w:color w:val="000000"/>
                <w:kern w:val="0"/>
                <w:sz w:val="20"/>
                <w:szCs w:val="20"/>
                <w:highlight w:val="none"/>
              </w:rPr>
              <w:t>产品名称</w:t>
            </w:r>
          </w:p>
        </w:tc>
        <w:tc>
          <w:tcPr>
            <w:tcW w:w="6557" w:type="dxa"/>
            <w:tcBorders>
              <w:top w:val="double" w:color="auto" w:sz="4" w:space="0"/>
              <w:bottom w:val="double" w:color="auto" w:sz="4" w:space="0"/>
            </w:tcBorders>
            <w:shd w:val="clear" w:color="auto" w:fill="E3F1D9" w:themeFill="accent4" w:themeFillTint="33"/>
            <w:noWrap/>
            <w:vAlign w:val="center"/>
          </w:tcPr>
          <w:p w14:paraId="3D967CEE">
            <w:pPr>
              <w:widowControl/>
              <w:jc w:val="center"/>
              <w:rPr>
                <w:rFonts w:hint="eastAsia" w:asciiTheme="minorEastAsia" w:hAnsiTheme="minorEastAsia" w:eastAsiaTheme="minorEastAsia" w:cstheme="minorEastAsia"/>
                <w:b/>
                <w:color w:val="000000"/>
                <w:kern w:val="0"/>
                <w:sz w:val="20"/>
                <w:szCs w:val="20"/>
                <w:highlight w:val="none"/>
              </w:rPr>
            </w:pPr>
            <w:r>
              <w:rPr>
                <w:rFonts w:hint="eastAsia" w:asciiTheme="minorEastAsia" w:hAnsiTheme="minorEastAsia" w:eastAsiaTheme="minorEastAsia" w:cstheme="minorEastAsia"/>
                <w:b/>
                <w:color w:val="000000"/>
                <w:kern w:val="0"/>
                <w:sz w:val="20"/>
                <w:szCs w:val="20"/>
                <w:highlight w:val="none"/>
              </w:rPr>
              <w:t>功能参数说明</w:t>
            </w:r>
          </w:p>
        </w:tc>
        <w:tc>
          <w:tcPr>
            <w:tcW w:w="709" w:type="dxa"/>
            <w:tcBorders>
              <w:top w:val="double" w:color="auto" w:sz="4" w:space="0"/>
              <w:bottom w:val="double" w:color="auto" w:sz="4" w:space="0"/>
            </w:tcBorders>
            <w:shd w:val="clear" w:color="auto" w:fill="E3F1D9" w:themeFill="accent4" w:themeFillTint="33"/>
            <w:noWrap/>
            <w:vAlign w:val="center"/>
          </w:tcPr>
          <w:p w14:paraId="52A5CF81">
            <w:pPr>
              <w:widowControl/>
              <w:jc w:val="center"/>
              <w:rPr>
                <w:rFonts w:hint="eastAsia" w:asciiTheme="minorEastAsia" w:hAnsiTheme="minorEastAsia" w:eastAsiaTheme="minorEastAsia" w:cstheme="minorEastAsia"/>
                <w:b/>
                <w:color w:val="000000"/>
                <w:kern w:val="0"/>
                <w:sz w:val="20"/>
                <w:szCs w:val="20"/>
                <w:highlight w:val="none"/>
              </w:rPr>
            </w:pPr>
            <w:r>
              <w:rPr>
                <w:rFonts w:hint="eastAsia" w:asciiTheme="minorEastAsia" w:hAnsiTheme="minorEastAsia" w:eastAsiaTheme="minorEastAsia" w:cstheme="minorEastAsia"/>
                <w:b/>
                <w:color w:val="000000"/>
                <w:kern w:val="0"/>
                <w:sz w:val="20"/>
                <w:szCs w:val="20"/>
                <w:highlight w:val="none"/>
              </w:rPr>
              <w:t>单位</w:t>
            </w:r>
          </w:p>
        </w:tc>
        <w:tc>
          <w:tcPr>
            <w:tcW w:w="709" w:type="dxa"/>
            <w:tcBorders>
              <w:top w:val="double" w:color="auto" w:sz="4" w:space="0"/>
              <w:bottom w:val="double" w:color="auto" w:sz="4" w:space="0"/>
            </w:tcBorders>
            <w:shd w:val="clear" w:color="auto" w:fill="E3F1D9" w:themeFill="accent4" w:themeFillTint="33"/>
            <w:noWrap/>
            <w:vAlign w:val="center"/>
          </w:tcPr>
          <w:p w14:paraId="366C2AA8">
            <w:pPr>
              <w:widowControl/>
              <w:jc w:val="center"/>
              <w:rPr>
                <w:rFonts w:hint="eastAsia" w:asciiTheme="minorEastAsia" w:hAnsiTheme="minorEastAsia" w:eastAsiaTheme="minorEastAsia" w:cstheme="minorEastAsia"/>
                <w:b/>
                <w:color w:val="000000"/>
                <w:kern w:val="0"/>
                <w:sz w:val="20"/>
                <w:szCs w:val="20"/>
                <w:highlight w:val="none"/>
              </w:rPr>
            </w:pPr>
            <w:r>
              <w:rPr>
                <w:rFonts w:hint="eastAsia" w:asciiTheme="minorEastAsia" w:hAnsiTheme="minorEastAsia" w:eastAsiaTheme="minorEastAsia" w:cstheme="minorEastAsia"/>
                <w:b/>
                <w:color w:val="000000"/>
                <w:kern w:val="0"/>
                <w:sz w:val="20"/>
                <w:szCs w:val="20"/>
                <w:highlight w:val="none"/>
              </w:rPr>
              <w:t>数量</w:t>
            </w:r>
          </w:p>
        </w:tc>
      </w:tr>
      <w:tr w14:paraId="4F6C937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62" w:hRule="atLeast"/>
        </w:trPr>
        <w:tc>
          <w:tcPr>
            <w:tcW w:w="760" w:type="dxa"/>
            <w:tcBorders>
              <w:top w:val="double" w:color="auto" w:sz="4" w:space="0"/>
            </w:tcBorders>
            <w:shd w:val="clear" w:color="auto" w:fill="auto"/>
            <w:noWrap/>
            <w:vAlign w:val="center"/>
          </w:tcPr>
          <w:p w14:paraId="54D60C1F">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1</w:t>
            </w:r>
          </w:p>
        </w:tc>
        <w:tc>
          <w:tcPr>
            <w:tcW w:w="1472" w:type="dxa"/>
            <w:gridSpan w:val="2"/>
            <w:tcBorders>
              <w:top w:val="double" w:color="auto" w:sz="4" w:space="0"/>
            </w:tcBorders>
            <w:shd w:val="clear" w:color="auto" w:fill="auto"/>
            <w:vAlign w:val="center"/>
          </w:tcPr>
          <w:p w14:paraId="5A994399">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全景数字孪生仿真管理中心</w:t>
            </w:r>
          </w:p>
        </w:tc>
        <w:tc>
          <w:tcPr>
            <w:tcW w:w="6557" w:type="dxa"/>
            <w:tcBorders>
              <w:top w:val="double" w:color="auto" w:sz="4" w:space="0"/>
            </w:tcBorders>
            <w:shd w:val="clear" w:color="auto" w:fill="auto"/>
            <w:vAlign w:val="center"/>
          </w:tcPr>
          <w:p w14:paraId="1860EBEC">
            <w:pPr>
              <w:widowControl/>
              <w:jc w:val="left"/>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一、系统管理平台：</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1.支持教师账号、学生账号登陆。</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▲2.支持统计分析、素质扩展管理、演练目标管理、情景任务管理、病例管理、考核管理、演练管理。(投标人应提供完整截图证明功能模块)</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3.统计分析支持考核分析、演练统计、急救资源统计。考核分析支持参考率、成绩分布的统计；演练统计支持演练次数、演练成绩、演练场景、演练项目的统计，支持按照开始/结束月份时间、考试类目、班级进行筛选；急救资源统计支持素质拓展、演练目标、急救病例、情景任务的统计。(投标人应提供完整截图证明功能模块)</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4.素质扩展管理可显示图片、时间。支持对素质拓展编辑、删除、新增操作，新增可上传系统图片。</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5.演练目标管理可显示描述、时间。支持对演练目标编辑、删除、新增操作，新增可编辑演练目标具体描述。</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6.情景任务管理可显示情景模板、描述、时间。支持对情景任务编辑、删除、新增操作，新增支持选择情景、编辑任务描述。</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7.病例管理可显示名字、伤情、目测描述信息、年龄、脉搏（次/分钟）、呼吸（次/分钟）、血压（高压值）、血压（低压值）、心率（次/分钟）、指脉氧、检伤分类、查体记录信息、电除颤配置和时间。支持对病例进行编辑、删除、新增操作，新增支持编辑伤情、名字、年龄、脉搏（次/分钟）、血压（高压值）、血压（低压值）、呼吸（次/分钟）、心率（次/分钟）、检伤分类（支持第一优先、第二优先、第三优先、死亡和无等条件进行筛选）、指脉氧、电除颤配置（支持同步直流电-双向波100J、150J、200J，非同步直流电-双向波100J、150J、200J等条件进行筛选）、查体记录信息、目测描述信息。(投标人应提供完整截图证明功能模块)</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8.考核管理支持按照考核场景、考核状态、考核班级、开始/结束时间区间筛选显示，同时支持按照考核标题搜索筛选，可显示考核名称、考核场景、考核班级、考核状态、考核时间区间（开始-结束）、发布时间。支持对已结束的考核进行查看考核信息、查看考生；支持对待开始的考核进行查看考核信息、查看考生、编辑、删除操作；支持对进行中的考核进行查看考核信息、查看考生、结束考核、删除操作。</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9.查看考核信息可显示基础设置、考核对象、考核时间。基础设置可显示考核名称、考核场景、天气数据、灾害级别、现场距离（米）、情景任务、演练目标、伤员人数、设置病例、阅卷老师、素质拓展等，考核对象可显示考核学生，考核时间可显示开始时间、结束时间、发布时间、签到时间、最晚签到时间、最早交卷时间、成绩公布时间等。(投标人应提供完整截图证明功能模块)</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10.查看考生支持按照考核状态、考核班级筛选显示，同时支持按照学生姓名搜索筛选。可显示名称、班级、考核伤情、考核状态、总成绩、客观题得分、主观题得分、考核用时（分钟）、签到时间、结束时间、操作。(投标人应提供完整截图证明功能模块)</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11.新增考核可编辑基础设置、考核对象、考核时间。基础设置可编辑考核标题、考核场景、天气数据、灾害级别、现场距离（米）、情景任务、演练目标、伤员人数、病例、阅卷老师、素质拓展；考核对象可根据组织选择对应的学生列表。考核时间可编辑开始时间、结束时间、发布时间、签到时间、最晚签到时间、最早交卷时间、成绩公布时间。(投标人应提供完整截图证明功能模块)</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12.演练管理支持按照考核班级、开始/结束时间区间筛选显示，同时支持按照学生姓名/学号搜索筛选，可显示名称、学号、班级、演练次数、最好成绩（客观题）、最近演练时间。支持查看演练操作，查看演练支持按照演练场景、演练伤情、开始/结束时间区间筛选显示。可显示演练场景、演练伤情、演练日期、开始时间、结束时间、演练成绩（客观题）支持查看评分，可显示考生、班级、客观题得分、应急预案、现场评估及演练报告得分，支持查看得分详情，可显示考核点、得分、得分类型、实际操作、正确操作/评价。(投标人应提供完整截图证明功能模块)</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13.学生端账号支持演练统计和我的考核模块。演练统计支持按照场景、时间区间筛选显示，可显示演练场景、演练项目、项目等级、演练日期、演练开始时间、演练结束时间、得分。支持查看操作，可显示得分详情、记录单、计划、反思报告、健康知识。我的考核支持按照考核状态、时间区间筛选显示，支持按照搜索内容搜索筛选，可显示考核名称、考核项目、考核时间区间（开始-结束）、考核状态、成绩、考核用时（分钟）、签到时间、结束时间，支持查看操作。</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二、VR实景数字孪生虚拟救护系统功能：</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1.强烈沉浸性：通过数字孪生技术三维建模、通过VR眼镜，实现虚实一体化，学员可全景沉浸逼真展真实现场情境。</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2.边看边练、赛考一体：通过语音讲解及虚拟动画支持的项目有心肺复苏、包扎止血、脊柱搬运等实际救护流程，分步讲解急救流程及操作要点，可根据虚拟导师指导进行边看边练。</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3.具有高仿真场景切换功能：场景须具备较高逼真度，包括场景、设备、人物等，并能根据案例情景设置进行切换。</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▲4.系统执行流程包括：情景任务、演练目标、制定紧急预案、现场评估、检伤分类、现场救助、急速转运、演练报告、效果评价、素质拓展等功能模块。(投标人应提供完整截图证明功能模块)</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5.具有自动评分功能：演练结束系统可自动评分，评分表是按照医学考试指定的百分制表格，分数分为客观题分数及主观题分数</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3DVR仿真虚拟导师系统通过语音讲解及虚拟动画支持的项目有心肺复苏全流程、心肺复苏 (CPR) 等实际救护流程，分步讲解急救流程及操作要点，学员可根据虚拟导师指导进行边看边练。</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三、移动端学习平台：</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采用H5的技术方案，通过应用模块组合的方式，将医学相关专业的课程、题库、标本库等一系列学习内容进行整合，提供在线听课学习、在线答题等，为用户提供统一服务入口，提供更加方便、快捷、高效的一站式整合服务。系统支持本机号码一键登录、其他手机号登陆、学校账号登录，支持验证码重置登录密码，含300个VIP账号</w:t>
            </w:r>
            <w:r>
              <w:rPr>
                <w:rFonts w:hint="eastAsia" w:asciiTheme="minorEastAsia" w:hAnsiTheme="minorEastAsia" w:eastAsiaTheme="minorEastAsia" w:cstheme="minorEastAsia"/>
                <w:color w:val="000000"/>
                <w:kern w:val="0"/>
                <w:sz w:val="20"/>
                <w:szCs w:val="20"/>
                <w:highlight w:val="none"/>
                <w:lang w:val="en-US" w:eastAsia="zh-CN"/>
              </w:rPr>
              <w:t>不少于</w:t>
            </w:r>
            <w:r>
              <w:rPr>
                <w:rFonts w:hint="eastAsia" w:asciiTheme="minorEastAsia" w:hAnsiTheme="minorEastAsia" w:eastAsiaTheme="minorEastAsia" w:cstheme="minorEastAsia"/>
                <w:color w:val="000000"/>
                <w:kern w:val="0"/>
                <w:sz w:val="20"/>
                <w:szCs w:val="20"/>
                <w:highlight w:val="none"/>
              </w:rPr>
              <w:t>5年使用权。</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系统包含首页、会员管理、学习管理、我的管理四大模块。首页拥有海量教学资源，支持用户自主搜索，搜索内容可涵盖课程/题库/数字标本库等，搜索界面可显示历史搜索内容，并可关联热门课程、热门标本、热门题库，使用户快速进入对应学习页面。首页内容包含系统医学课程、题库资源、数字标本资源、虚拟仿真、解剖、人体胚胎、病史采集等。支持将课程链接或课程海报一键分享至微信好友或微信朋友圈，支持将课程海报一键下载并生成一张含有该课程资源的二维码，长按海报点击识别图中二维码即可进入该课程。支持扫一扫功能，用户扫描课程海报上的二维码，可进入对应的课程界面。（需提供产品手机端屏幕录制视频作为功能演示视频）</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3.课程支持按照教育部规定的教学大纲要求章节划分。通过点击对应章节，用户可以迅速而准确地找到对应的课程内容，快速而便捷。课程内容支持微课视频、图文讲义等不同类型，支持收藏。支持笔记功能，可添加笔记，添加的笔记自动保存至对应的章节目录下。题库支持按照教育部规定的教学大纲要求章节划分，学生可自主选择想要测试的章节内容。支持查看错题并附带正确答案和答案解析，支持重刷本章节所有题目。支持重刷题库所有试题，支持收藏试题。.数字标本资源库按照教育部规定的教学大纲要求章节划分，；支持观察模式下的标注及截图功能，截图可以保存至手机本地，方便教学与学习；支持无级放大图像即任意倍率的调整图形清晰不失真；支持局部放大功能，对感兴趣区域进行局部放大。支持旋转功能；支持一键切换进入标本对应的习题；支持截图功能，可查看截图列表；支持实验报告功能；支持一键复位；重点标本配有影像资料可切换进行观察。（需提供产品手机端屏幕录制视频作为功能演示视频）</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4.支持每日一练功能，每天可作答十道练习题；可显示累计打卡天数、累计做题数量及正确率，并支持查看错题集。支持AI智能导师功能，与用户进行一对一交流答疑。支持查看历史对话记录和创建新对话。学习管理包含院校资源和兴趣资源。我的管理包含个人信息、联系客服、向朋友推荐、设置等内容。个人信息可显示昵称、性别、姓名、生日、身份、学校、组织、学号/工号；支持修改昵称、性别、生日。联系客服可联系客服小助手提供技术支持。设置可对账号安全、个性化推荐、AI助手悬浮球、清除缓存、关于我们进行操作及查看。（需提供产品手机端屏幕录制视频作为功能演示视频）</w:t>
            </w:r>
          </w:p>
        </w:tc>
        <w:tc>
          <w:tcPr>
            <w:tcW w:w="709" w:type="dxa"/>
            <w:tcBorders>
              <w:top w:val="double" w:color="auto" w:sz="4" w:space="0"/>
            </w:tcBorders>
            <w:shd w:val="clear" w:color="auto" w:fill="auto"/>
            <w:vAlign w:val="center"/>
          </w:tcPr>
          <w:p w14:paraId="026D3D01">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套</w:t>
            </w:r>
          </w:p>
        </w:tc>
        <w:tc>
          <w:tcPr>
            <w:tcW w:w="709" w:type="dxa"/>
            <w:tcBorders>
              <w:top w:val="double" w:color="auto" w:sz="4" w:space="0"/>
            </w:tcBorders>
            <w:shd w:val="clear" w:color="auto" w:fill="auto"/>
            <w:noWrap/>
            <w:vAlign w:val="center"/>
          </w:tcPr>
          <w:p w14:paraId="2B2DBAB8">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1</w:t>
            </w:r>
          </w:p>
        </w:tc>
      </w:tr>
      <w:tr w14:paraId="490CDBB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55" w:hRule="atLeast"/>
        </w:trPr>
        <w:tc>
          <w:tcPr>
            <w:tcW w:w="760" w:type="dxa"/>
            <w:vMerge w:val="restart"/>
            <w:shd w:val="clear" w:color="auto" w:fill="auto"/>
            <w:noWrap/>
            <w:vAlign w:val="center"/>
          </w:tcPr>
          <w:p w14:paraId="60345927">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2</w:t>
            </w:r>
          </w:p>
        </w:tc>
        <w:tc>
          <w:tcPr>
            <w:tcW w:w="800" w:type="dxa"/>
            <w:vMerge w:val="restart"/>
            <w:shd w:val="clear" w:color="auto" w:fill="auto"/>
            <w:vAlign w:val="center"/>
          </w:tcPr>
          <w:p w14:paraId="716126E6">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3DVR实景仿真虚拟急救训练场景</w:t>
            </w:r>
          </w:p>
        </w:tc>
        <w:tc>
          <w:tcPr>
            <w:tcW w:w="672" w:type="dxa"/>
            <w:shd w:val="clear" w:color="auto" w:fill="auto"/>
            <w:vAlign w:val="center"/>
          </w:tcPr>
          <w:p w14:paraId="2A797E72">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模拟大型交通事故</w:t>
            </w:r>
          </w:p>
        </w:tc>
        <w:tc>
          <w:tcPr>
            <w:tcW w:w="6557" w:type="dxa"/>
            <w:shd w:val="clear" w:color="auto" w:fill="auto"/>
            <w:vAlign w:val="center"/>
          </w:tcPr>
          <w:p w14:paraId="7039563D">
            <w:pPr>
              <w:widowControl/>
              <w:jc w:val="left"/>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（一）系统功能要求</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 xml:space="preserve">1.系统包括练习模式和考试模式，设教师端和学生端。 </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2.指挥中心具有发布训练任务和计时功能。</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 xml:space="preserve">3.教师端可编辑真实训练大型交通事故实景场景案例以及应急处理问题，提供学员应急演练。 </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4.通过数字孪生技术三维建模、通过VR眼镜，实现虚实一体化，学员可全景沉浸逼真展真实现场情境。</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5.边看边练、赛考一体：通过语音讲解及虚拟动画按照心肺复苏、包扎止血、脊柱搬运等实际救护流程，分步讲解，学员边看边练。</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 xml:space="preserve">6.大型交通事故实景场景须具备较高逼真度，并能根据案例情景设置进行切换。 </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7.学生端包括演练目的、任务情景、进入演练等功能模块。</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 xml:space="preserve">8.具有自动评分功能。 </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▲9.演练步骤包括制定应急预案—出警—现场评估—检伤分类—现场救治—急速转运等。(投标人应提供完整截图证明功能模块)</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10.应用程序必须成功加载，失误率</w:t>
            </w:r>
            <w:r>
              <w:rPr>
                <w:rFonts w:hint="eastAsia" w:asciiTheme="minorEastAsia" w:hAnsiTheme="minorEastAsia" w:eastAsiaTheme="minorEastAsia" w:cstheme="minorEastAsia"/>
                <w:color w:val="000000"/>
                <w:kern w:val="0"/>
                <w:sz w:val="20"/>
                <w:szCs w:val="20"/>
                <w:highlight w:val="none"/>
                <w:lang w:val="en-US" w:eastAsia="zh-CN"/>
              </w:rPr>
              <w:t>≤</w:t>
            </w:r>
            <w:r>
              <w:rPr>
                <w:rFonts w:hint="eastAsia" w:asciiTheme="minorEastAsia" w:hAnsiTheme="minorEastAsia" w:eastAsiaTheme="minorEastAsia" w:cstheme="minorEastAsia"/>
                <w:color w:val="000000"/>
                <w:kern w:val="0"/>
                <w:sz w:val="20"/>
                <w:szCs w:val="20"/>
                <w:highlight w:val="none"/>
              </w:rPr>
              <w:t>1%。</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11.系统具有严格的安全措施和手段，确保系统本身和系统内各种数据的安全稳定运行。系统支持裸眼3D、VR大屏多人交互。</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12.支持可扩展的客户化定制开发。</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▲13随堂练习功能，可在观看操作过程中进行实时测试，实时检验学习效果。(投标人应提供完整截图证明功能模块)</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▲14.技能操作评分表，可在实训完成后查看得分点与扣分点。(投标人应完整提供截图证明功能模块)</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（二）系统技术要求</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1.系统场景、救护设备必须按照真实场景1：1标准化建模，引擎场景要做到最大优化，保证系统流畅运行。</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2.有近距离交互功能模型需要精细建模，单体模型不能有穿插。</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3.地震实景场景内模型不能有闪面、重面、破面，不能有多边面。</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4.布线基于结构优化表现。所有模型必须都要有光滑组，光滑组处理符合标准。</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5.场景贴图包含但不限于albedomap、normalmap、metallicmap、roughnessmap等；</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6.系统贴图表现需体现理纹理效果和质感。以像素为单位，尺寸为2的n次方，比如1024*1024、512*1024等，最大尺寸</w:t>
            </w:r>
            <w:r>
              <w:rPr>
                <w:rFonts w:hint="eastAsia" w:asciiTheme="minorEastAsia" w:hAnsiTheme="minorEastAsia" w:eastAsiaTheme="minorEastAsia" w:cstheme="minorEastAsia"/>
                <w:color w:val="000000"/>
                <w:kern w:val="0"/>
                <w:sz w:val="20"/>
                <w:szCs w:val="20"/>
                <w:highlight w:val="none"/>
                <w:lang w:val="en-US" w:eastAsia="zh-CN"/>
              </w:rPr>
              <w:t>≤</w:t>
            </w:r>
            <w:r>
              <w:rPr>
                <w:rFonts w:hint="eastAsia" w:asciiTheme="minorEastAsia" w:hAnsiTheme="minorEastAsia" w:eastAsiaTheme="minorEastAsia" w:cstheme="minorEastAsia"/>
                <w:color w:val="000000"/>
                <w:kern w:val="0"/>
                <w:sz w:val="20"/>
                <w:szCs w:val="20"/>
                <w:highlight w:val="none"/>
              </w:rPr>
              <w:t>2048*2048；</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7.系统需进行场景烘焙，烘焙不能曝光过度，不能有黑边现象，烘焙方式视场景优化情况而定。</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8.系统场景动作部分以关键帧动画、骨骼动画2种动画为主，要求动作真实、自然，符合仿真训练要求。</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（三）系统业务需求：</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1.系统高度仿真火灾、地震等5大实景场景，地面、建筑物、车辆、人物角色、急救工具等3D数字模型，实现全方位、全过程的精确建模。</w:t>
            </w:r>
          </w:p>
        </w:tc>
        <w:tc>
          <w:tcPr>
            <w:tcW w:w="709" w:type="dxa"/>
            <w:vMerge w:val="restart"/>
            <w:shd w:val="clear" w:color="auto" w:fill="auto"/>
            <w:vAlign w:val="center"/>
          </w:tcPr>
          <w:p w14:paraId="52796DCB">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套</w:t>
            </w:r>
          </w:p>
        </w:tc>
        <w:tc>
          <w:tcPr>
            <w:tcW w:w="709" w:type="dxa"/>
            <w:vMerge w:val="restart"/>
            <w:shd w:val="clear" w:color="auto" w:fill="auto"/>
            <w:noWrap/>
            <w:vAlign w:val="center"/>
          </w:tcPr>
          <w:p w14:paraId="78B0BB9B">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1</w:t>
            </w:r>
          </w:p>
        </w:tc>
      </w:tr>
      <w:tr w14:paraId="78BBCEB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55" w:hRule="atLeast"/>
        </w:trPr>
        <w:tc>
          <w:tcPr>
            <w:tcW w:w="760" w:type="dxa"/>
            <w:vMerge w:val="continue"/>
            <w:vAlign w:val="center"/>
          </w:tcPr>
          <w:p w14:paraId="09790FCC">
            <w:pPr>
              <w:widowControl/>
              <w:jc w:val="left"/>
              <w:rPr>
                <w:rFonts w:hint="eastAsia" w:asciiTheme="minorEastAsia" w:hAnsiTheme="minorEastAsia" w:eastAsiaTheme="minorEastAsia" w:cstheme="minorEastAsia"/>
                <w:color w:val="000000"/>
                <w:kern w:val="0"/>
                <w:sz w:val="20"/>
                <w:szCs w:val="20"/>
                <w:highlight w:val="none"/>
              </w:rPr>
            </w:pPr>
          </w:p>
        </w:tc>
        <w:tc>
          <w:tcPr>
            <w:tcW w:w="800" w:type="dxa"/>
            <w:vMerge w:val="continue"/>
            <w:vAlign w:val="center"/>
          </w:tcPr>
          <w:p w14:paraId="55905A0C">
            <w:pPr>
              <w:widowControl/>
              <w:jc w:val="left"/>
              <w:rPr>
                <w:rFonts w:hint="eastAsia" w:asciiTheme="minorEastAsia" w:hAnsiTheme="minorEastAsia" w:eastAsiaTheme="minorEastAsia" w:cstheme="minorEastAsia"/>
                <w:color w:val="000000"/>
                <w:kern w:val="0"/>
                <w:sz w:val="20"/>
                <w:szCs w:val="20"/>
                <w:highlight w:val="none"/>
              </w:rPr>
            </w:pPr>
          </w:p>
        </w:tc>
        <w:tc>
          <w:tcPr>
            <w:tcW w:w="672" w:type="dxa"/>
            <w:shd w:val="clear" w:color="auto" w:fill="auto"/>
            <w:vAlign w:val="center"/>
          </w:tcPr>
          <w:p w14:paraId="125BE404">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模拟火灾</w:t>
            </w:r>
          </w:p>
        </w:tc>
        <w:tc>
          <w:tcPr>
            <w:tcW w:w="6557" w:type="dxa"/>
            <w:shd w:val="clear" w:color="auto" w:fill="auto"/>
            <w:vAlign w:val="center"/>
          </w:tcPr>
          <w:p w14:paraId="5B5E33C8">
            <w:pPr>
              <w:widowControl/>
              <w:jc w:val="left"/>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以三维动态形式，完整地展示 3DVR 火灾实景仿真虚拟急救训练的完整过程。每个三维动画场景模型面数</w:t>
            </w:r>
            <w:r>
              <w:rPr>
                <w:rFonts w:hint="eastAsia" w:asciiTheme="minorEastAsia" w:hAnsiTheme="minorEastAsia" w:eastAsiaTheme="minorEastAsia" w:cstheme="minorEastAsia"/>
                <w:color w:val="000000"/>
                <w:kern w:val="0"/>
                <w:sz w:val="20"/>
                <w:szCs w:val="20"/>
                <w:highlight w:val="none"/>
                <w:lang w:val="en-US" w:eastAsia="zh-CN"/>
              </w:rPr>
              <w:t>≥</w:t>
            </w:r>
            <w:r>
              <w:rPr>
                <w:rFonts w:hint="eastAsia" w:asciiTheme="minorEastAsia" w:hAnsiTheme="minorEastAsia" w:eastAsiaTheme="minorEastAsia" w:cstheme="minorEastAsia"/>
                <w:color w:val="000000"/>
                <w:kern w:val="0"/>
                <w:sz w:val="20"/>
                <w:szCs w:val="20"/>
                <w:highlight w:val="none"/>
              </w:rPr>
              <w:t xml:space="preserve"> 100000 面。并匹配3DVR实景。</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操作目标</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1、三维动态展示操作前准备全流程：物品准备、操作人员准备、环境准备、任务沟通等。</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2、三维动态展示详细操作步骤：预案与出警、现场评估、检伤分类、现场救治、心肺复苏、脊柱搬运、包扎止血、急速转运等。</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3、三维动态展示操作后处理步骤：说明结果、物品处理等。</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4、三维全景展示火灾场景，地面、建筑物等细节逼真，操作人员与伤员在场景中按流程操作。</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5、三维动态依次展示急救车及所需物品，均为真实 1:1 三维建模，场景贴图体现纹理和质感，尺寸符合标准，可做示教。</w:t>
            </w:r>
          </w:p>
        </w:tc>
        <w:tc>
          <w:tcPr>
            <w:tcW w:w="709" w:type="dxa"/>
            <w:vMerge w:val="continue"/>
            <w:vAlign w:val="center"/>
          </w:tcPr>
          <w:p w14:paraId="34F24892">
            <w:pPr>
              <w:widowControl/>
              <w:jc w:val="left"/>
              <w:rPr>
                <w:rFonts w:hint="eastAsia" w:asciiTheme="minorEastAsia" w:hAnsiTheme="minorEastAsia" w:eastAsiaTheme="minorEastAsia" w:cstheme="minorEastAsia"/>
                <w:color w:val="000000"/>
                <w:kern w:val="0"/>
                <w:sz w:val="20"/>
                <w:szCs w:val="20"/>
                <w:highlight w:val="none"/>
              </w:rPr>
            </w:pPr>
          </w:p>
        </w:tc>
        <w:tc>
          <w:tcPr>
            <w:tcW w:w="709" w:type="dxa"/>
            <w:vMerge w:val="continue"/>
            <w:vAlign w:val="center"/>
          </w:tcPr>
          <w:p w14:paraId="4A3070B9">
            <w:pPr>
              <w:widowControl/>
              <w:jc w:val="left"/>
              <w:rPr>
                <w:rFonts w:hint="eastAsia" w:asciiTheme="minorEastAsia" w:hAnsiTheme="minorEastAsia" w:eastAsiaTheme="minorEastAsia" w:cstheme="minorEastAsia"/>
                <w:color w:val="000000"/>
                <w:kern w:val="0"/>
                <w:sz w:val="20"/>
                <w:szCs w:val="20"/>
                <w:highlight w:val="none"/>
              </w:rPr>
            </w:pPr>
          </w:p>
        </w:tc>
      </w:tr>
      <w:tr w14:paraId="5AC4C4F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55" w:hRule="atLeast"/>
        </w:trPr>
        <w:tc>
          <w:tcPr>
            <w:tcW w:w="760" w:type="dxa"/>
            <w:vMerge w:val="continue"/>
            <w:vAlign w:val="center"/>
          </w:tcPr>
          <w:p w14:paraId="077C81B2">
            <w:pPr>
              <w:widowControl/>
              <w:jc w:val="left"/>
              <w:rPr>
                <w:rFonts w:hint="eastAsia" w:asciiTheme="minorEastAsia" w:hAnsiTheme="minorEastAsia" w:eastAsiaTheme="minorEastAsia" w:cstheme="minorEastAsia"/>
                <w:color w:val="000000"/>
                <w:kern w:val="0"/>
                <w:sz w:val="20"/>
                <w:szCs w:val="20"/>
                <w:highlight w:val="none"/>
              </w:rPr>
            </w:pPr>
          </w:p>
        </w:tc>
        <w:tc>
          <w:tcPr>
            <w:tcW w:w="800" w:type="dxa"/>
            <w:vMerge w:val="continue"/>
            <w:vAlign w:val="center"/>
          </w:tcPr>
          <w:p w14:paraId="3B53A082">
            <w:pPr>
              <w:widowControl/>
              <w:jc w:val="left"/>
              <w:rPr>
                <w:rFonts w:hint="eastAsia" w:asciiTheme="minorEastAsia" w:hAnsiTheme="minorEastAsia" w:eastAsiaTheme="minorEastAsia" w:cstheme="minorEastAsia"/>
                <w:color w:val="000000"/>
                <w:kern w:val="0"/>
                <w:sz w:val="20"/>
                <w:szCs w:val="20"/>
                <w:highlight w:val="none"/>
              </w:rPr>
            </w:pPr>
          </w:p>
        </w:tc>
        <w:tc>
          <w:tcPr>
            <w:tcW w:w="672" w:type="dxa"/>
            <w:shd w:val="clear" w:color="auto" w:fill="auto"/>
            <w:vAlign w:val="center"/>
          </w:tcPr>
          <w:p w14:paraId="56C3F71B">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模拟触电</w:t>
            </w:r>
          </w:p>
        </w:tc>
        <w:tc>
          <w:tcPr>
            <w:tcW w:w="6557" w:type="dxa"/>
            <w:shd w:val="clear" w:color="auto" w:fill="auto"/>
            <w:vAlign w:val="center"/>
          </w:tcPr>
          <w:p w14:paraId="6BB3E6D1">
            <w:pPr>
              <w:widowControl/>
              <w:jc w:val="left"/>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1、基于真实触电场景采用三维高仿真建模，医护人员及触电患者按照正常真人比例 1:1 建模，触电现场的建筑物、设备及急救工具按照真实设备 1:1 高仿真建模，三维场景和动作采用触发式技能操作进行交互式操作，高度还原触电急救全过程，通过 U3D、虚拟现实技术完美直观呈现。</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2、三维展示急救人员与相关人员沟通，了解触电情况（如触电时间、电源类型等）。</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3、三维展示急救人员使用绝缘工具（如绝缘棒）使患者脱离电源，动作规范，避免自身触电。</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4、三维展示急救人员到达患者身边，评估现场环境安全性，确认无危险后展开急救。</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5、三维展示急救人员判断患者意识、呼吸及颈动脉搏动情况，观察有无电灼伤等外伤。</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6、三维展示按步骤进行心肺复苏，包括判断意识并呼救，判断颈动脉搏动及自主呼吸，安置患者体位，进行胸外按压（双手交叉，以掌根按压胸骨中下段 1/3 处，按压深度 5-6 厘米，频率 100-120 次 / 分钟），开放气道（清除口鼻异物，采用仰头提颏法），进行人工呼吸（捏紧鼻翼，口对口吹气，每次吹气 1-2 秒，可见胸廓起伏），连续完成 5 个按压与吹气循环等。按压过程中口述按压次数，节律准确。</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7、三维展示在病情稍稳定后，1-2 分钟内完成快速检诊，按轻、中、重度伤、死亡分别挂绿色、黄色和红色、黑色标识。</w:t>
            </w:r>
          </w:p>
        </w:tc>
        <w:tc>
          <w:tcPr>
            <w:tcW w:w="709" w:type="dxa"/>
            <w:vMerge w:val="continue"/>
            <w:vAlign w:val="center"/>
          </w:tcPr>
          <w:p w14:paraId="66959973">
            <w:pPr>
              <w:widowControl/>
              <w:jc w:val="left"/>
              <w:rPr>
                <w:rFonts w:hint="eastAsia" w:asciiTheme="minorEastAsia" w:hAnsiTheme="minorEastAsia" w:eastAsiaTheme="minorEastAsia" w:cstheme="minorEastAsia"/>
                <w:color w:val="000000"/>
                <w:kern w:val="0"/>
                <w:sz w:val="20"/>
                <w:szCs w:val="20"/>
                <w:highlight w:val="none"/>
              </w:rPr>
            </w:pPr>
          </w:p>
        </w:tc>
        <w:tc>
          <w:tcPr>
            <w:tcW w:w="709" w:type="dxa"/>
            <w:vMerge w:val="continue"/>
            <w:vAlign w:val="center"/>
          </w:tcPr>
          <w:p w14:paraId="2A21002D">
            <w:pPr>
              <w:widowControl/>
              <w:jc w:val="left"/>
              <w:rPr>
                <w:rFonts w:hint="eastAsia" w:asciiTheme="minorEastAsia" w:hAnsiTheme="minorEastAsia" w:eastAsiaTheme="minorEastAsia" w:cstheme="minorEastAsia"/>
                <w:color w:val="000000"/>
                <w:kern w:val="0"/>
                <w:sz w:val="20"/>
                <w:szCs w:val="20"/>
                <w:highlight w:val="none"/>
              </w:rPr>
            </w:pPr>
          </w:p>
        </w:tc>
      </w:tr>
      <w:tr w14:paraId="040A53F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55" w:hRule="atLeast"/>
        </w:trPr>
        <w:tc>
          <w:tcPr>
            <w:tcW w:w="760" w:type="dxa"/>
            <w:vMerge w:val="continue"/>
            <w:vAlign w:val="center"/>
          </w:tcPr>
          <w:p w14:paraId="1F01F7D1">
            <w:pPr>
              <w:widowControl/>
              <w:jc w:val="left"/>
              <w:rPr>
                <w:rFonts w:hint="eastAsia" w:asciiTheme="minorEastAsia" w:hAnsiTheme="minorEastAsia" w:eastAsiaTheme="minorEastAsia" w:cstheme="minorEastAsia"/>
                <w:color w:val="000000"/>
                <w:kern w:val="0"/>
                <w:sz w:val="20"/>
                <w:szCs w:val="20"/>
                <w:highlight w:val="none"/>
              </w:rPr>
            </w:pPr>
          </w:p>
        </w:tc>
        <w:tc>
          <w:tcPr>
            <w:tcW w:w="800" w:type="dxa"/>
            <w:vMerge w:val="continue"/>
            <w:vAlign w:val="center"/>
          </w:tcPr>
          <w:p w14:paraId="19940A93">
            <w:pPr>
              <w:widowControl/>
              <w:jc w:val="left"/>
              <w:rPr>
                <w:rFonts w:hint="eastAsia" w:asciiTheme="minorEastAsia" w:hAnsiTheme="minorEastAsia" w:eastAsiaTheme="minorEastAsia" w:cstheme="minorEastAsia"/>
                <w:color w:val="000000"/>
                <w:kern w:val="0"/>
                <w:sz w:val="20"/>
                <w:szCs w:val="20"/>
                <w:highlight w:val="none"/>
              </w:rPr>
            </w:pPr>
          </w:p>
        </w:tc>
        <w:tc>
          <w:tcPr>
            <w:tcW w:w="672" w:type="dxa"/>
            <w:shd w:val="clear" w:color="auto" w:fill="auto"/>
            <w:vAlign w:val="center"/>
          </w:tcPr>
          <w:p w14:paraId="7E8D9CA8">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模拟大型食物中毒</w:t>
            </w:r>
          </w:p>
        </w:tc>
        <w:tc>
          <w:tcPr>
            <w:tcW w:w="6557" w:type="dxa"/>
            <w:shd w:val="clear" w:color="auto" w:fill="auto"/>
            <w:vAlign w:val="center"/>
          </w:tcPr>
          <w:p w14:paraId="72349356">
            <w:pPr>
              <w:widowControl/>
              <w:jc w:val="left"/>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（一）系统功能要求</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 xml:space="preserve">1.系统包括练习模式和考试模式，设教师端和学生端。 </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2.指挥中心具有发布训练任务和计时功能。</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 xml:space="preserve">3.教师端可编辑真实训练食物中毒实景场景案例以及应急处理问题，提供学员应急演练。 </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4.通过数字孪生技术三维建模、通过VR实现虚实一体化，学员可全景沉浸逼真展真实现场情境。</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5.边看边练、赛考一体：通过语音讲解及虚拟动画按照心肺复苏等实际救护流程，分步讲解，学员边看边练。</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 xml:space="preserve">6.食物中毒实景场景须具备较高逼真度，并能根据案例情景设置进行切换。 </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7.学生端包括：</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7.1演练目的：1）熟悉接警流程；2)熟悉处警流程；3)掌握食物中毒的急救技能。</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任务情景：进入演练、等功能模块。</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 xml:space="preserve">8.具有自动评分功能。 </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9.演练步骤包括制定应急预案—出警—现场评估—检伤分类—现场救治—急速转运等</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10.场景一：急救调度员接到120来电——场景二：医院急救站接到“120”指挥中心电话——场景三：出诊——场景四：行车途中——场景五：到达急救现场——场景六：急救方法——场景七：救护车返院途中</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11.系统展示病人的“V”形手势，张口喘气，眉头紧锁呈痛苦状，口唇青紫。</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12.背部叩击法展示，背部骨性结构的透视效果，显示叩击的部位。</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13.腹部冲击法展示，伸出左手两指，放于病人肚脐眼上方，右手握拳，拳眼放在左手两指的位置，画中画，展示病人的肚脐，展示右拳所在的位置。</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14.胸部冲击法展示，医生右手握拳，放置在患者两乳头连线中点处，画中画，展示右拳所在位置。</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15.胸部按压法展示，患者无意识，快来帮忙抢救，启动应急反应系统，医生开始进行胸外按压，方法同心肺复苏，按压30次，将患者头偏向一侧，检查口腔，发现有异物排出，用手指小心地将其取出。</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16.去医院作进一步检查或进一步治疗。</w:t>
            </w:r>
          </w:p>
        </w:tc>
        <w:tc>
          <w:tcPr>
            <w:tcW w:w="709" w:type="dxa"/>
            <w:vMerge w:val="continue"/>
            <w:vAlign w:val="center"/>
          </w:tcPr>
          <w:p w14:paraId="49CDA752">
            <w:pPr>
              <w:widowControl/>
              <w:jc w:val="left"/>
              <w:rPr>
                <w:rFonts w:hint="eastAsia" w:asciiTheme="minorEastAsia" w:hAnsiTheme="minorEastAsia" w:eastAsiaTheme="minorEastAsia" w:cstheme="minorEastAsia"/>
                <w:color w:val="000000"/>
                <w:kern w:val="0"/>
                <w:sz w:val="20"/>
                <w:szCs w:val="20"/>
                <w:highlight w:val="none"/>
              </w:rPr>
            </w:pPr>
          </w:p>
        </w:tc>
        <w:tc>
          <w:tcPr>
            <w:tcW w:w="709" w:type="dxa"/>
            <w:vMerge w:val="continue"/>
            <w:vAlign w:val="center"/>
          </w:tcPr>
          <w:p w14:paraId="145DEB1B">
            <w:pPr>
              <w:widowControl/>
              <w:jc w:val="left"/>
              <w:rPr>
                <w:rFonts w:hint="eastAsia" w:asciiTheme="minorEastAsia" w:hAnsiTheme="minorEastAsia" w:eastAsiaTheme="minorEastAsia" w:cstheme="minorEastAsia"/>
                <w:color w:val="000000"/>
                <w:kern w:val="0"/>
                <w:sz w:val="20"/>
                <w:szCs w:val="20"/>
                <w:highlight w:val="none"/>
              </w:rPr>
            </w:pPr>
          </w:p>
        </w:tc>
      </w:tr>
      <w:tr w14:paraId="5D6749F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55" w:hRule="atLeast"/>
        </w:trPr>
        <w:tc>
          <w:tcPr>
            <w:tcW w:w="760" w:type="dxa"/>
            <w:vMerge w:val="continue"/>
            <w:vAlign w:val="center"/>
          </w:tcPr>
          <w:p w14:paraId="46E0DD83">
            <w:pPr>
              <w:widowControl/>
              <w:jc w:val="left"/>
              <w:rPr>
                <w:rFonts w:hint="eastAsia" w:asciiTheme="minorEastAsia" w:hAnsiTheme="minorEastAsia" w:eastAsiaTheme="minorEastAsia" w:cstheme="minorEastAsia"/>
                <w:color w:val="000000"/>
                <w:kern w:val="0"/>
                <w:sz w:val="20"/>
                <w:szCs w:val="20"/>
                <w:highlight w:val="none"/>
              </w:rPr>
            </w:pPr>
          </w:p>
        </w:tc>
        <w:tc>
          <w:tcPr>
            <w:tcW w:w="800" w:type="dxa"/>
            <w:vMerge w:val="continue"/>
            <w:vAlign w:val="center"/>
          </w:tcPr>
          <w:p w14:paraId="58194F6A">
            <w:pPr>
              <w:widowControl/>
              <w:jc w:val="left"/>
              <w:rPr>
                <w:rFonts w:hint="eastAsia" w:asciiTheme="minorEastAsia" w:hAnsiTheme="minorEastAsia" w:eastAsiaTheme="minorEastAsia" w:cstheme="minorEastAsia"/>
                <w:color w:val="000000"/>
                <w:kern w:val="0"/>
                <w:sz w:val="20"/>
                <w:szCs w:val="20"/>
                <w:highlight w:val="none"/>
              </w:rPr>
            </w:pPr>
          </w:p>
        </w:tc>
        <w:tc>
          <w:tcPr>
            <w:tcW w:w="672" w:type="dxa"/>
            <w:shd w:val="clear" w:color="auto" w:fill="auto"/>
            <w:vAlign w:val="center"/>
          </w:tcPr>
          <w:p w14:paraId="1BA16BC8">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模拟地震</w:t>
            </w:r>
          </w:p>
        </w:tc>
        <w:tc>
          <w:tcPr>
            <w:tcW w:w="6557" w:type="dxa"/>
            <w:shd w:val="clear" w:color="auto" w:fill="auto"/>
            <w:vAlign w:val="center"/>
          </w:tcPr>
          <w:p w14:paraId="4AC184A6">
            <w:pPr>
              <w:widowControl/>
              <w:jc w:val="left"/>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1.系统高度仿真地震实景场景，地面、建筑物、车辆、人物角色、急救工具等3D数字模型，实现全方位、全过程的精确建模。</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2.系统任务情景设置符合实际工作流程，应急预案编制事故处理按照工作流程，预设连锁反应问题</w:t>
            </w:r>
            <w:r>
              <w:rPr>
                <w:rFonts w:hint="eastAsia" w:asciiTheme="minorEastAsia" w:hAnsiTheme="minorEastAsia" w:eastAsiaTheme="minorEastAsia" w:cstheme="minorEastAsia"/>
                <w:color w:val="000000"/>
                <w:kern w:val="0"/>
                <w:sz w:val="20"/>
                <w:szCs w:val="20"/>
                <w:highlight w:val="none"/>
                <w:lang w:val="en-US" w:eastAsia="zh-CN"/>
              </w:rPr>
              <w:t>≥</w:t>
            </w:r>
            <w:r>
              <w:rPr>
                <w:rFonts w:hint="eastAsia" w:asciiTheme="minorEastAsia" w:hAnsiTheme="minorEastAsia" w:eastAsiaTheme="minorEastAsia" w:cstheme="minorEastAsia"/>
                <w:color w:val="000000"/>
                <w:kern w:val="0"/>
                <w:sz w:val="20"/>
                <w:szCs w:val="20"/>
                <w:highlight w:val="none"/>
              </w:rPr>
              <w:t>3个，环环相扣，表现出事故急救处理的复杂性和多样性。</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3.系统支持急救处理情景，伤员检伤分类、现场救治、应急转运等急救处理。</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4.系统为复杂环境下的多条件触发交互模式，而非流程性展示内容；</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5.系统检伤分类包含步骤为：①确认现场环境；②运用快速检诊程序对伤员进行伤情评估；③对伤员进行分类；</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6.快速检诊程序应具有逻辑判断对错功能，并有后台记录。</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7.伤情分类判断需有时间限制。</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8.伤员分类判断应具有逻辑判断对错功能，并有后台记录。具体步骤包含检伤分类：</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（1）分类判断必须在1-2分钟内完成</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（2）快速检诊程序轻、中、重度伤、死亡分别挂绿色、黄色和红色、黑色标识。正确处理伤员，并依次给与相应的处置流程。</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9.心肺复苏应具有两种模式：心肺复苏术教学模式和比赛考核模式，体现边看边练、赛考一体化。</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10.心肺复苏必须满足以下要求：虚拟操作、</w:t>
            </w:r>
            <w:r>
              <w:rPr>
                <w:rFonts w:hint="eastAsia" w:asciiTheme="minorEastAsia" w:hAnsiTheme="minorEastAsia" w:eastAsiaTheme="minorEastAsia" w:cstheme="minorEastAsia"/>
                <w:color w:val="000000"/>
                <w:kern w:val="0"/>
                <w:sz w:val="20"/>
                <w:szCs w:val="20"/>
                <w:highlight w:val="none"/>
                <w:lang w:val="en-US" w:eastAsia="zh-CN"/>
              </w:rPr>
              <w:t>≥</w:t>
            </w:r>
            <w:r>
              <w:rPr>
                <w:rFonts w:hint="eastAsia" w:asciiTheme="minorEastAsia" w:hAnsiTheme="minorEastAsia" w:eastAsiaTheme="minorEastAsia" w:cstheme="minorEastAsia"/>
                <w:color w:val="000000"/>
                <w:kern w:val="0"/>
                <w:sz w:val="20"/>
                <w:szCs w:val="20"/>
                <w:highlight w:val="none"/>
              </w:rPr>
              <w:t>28个场景,每个三维动画场景模型面数</w:t>
            </w:r>
            <w:r>
              <w:rPr>
                <w:rFonts w:hint="eastAsia" w:asciiTheme="minorEastAsia" w:hAnsiTheme="minorEastAsia" w:eastAsiaTheme="minorEastAsia" w:cstheme="minorEastAsia"/>
                <w:color w:val="000000"/>
                <w:kern w:val="0"/>
                <w:sz w:val="20"/>
                <w:szCs w:val="20"/>
                <w:highlight w:val="none"/>
                <w:lang w:val="en-US" w:eastAsia="zh-CN"/>
              </w:rPr>
              <w:t>≥</w:t>
            </w:r>
            <w:r>
              <w:rPr>
                <w:rFonts w:hint="eastAsia" w:asciiTheme="minorEastAsia" w:hAnsiTheme="minorEastAsia" w:eastAsiaTheme="minorEastAsia" w:cstheme="minorEastAsia"/>
                <w:color w:val="000000"/>
                <w:kern w:val="0"/>
                <w:sz w:val="20"/>
                <w:szCs w:val="20"/>
                <w:highlight w:val="none"/>
              </w:rPr>
              <w:t>100000面，</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（1）心肺复苏术的适应症与禁忌症，通过动画演示、视频教学、声音讲解、文字描述等形式展示实习目的，明确实训任务。</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（2）物品及器械准备，全真实三维场景展示器械车及穿刺所需物品，血压计，听诊器，弯盘，人工呼吸膜等均为真实1：1三维建模等，均在有效期内。</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（3）三维重建医患人物模型，医生带口罩，帽子，着装整齐，站立位置准确，病房场景清洁整齐。</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（4）三维动画演示术前判断意识过程及求救过程</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 xml:space="preserve">（5）三维动画展示判断颈动脉搏动及自主呼吸过程，口述读数准确。 </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（6）三维动画展示安置患者体位过程。</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（7）三维动画显示按压整个过程，画中画显示按压部位及按压手势位置。</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（8）按压过程中口述按压次数，节律准确，满足按压速度，作为练习与实践指导。</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（9）三维动画展示开放气道过程。</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（10）三维动画显示人工呼吸过程。</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（11）三维动画显示连续按压5个按压与吹气循环。</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（12）三维动画展示心肺复苏效果。</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（13）三维动画展示瞳孔对光反射效果。</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（14）画中画显示血压测量过程及血压计度数。</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（15）皮肤黏膜色泽转红，心肺复苏成功</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（16）三维动作展示操作后处理，整理衣物。</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（17）三维动画场景展示整理用物及抢救过程记录</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11.脊柱搬运术要求虚拟操作、</w:t>
            </w:r>
            <w:r>
              <w:rPr>
                <w:rFonts w:hint="eastAsia" w:asciiTheme="minorEastAsia" w:hAnsiTheme="minorEastAsia" w:eastAsiaTheme="minorEastAsia" w:cstheme="minorEastAsia"/>
                <w:color w:val="000000"/>
                <w:kern w:val="0"/>
                <w:sz w:val="20"/>
                <w:szCs w:val="20"/>
                <w:highlight w:val="none"/>
                <w:lang w:val="en-US" w:eastAsia="zh-CN"/>
              </w:rPr>
              <w:t>≥</w:t>
            </w:r>
            <w:r>
              <w:rPr>
                <w:rFonts w:hint="eastAsia" w:asciiTheme="minorEastAsia" w:hAnsiTheme="minorEastAsia" w:eastAsiaTheme="minorEastAsia" w:cstheme="minorEastAsia"/>
                <w:color w:val="000000"/>
                <w:kern w:val="0"/>
                <w:sz w:val="20"/>
                <w:szCs w:val="20"/>
                <w:highlight w:val="none"/>
              </w:rPr>
              <w:t>16个场景,每个三维动画场景模型面数</w:t>
            </w:r>
            <w:r>
              <w:rPr>
                <w:rFonts w:hint="eastAsia" w:asciiTheme="minorEastAsia" w:hAnsiTheme="minorEastAsia" w:eastAsiaTheme="minorEastAsia" w:cstheme="minorEastAsia"/>
                <w:color w:val="000000"/>
                <w:kern w:val="0"/>
                <w:sz w:val="20"/>
                <w:szCs w:val="20"/>
                <w:highlight w:val="none"/>
                <w:lang w:val="en-US" w:eastAsia="zh-CN"/>
              </w:rPr>
              <w:t>≥</w:t>
            </w:r>
            <w:r>
              <w:rPr>
                <w:rFonts w:hint="eastAsia" w:asciiTheme="minorEastAsia" w:hAnsiTheme="minorEastAsia" w:eastAsiaTheme="minorEastAsia" w:cstheme="minorEastAsia"/>
                <w:color w:val="000000"/>
                <w:kern w:val="0"/>
                <w:sz w:val="20"/>
                <w:szCs w:val="20"/>
                <w:highlight w:val="none"/>
              </w:rPr>
              <w:t>100000面，</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（1）通过动画演示展示技术搬运的目的、视频教学、声音讲解、文字描述等形式展示实习目的，明确实训任务</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（2）物品准备，三维场景动画展示患者救助现场，物品准备完整准确。</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（3）医生与患者均为三维建模，全角度展示颈椎受伤场景，医患沟通顺畅。</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（4）医生带口罩，帽子，着装整齐，站立位置准确，全景展示现场，医生，伤者，担架位置准确，颈托位置准确，以备使用。</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（5）三维动画展示颈托固定方式，医生手法正确，动作完整，流畅，并同步错误操作演示。</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（6）三维场景展示3-4人患者搬运方式，医护人员位置准确，动作流畅，抬起动作准确无误。</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（7）三维场景展示患者移动至担架的全部过程，动作流畅准确，患者完整固定。</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（8）三维动画展示搬运禁忌动作</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（9）整个操作过程配有真实语音实时提示搬运注意事项，语音流畅，操作动作流畅无卡顿。</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（10）实训结束，配有互动问答，突出操作的重点内容。</w:t>
            </w:r>
          </w:p>
        </w:tc>
        <w:tc>
          <w:tcPr>
            <w:tcW w:w="709" w:type="dxa"/>
            <w:vMerge w:val="continue"/>
            <w:vAlign w:val="center"/>
          </w:tcPr>
          <w:p w14:paraId="6142D800">
            <w:pPr>
              <w:widowControl/>
              <w:jc w:val="left"/>
              <w:rPr>
                <w:rFonts w:hint="eastAsia" w:asciiTheme="minorEastAsia" w:hAnsiTheme="minorEastAsia" w:eastAsiaTheme="minorEastAsia" w:cstheme="minorEastAsia"/>
                <w:color w:val="000000"/>
                <w:kern w:val="0"/>
                <w:sz w:val="20"/>
                <w:szCs w:val="20"/>
                <w:highlight w:val="none"/>
              </w:rPr>
            </w:pPr>
          </w:p>
        </w:tc>
        <w:tc>
          <w:tcPr>
            <w:tcW w:w="709" w:type="dxa"/>
            <w:vMerge w:val="continue"/>
            <w:vAlign w:val="center"/>
          </w:tcPr>
          <w:p w14:paraId="1FFA12AF">
            <w:pPr>
              <w:widowControl/>
              <w:jc w:val="left"/>
              <w:rPr>
                <w:rFonts w:hint="eastAsia" w:asciiTheme="minorEastAsia" w:hAnsiTheme="minorEastAsia" w:eastAsiaTheme="minorEastAsia" w:cstheme="minorEastAsia"/>
                <w:color w:val="000000"/>
                <w:kern w:val="0"/>
                <w:sz w:val="20"/>
                <w:szCs w:val="20"/>
                <w:highlight w:val="none"/>
              </w:rPr>
            </w:pPr>
          </w:p>
        </w:tc>
      </w:tr>
      <w:tr w14:paraId="54148AC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55" w:hRule="atLeast"/>
        </w:trPr>
        <w:tc>
          <w:tcPr>
            <w:tcW w:w="760" w:type="dxa"/>
            <w:vMerge w:val="continue"/>
            <w:vAlign w:val="center"/>
          </w:tcPr>
          <w:p w14:paraId="7B563C57">
            <w:pPr>
              <w:widowControl/>
              <w:jc w:val="left"/>
              <w:rPr>
                <w:rFonts w:hint="eastAsia" w:asciiTheme="minorEastAsia" w:hAnsiTheme="minorEastAsia" w:eastAsiaTheme="minorEastAsia" w:cstheme="minorEastAsia"/>
                <w:color w:val="000000"/>
                <w:kern w:val="0"/>
                <w:sz w:val="20"/>
                <w:szCs w:val="20"/>
                <w:highlight w:val="none"/>
              </w:rPr>
            </w:pPr>
          </w:p>
        </w:tc>
        <w:tc>
          <w:tcPr>
            <w:tcW w:w="800" w:type="dxa"/>
            <w:vMerge w:val="continue"/>
            <w:vAlign w:val="center"/>
          </w:tcPr>
          <w:p w14:paraId="5EBB80CE">
            <w:pPr>
              <w:widowControl/>
              <w:jc w:val="left"/>
              <w:rPr>
                <w:rFonts w:hint="eastAsia" w:asciiTheme="minorEastAsia" w:hAnsiTheme="minorEastAsia" w:eastAsiaTheme="minorEastAsia" w:cstheme="minorEastAsia"/>
                <w:color w:val="000000"/>
                <w:kern w:val="0"/>
                <w:sz w:val="20"/>
                <w:szCs w:val="20"/>
                <w:highlight w:val="none"/>
              </w:rPr>
            </w:pPr>
          </w:p>
        </w:tc>
        <w:tc>
          <w:tcPr>
            <w:tcW w:w="672" w:type="dxa"/>
            <w:shd w:val="clear" w:color="auto" w:fill="auto"/>
            <w:vAlign w:val="center"/>
          </w:tcPr>
          <w:p w14:paraId="7BA7167B">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模拟溺水</w:t>
            </w:r>
          </w:p>
        </w:tc>
        <w:tc>
          <w:tcPr>
            <w:tcW w:w="6557" w:type="dxa"/>
            <w:shd w:val="clear" w:color="auto" w:fill="auto"/>
            <w:vAlign w:val="center"/>
          </w:tcPr>
          <w:p w14:paraId="6C59B8A0">
            <w:pPr>
              <w:widowControl/>
              <w:jc w:val="left"/>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一、系统概述</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系统采用先进的微服务分布式架构，基于Web3.0融合Unity技术、采用前后端分离开发而成。</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系统采用PC交互设计，采用基于真实环境的“3D”全流程、强交互操作。</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系统要求以三维动态形式，每个三维动画场景模型面数</w:t>
            </w:r>
            <w:r>
              <w:rPr>
                <w:rFonts w:hint="eastAsia" w:asciiTheme="minorEastAsia" w:hAnsiTheme="minorEastAsia" w:eastAsiaTheme="minorEastAsia" w:cstheme="minorEastAsia"/>
                <w:color w:val="000000"/>
                <w:kern w:val="0"/>
                <w:sz w:val="20"/>
                <w:szCs w:val="20"/>
                <w:highlight w:val="none"/>
                <w:lang w:val="en-US" w:eastAsia="zh-CN"/>
              </w:rPr>
              <w:t>≥</w:t>
            </w:r>
            <w:r>
              <w:rPr>
                <w:rFonts w:hint="eastAsia" w:asciiTheme="minorEastAsia" w:hAnsiTheme="minorEastAsia" w:eastAsiaTheme="minorEastAsia" w:cstheme="minorEastAsia"/>
                <w:color w:val="000000"/>
                <w:kern w:val="0"/>
                <w:sz w:val="20"/>
                <w:szCs w:val="20"/>
                <w:highlight w:val="none"/>
              </w:rPr>
              <w:t>100000面。</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二、软件功能概述</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基于真实溺水场景采用三维高仿真建模，医护人员及溺水患者按照正常真人比例1:1建模，周边环境及急救设备按照真实设备1:1高仿真建模，三维场景和动作采用触发式技能操作进行交互式操作，高度还原溺水急救全过程，通过 U3D、虚拟现实技术完美直观呈现。</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系统为PC交互版。采用基于真实溺水场景的3D全流程操作。流程可反复训练，具有重要技能操作、考点的人机交互测试，技能操作评分表。通过反复训练达到对溺水急救的相关知识点、技能操作要点的熟练掌握。</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警示性习题交互场景，互动性强，交互内容贴近真实实训场景。</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三、软件虚拟操作技术要求:</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以三维动态形式，完整地展示溺水急救的完整过程。每个三维动画场景模型面数</w:t>
            </w:r>
            <w:r>
              <w:rPr>
                <w:rFonts w:hint="eastAsia" w:asciiTheme="minorEastAsia" w:hAnsiTheme="minorEastAsia" w:eastAsiaTheme="minorEastAsia" w:cstheme="minorEastAsia"/>
                <w:color w:val="000000"/>
                <w:kern w:val="0"/>
                <w:sz w:val="20"/>
                <w:szCs w:val="20"/>
                <w:highlight w:val="none"/>
                <w:lang w:val="en-US" w:eastAsia="zh-CN"/>
              </w:rPr>
              <w:t>≥</w:t>
            </w:r>
            <w:r>
              <w:rPr>
                <w:rFonts w:hint="eastAsia" w:asciiTheme="minorEastAsia" w:hAnsiTheme="minorEastAsia" w:eastAsiaTheme="minorEastAsia" w:cstheme="minorEastAsia"/>
                <w:color w:val="000000"/>
                <w:kern w:val="0"/>
                <w:sz w:val="20"/>
                <w:szCs w:val="20"/>
                <w:highlight w:val="none"/>
              </w:rPr>
              <w:t>100000面。</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操作目标</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1.1.能够规范进行溺水急救全流程，能够说出溺水急救的内容（包括心肺复苏、检伤分类等），并阐释其挽救生命、减少并发症的临床意义；</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1.2.具有良好的职业素质：着装整洁、举止文明，操作中反应迅速、认真细致，关爱患者。</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操作前准备</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2.1.物品准备：急救箱（含血压计、听诊器、人工呼吸膜等）放置在现场指定位置。</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2.2.急救人员准备：二维展示急救人员穿戴整齐（戴口罩、帽子等）。</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2.3.环境准备：环境安全，无二次危险，光线充足。</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2.4.沟通：三维展示急救人员与相关人员沟通，了解溺水情况。</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操作步骤</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3.1.现场评估：三维展示急救人员到达现场，评估环境安全性，确认无危险后靠近溺水者。</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3.2.初步检查：三维展示急救人员判断溺水者意识、呼吸及颈动脉搏动情况。</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3.3.心肺复苏：三维展示按步骤进行心肺复苏，包括判断意识并呼救，判断颈动脉搏动及自主呼吸，安置患者体位，进行胸外按压（双手交叉，以掌根按压胸骨中下段1/3处，按压深度5-6厘米，频率100-120次/分钟），开放气道（清除口鼻异物，采用仰头提颏法），进行人工呼吸（捏紧鼻翼，口对口吹气，每次吹气1-2秒，可见胸廓起伏），连续完成5个按压与吹气循环等。按压过程中口述按压次数，节律准确。</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3.4.检伤分类：三维展示在病情稍稳定后，1-2分钟内完成快速检诊，按轻、中、重度伤、死亡分别挂绿色、黄色和红色、黑色标识。</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3.5.转运准备：三维展示做好转运前准备，确保溺水者体位合适，固定稳妥。</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操作后处理</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4.1.说明结果：急救完毕向相关人员说明急救结果及后续注意事项。</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4.2.物品处理：将急救物品整理好，清洁消毒后放回原处，记录抢救过程。</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全真实三维全景展示溺水现场场景，如泳池边、河边等，地面有相应环境特征。</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三维动态依次展示急救车及溺水急救所需物品，均为真实1:1三维建模，均在有效期内，可做示教。</w:t>
            </w:r>
          </w:p>
        </w:tc>
        <w:tc>
          <w:tcPr>
            <w:tcW w:w="709" w:type="dxa"/>
            <w:vMerge w:val="continue"/>
            <w:vAlign w:val="center"/>
          </w:tcPr>
          <w:p w14:paraId="1CC61E11">
            <w:pPr>
              <w:widowControl/>
              <w:jc w:val="left"/>
              <w:rPr>
                <w:rFonts w:hint="eastAsia" w:asciiTheme="minorEastAsia" w:hAnsiTheme="minorEastAsia" w:eastAsiaTheme="minorEastAsia" w:cstheme="minorEastAsia"/>
                <w:color w:val="000000"/>
                <w:kern w:val="0"/>
                <w:sz w:val="20"/>
                <w:szCs w:val="20"/>
                <w:highlight w:val="none"/>
              </w:rPr>
            </w:pPr>
          </w:p>
        </w:tc>
        <w:tc>
          <w:tcPr>
            <w:tcW w:w="709" w:type="dxa"/>
            <w:vMerge w:val="continue"/>
            <w:vAlign w:val="center"/>
          </w:tcPr>
          <w:p w14:paraId="27A57323">
            <w:pPr>
              <w:widowControl/>
              <w:jc w:val="left"/>
              <w:rPr>
                <w:rFonts w:hint="eastAsia" w:asciiTheme="minorEastAsia" w:hAnsiTheme="minorEastAsia" w:eastAsiaTheme="minorEastAsia" w:cstheme="minorEastAsia"/>
                <w:color w:val="000000"/>
                <w:kern w:val="0"/>
                <w:sz w:val="20"/>
                <w:szCs w:val="20"/>
                <w:highlight w:val="none"/>
              </w:rPr>
            </w:pPr>
          </w:p>
        </w:tc>
      </w:tr>
      <w:tr w14:paraId="3EBFEE2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62" w:hRule="atLeast"/>
        </w:trPr>
        <w:tc>
          <w:tcPr>
            <w:tcW w:w="760" w:type="dxa"/>
            <w:shd w:val="clear" w:color="auto" w:fill="auto"/>
            <w:noWrap/>
            <w:vAlign w:val="center"/>
          </w:tcPr>
          <w:p w14:paraId="7A78D3F5">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3</w:t>
            </w:r>
          </w:p>
        </w:tc>
        <w:tc>
          <w:tcPr>
            <w:tcW w:w="1472" w:type="dxa"/>
            <w:gridSpan w:val="2"/>
            <w:shd w:val="clear" w:color="auto" w:fill="auto"/>
            <w:vAlign w:val="center"/>
          </w:tcPr>
          <w:p w14:paraId="55A21843">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3DVR实景仿真虚拟急救服务管理器</w:t>
            </w:r>
          </w:p>
        </w:tc>
        <w:tc>
          <w:tcPr>
            <w:tcW w:w="6557" w:type="dxa"/>
            <w:shd w:val="clear" w:color="auto" w:fill="auto"/>
            <w:vAlign w:val="center"/>
          </w:tcPr>
          <w:p w14:paraId="70235943">
            <w:pPr>
              <w:widowControl/>
              <w:jc w:val="left"/>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1. 处理器（CPU）</w:t>
            </w:r>
          </w:p>
          <w:p w14:paraId="6757E674">
            <w:pPr>
              <w:widowControl/>
              <w:jc w:val="left"/>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配置≥1颗处理器，核心数≥10核，主频≥2.0GHz，支持64位计算架构</w:t>
            </w:r>
          </w:p>
          <w:p w14:paraId="5F6A72EA">
            <w:pPr>
              <w:widowControl/>
              <w:jc w:val="left"/>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2. 内存</w:t>
            </w:r>
          </w:p>
          <w:p w14:paraId="44E224C7">
            <w:pPr>
              <w:widowControl/>
              <w:jc w:val="left"/>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配置≥32GB DDR4 ECC REG内存</w:t>
            </w:r>
          </w:p>
          <w:p w14:paraId="016FFA28">
            <w:pPr>
              <w:widowControl/>
              <w:jc w:val="left"/>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3. 存储</w:t>
            </w:r>
          </w:p>
          <w:p w14:paraId="781BE53C">
            <w:pPr>
              <w:widowControl/>
              <w:jc w:val="left"/>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配置≥1块4TB SATA企业级硬盘</w:t>
            </w:r>
          </w:p>
          <w:p w14:paraId="168E36EC">
            <w:pPr>
              <w:widowControl/>
              <w:jc w:val="left"/>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配置硬件RAID控制器，支持RAID 0/1/5/10</w:t>
            </w:r>
          </w:p>
          <w:p w14:paraId="2C94BD7C">
            <w:pPr>
              <w:widowControl/>
              <w:jc w:val="left"/>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4. 网络接口</w:t>
            </w:r>
          </w:p>
          <w:p w14:paraId="711E9AF3">
            <w:pPr>
              <w:widowControl/>
              <w:jc w:val="left"/>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集成≥2个千兆以太网接口</w:t>
            </w:r>
          </w:p>
          <w:p w14:paraId="6680529B">
            <w:pPr>
              <w:widowControl/>
              <w:jc w:val="left"/>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5. 电源</w:t>
            </w:r>
          </w:p>
          <w:p w14:paraId="11BF67C2">
            <w:pPr>
              <w:widowControl/>
              <w:jc w:val="left"/>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配置≥2个550W高效电源，支持1+1冗余热插拔</w:t>
            </w:r>
          </w:p>
        </w:tc>
        <w:tc>
          <w:tcPr>
            <w:tcW w:w="709" w:type="dxa"/>
            <w:shd w:val="clear" w:color="auto" w:fill="auto"/>
            <w:vAlign w:val="center"/>
          </w:tcPr>
          <w:p w14:paraId="4F7FCC80">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套</w:t>
            </w:r>
          </w:p>
        </w:tc>
        <w:tc>
          <w:tcPr>
            <w:tcW w:w="709" w:type="dxa"/>
            <w:shd w:val="clear" w:color="auto" w:fill="auto"/>
            <w:vAlign w:val="center"/>
          </w:tcPr>
          <w:p w14:paraId="1EED1673">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1</w:t>
            </w:r>
          </w:p>
        </w:tc>
      </w:tr>
      <w:tr w14:paraId="19AAC01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62" w:hRule="atLeast"/>
        </w:trPr>
        <w:tc>
          <w:tcPr>
            <w:tcW w:w="760" w:type="dxa"/>
            <w:shd w:val="clear" w:color="auto" w:fill="auto"/>
            <w:noWrap/>
            <w:vAlign w:val="center"/>
          </w:tcPr>
          <w:p w14:paraId="00E3C4DB">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4</w:t>
            </w:r>
          </w:p>
        </w:tc>
        <w:tc>
          <w:tcPr>
            <w:tcW w:w="1472" w:type="dxa"/>
            <w:gridSpan w:val="2"/>
            <w:shd w:val="clear" w:color="auto" w:fill="auto"/>
            <w:vAlign w:val="center"/>
          </w:tcPr>
          <w:p w14:paraId="7D507734">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LED室内全彩3D显示屏</w:t>
            </w:r>
          </w:p>
        </w:tc>
        <w:tc>
          <w:tcPr>
            <w:tcW w:w="6557" w:type="dxa"/>
            <w:shd w:val="clear" w:color="auto" w:fill="auto"/>
            <w:vAlign w:val="center"/>
          </w:tcPr>
          <w:p w14:paraId="09321AC4">
            <w:pPr>
              <w:widowControl/>
              <w:jc w:val="left"/>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一、LED模组：≥屏体显示尺寸：3.50*2.00m</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1、★像素点间距：≤1.87mm</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2、像素密度：≥280000 Dots/</w:t>
            </w:r>
            <w:r>
              <w:rPr>
                <w:rFonts w:hint="eastAsia" w:asciiTheme="minorEastAsia" w:hAnsiTheme="minorEastAsia" w:eastAsiaTheme="minorEastAsia" w:cstheme="minorEastAsia"/>
                <w:color w:val="000000"/>
                <w:kern w:val="0"/>
                <w:sz w:val="20"/>
                <w:szCs w:val="20"/>
                <w:highlight w:val="none"/>
                <w:lang w:val="en-US" w:eastAsia="zh-CN"/>
              </w:rPr>
              <w:t>㎡</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3、刷新率：≥3840Hz，支持通过配套控制软件调节刷新率设置选项</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4、像素构成：1R、1G、1B</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5、封装方式：SMD表贴三合一，铜线封装，五面黑灯，表面不反光</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6、驱动方式：恒流驱动</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7、像素光强均匀性：LRJ≤10% LGJ≤10% LBJ≤10%</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8、色度均匀性：±0.001Cx、Cy内</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9、模组平整度：≤0.03mm</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10、白平衡亮度：0-700cd/㎡可调；亮度调节：0-100%亮度可调，256级手动/自动调节，屏幕亮度具有随环境照度的变化任意调整功能；亮度均匀性：≥99%</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11、色温800K-18000K可调；白平衡状态下色温在6500K±5%；色温为6500K时，100%75%50%25%档电平白场调节色温误差≤100K"</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12、水平视角≥170°；垂直视角≥170°</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13、对比度≥8500：1</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14、灰度等级≥14bit，红绿蓝各256级，可达16384级；</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15、峰值功耗≤300W/m²；平均功耗≤120W/m²</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16、供电电源：在4.2*（1±10%）VDC～4.5*（1±10%）VDC范围内能正常工作</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17、输入电压：支持宽压输入 在96-264VAC，支持窄压输入在200-240VAC，在该范围内能正常工作</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18、为不影响屏体周边人员的健康，要求投标人所投LED显示屏在正常工作中，满足 NR-25(噪声标准曲线)要求，屏前后左右四个方向 1.0 米处噪音&lt;1.4dB (A)；</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19、防电击等级依据GB4943.1标准，使用基本绝缘作为基本安全防护，同时使用保护连接和保护接地作为附加安全防护，达到防电击保护I类设备</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20、所投LED显示屏的灯管耐焊耐热：灯珠引脚无氧化,焊接正常,灯珠胶体正常,点亮正常；灯管抗静电(ESD)测试：HBM模式:ESD&gt;2000V,灯珠点亮无异常；灯管红墨水试验：纯红墨水常温浸泡24h,无渗透,灯管气密性良好</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w:t>
            </w:r>
            <w:r>
              <w:rPr>
                <w:rFonts w:hint="eastAsia" w:asciiTheme="minorEastAsia" w:hAnsiTheme="minorEastAsia" w:eastAsiaTheme="minorEastAsia" w:cstheme="minorEastAsia"/>
                <w:color w:val="000000"/>
                <w:kern w:val="0"/>
                <w:sz w:val="20"/>
                <w:szCs w:val="20"/>
                <w:highlight w:val="none"/>
                <w:lang w:val="en-US" w:eastAsia="zh-CN"/>
              </w:rPr>
              <w:t>1</w:t>
            </w:r>
            <w:r>
              <w:rPr>
                <w:rFonts w:hint="eastAsia" w:asciiTheme="minorEastAsia" w:hAnsiTheme="minorEastAsia" w:eastAsiaTheme="minorEastAsia" w:cstheme="minorEastAsia"/>
                <w:color w:val="000000"/>
                <w:kern w:val="0"/>
                <w:sz w:val="20"/>
                <w:szCs w:val="20"/>
                <w:highlight w:val="none"/>
              </w:rPr>
              <w:t>、正常播放视频状态下点亮5分钟后产品表面温度升幅≤1.5℃，点亮10分钟后其温度升幅≤8℃；产品在白平衡状态下点亮5分钟后产品表面温度升幅≤8℃，点亮10分钟后其温度升幅≤18℃；产品正常使用工作达到热平衡状态后，屏体结构金属部分温度升幅≤30℃，绝缘材料温度升幅≤30℃</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w:t>
            </w:r>
            <w:r>
              <w:rPr>
                <w:rFonts w:hint="eastAsia" w:asciiTheme="minorEastAsia" w:hAnsiTheme="minorEastAsia" w:eastAsiaTheme="minorEastAsia" w:cstheme="minorEastAsia"/>
                <w:color w:val="000000"/>
                <w:kern w:val="0"/>
                <w:sz w:val="20"/>
                <w:szCs w:val="20"/>
                <w:highlight w:val="none"/>
                <w:lang w:val="en-US" w:eastAsia="zh-CN"/>
              </w:rPr>
              <w:t>2</w:t>
            </w:r>
            <w:r>
              <w:rPr>
                <w:rFonts w:hint="eastAsia" w:asciiTheme="minorEastAsia" w:hAnsiTheme="minorEastAsia" w:eastAsiaTheme="minorEastAsia" w:cstheme="minorEastAsia"/>
                <w:color w:val="000000"/>
                <w:kern w:val="0"/>
                <w:sz w:val="20"/>
                <w:szCs w:val="20"/>
                <w:highlight w:val="none"/>
              </w:rPr>
              <w:t>、产品采用高端芯片，可智能调节正常工作与睡眠状态下的节能效果（动态节能，智能息屏），开启智能节电功能比没有开启节能50%以上</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w:t>
            </w:r>
            <w:r>
              <w:rPr>
                <w:rFonts w:hint="eastAsia" w:asciiTheme="minorEastAsia" w:hAnsiTheme="minorEastAsia" w:eastAsiaTheme="minorEastAsia" w:cstheme="minorEastAsia"/>
                <w:color w:val="000000"/>
                <w:kern w:val="0"/>
                <w:sz w:val="20"/>
                <w:szCs w:val="20"/>
                <w:highlight w:val="none"/>
                <w:lang w:val="en-US" w:eastAsia="zh-CN"/>
              </w:rPr>
              <w:t>3</w:t>
            </w:r>
            <w:r>
              <w:rPr>
                <w:rFonts w:hint="eastAsia" w:asciiTheme="minorEastAsia" w:hAnsiTheme="minorEastAsia" w:eastAsiaTheme="minorEastAsia" w:cstheme="minorEastAsia"/>
                <w:color w:val="000000"/>
                <w:kern w:val="0"/>
                <w:sz w:val="20"/>
                <w:szCs w:val="20"/>
                <w:highlight w:val="none"/>
              </w:rPr>
              <w:t>、为保障产品用电安全，led显示屏具备在器具输入插座端与屏正面之间施加试验电压3kv/50Hz，保持1min，不出现飞弧和击穿现象；在器具输入插座端或者电源引入端子与外壳裸露金属部件之间的绝缘电阻在正常大气条件下≥100MΩ，湿热条件下≥2MΩ</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w:t>
            </w:r>
            <w:r>
              <w:rPr>
                <w:rFonts w:hint="eastAsia" w:asciiTheme="minorEastAsia" w:hAnsiTheme="minorEastAsia" w:eastAsiaTheme="minorEastAsia" w:cstheme="minorEastAsia"/>
                <w:color w:val="000000"/>
                <w:kern w:val="0"/>
                <w:sz w:val="20"/>
                <w:szCs w:val="20"/>
                <w:highlight w:val="none"/>
                <w:lang w:val="en-US" w:eastAsia="zh-CN"/>
              </w:rPr>
              <w:t>4</w:t>
            </w:r>
            <w:r>
              <w:rPr>
                <w:rFonts w:hint="eastAsia" w:asciiTheme="minorEastAsia" w:hAnsiTheme="minorEastAsia" w:eastAsiaTheme="minorEastAsia" w:cstheme="minorEastAsia"/>
                <w:color w:val="000000"/>
                <w:kern w:val="0"/>
                <w:sz w:val="20"/>
                <w:szCs w:val="20"/>
                <w:highlight w:val="none"/>
              </w:rPr>
              <w:t>、屏幕表面光反射率，照度=10Lux/5600K条件下，显示屏屏幕表面光反射率 （单位面积反射亮度）＜3.0cd/m²</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w:t>
            </w:r>
            <w:r>
              <w:rPr>
                <w:rFonts w:hint="eastAsia" w:asciiTheme="minorEastAsia" w:hAnsiTheme="minorEastAsia" w:eastAsiaTheme="minorEastAsia" w:cstheme="minorEastAsia"/>
                <w:color w:val="000000"/>
                <w:kern w:val="0"/>
                <w:sz w:val="20"/>
                <w:szCs w:val="20"/>
                <w:highlight w:val="none"/>
                <w:lang w:val="en-US" w:eastAsia="zh-CN"/>
              </w:rPr>
              <w:t>5</w:t>
            </w:r>
            <w:r>
              <w:rPr>
                <w:rFonts w:hint="eastAsia" w:asciiTheme="minorEastAsia" w:hAnsiTheme="minorEastAsia" w:eastAsiaTheme="minorEastAsia" w:cstheme="minorEastAsia"/>
                <w:color w:val="000000"/>
                <w:kern w:val="0"/>
                <w:sz w:val="20"/>
                <w:szCs w:val="20"/>
                <w:highlight w:val="none"/>
              </w:rPr>
              <w:t>、具备0级防霉特性，符合《GBT2423.16-2022 电工电子产品环境试验 第二部分：试验方法 试验J及导则：长霉》的测试要求，可防黑曲霉、土曲霉、球毛壳霉、绳状青霉、绿色木霉等。</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w:t>
            </w:r>
            <w:r>
              <w:rPr>
                <w:rFonts w:hint="eastAsia" w:asciiTheme="minorEastAsia" w:hAnsiTheme="minorEastAsia" w:eastAsiaTheme="minorEastAsia" w:cstheme="minorEastAsia"/>
                <w:color w:val="000000"/>
                <w:kern w:val="0"/>
                <w:sz w:val="20"/>
                <w:szCs w:val="20"/>
                <w:highlight w:val="none"/>
                <w:lang w:val="en-US" w:eastAsia="zh-CN"/>
              </w:rPr>
              <w:t>6</w:t>
            </w:r>
            <w:r>
              <w:rPr>
                <w:rFonts w:hint="eastAsia" w:asciiTheme="minorEastAsia" w:hAnsiTheme="minorEastAsia" w:eastAsiaTheme="minorEastAsia" w:cstheme="minorEastAsia"/>
                <w:color w:val="000000"/>
                <w:kern w:val="0"/>
                <w:sz w:val="20"/>
                <w:szCs w:val="20"/>
                <w:highlight w:val="none"/>
              </w:rPr>
              <w:t>、支持PPA碗杯结构、点胶封装、出光方式为单面发光；显示面采用高强度化学防护材质，防碰撞、耐冲击、高耐磨、抗腐蚀、防划痕，可直接擦拭LED附着力≥100N；在灯珠四侧以水平夹角45°的方向施加推力15N，灯珠未破碎或脱落。</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w:t>
            </w:r>
            <w:r>
              <w:rPr>
                <w:rFonts w:hint="eastAsia" w:asciiTheme="minorEastAsia" w:hAnsiTheme="minorEastAsia" w:eastAsiaTheme="minorEastAsia" w:cstheme="minorEastAsia"/>
                <w:color w:val="000000"/>
                <w:kern w:val="0"/>
                <w:sz w:val="20"/>
                <w:szCs w:val="20"/>
                <w:highlight w:val="none"/>
                <w:lang w:val="en-US" w:eastAsia="zh-CN"/>
              </w:rPr>
              <w:t>7</w:t>
            </w:r>
            <w:r>
              <w:rPr>
                <w:rFonts w:hint="eastAsia" w:asciiTheme="minorEastAsia" w:hAnsiTheme="minorEastAsia" w:eastAsiaTheme="minorEastAsia" w:cstheme="minorEastAsia"/>
                <w:color w:val="000000"/>
                <w:kern w:val="0"/>
                <w:sz w:val="20"/>
                <w:szCs w:val="20"/>
                <w:highlight w:val="none"/>
              </w:rPr>
              <w:t>、雾度：可见光投射比≥89.89%，因磨耗引起的雾度≤1.30%，抗磨性能符合标准中的技术要求</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w:t>
            </w:r>
            <w:r>
              <w:rPr>
                <w:rFonts w:hint="eastAsia" w:asciiTheme="minorEastAsia" w:hAnsiTheme="minorEastAsia" w:eastAsiaTheme="minorEastAsia" w:cstheme="minorEastAsia"/>
                <w:color w:val="000000"/>
                <w:kern w:val="0"/>
                <w:sz w:val="20"/>
                <w:szCs w:val="20"/>
                <w:highlight w:val="none"/>
                <w:lang w:val="en-US" w:eastAsia="zh-CN"/>
              </w:rPr>
              <w:t>8</w:t>
            </w:r>
            <w:r>
              <w:rPr>
                <w:rFonts w:hint="eastAsia" w:asciiTheme="minorEastAsia" w:hAnsiTheme="minorEastAsia" w:eastAsiaTheme="minorEastAsia" w:cstheme="minorEastAsia"/>
                <w:color w:val="000000"/>
                <w:kern w:val="0"/>
                <w:sz w:val="20"/>
                <w:szCs w:val="20"/>
                <w:highlight w:val="none"/>
              </w:rPr>
              <w:t>、烟气毒性测试：毒性指数R值≤1，符合BS6853要求。</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二、控制系统接收卡：</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1.采用8路HUB75接口，输出信号至LED模组；</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2.支持单卡最大带载128×1024（不同应用或有差异）；</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3.支持16组并行RGB全彩数据或32组串行RGB数据；</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4.支持市面主流芯片（常规、PWM、视芯等）；</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5.支持任意抽点、任意抽行抽列；</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6.支持静态到128扫之间的任意扫描类型；</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7.支持单组数据最大13312像素点以内任意走线；</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8.支持水平或垂直方向的数据打折；</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9.支持8bit色深视频源输入；</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10.支持低亮高灰；</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11.支持色温调节；</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12.支持8bit的色度、亮度一体化逐点校正；</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13.支持自适应帧率技术，最高可输出240Hz画面；</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14.支持箱体快速标定标序；</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15.支持画面旋转90°/180°/270°；</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16.支持数据组画面偏移，适用于简单异形屏；</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17.支持异形构造，适用于复杂异形屏；</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18.支持环路备份；</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支持DC 3.8V~5.5V超宽工作电压。</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三、电源：</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输出短路保护：输出电压+4.5V，可自恢复</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四、视频处理器：</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1.采用1U标准机箱，配置8路千兆网口，输出连接LED屏幕；</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2.支持单机最大带载524万像素点，最宽16384或最高8192像素；</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3.支持1路DP1.2、1路HDMI2.0、4路HDMI1.4视频信号输入；</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4.支持最大输入分辨率4096×2160@60Hz；</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5.支持8bit色深视频源输入；</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6.支持23.976~240Hz输入帧率适应技术；</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7.支持6画面显示，画面大小和位置可自由调节；</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8.支持视频信号任意裁剪、缩放和无缝切换；</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9.支持128个场景的保存和调用，场景自动定时轮巡；</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10.支持U盘播放图片、视频，以及用于升级设备固件；</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11.支持OSD遥控屏幕菜单控制图像、声音、设置等（选配遥控器）；</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12.支持画面调整，可调节设备输出的对比度、饱和度、色调、亮度补偿；</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13.支持亮度调节，网口分组亮度调节；</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14.支持色温调节，精确色温调节和RGB分量调节；</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15.支持低亮高灰，有效保证低亮度下的灰阶完整显示；</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16.支持音频传输，通过DP/HDMI音频解析和3.5mm独立音频输入输出；</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17.支持精确颜色管理，可调节显示屏色域；</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18.支持视频同步锁相技术，支持锁定内部Vsync、输入源、自动锁相；</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19.支持主动式3D显示技术；</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20.支持亮度自动调节，通过多功能卡配置亮度传感器；</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21.支持环境信息实时监测，通过多功能卡配置对应传感器如空气质量、噪音等；</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22.支持单机网口冗余备份和双机冗余备份；</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23.支持HDCP协议的高带宽数字内容保护技术；</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24.支持双USB接口高速通讯以及用于多台设备级联控制；</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25.支持USB、LAN网口和RS232串口控制</w:t>
            </w:r>
            <w:r>
              <w:rPr>
                <w:rFonts w:hint="eastAsia" w:asciiTheme="minorEastAsia" w:hAnsiTheme="minorEastAsia" w:eastAsiaTheme="minorEastAsia" w:cstheme="minorEastAsia"/>
                <w:color w:val="000000"/>
                <w:kern w:val="0"/>
                <w:sz w:val="20"/>
                <w:szCs w:val="20"/>
                <w:highlight w:val="none"/>
                <w:lang w:eastAsia="zh-CN"/>
              </w:rPr>
              <w:t>。</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五、产品组成：</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模组（含磁铁）≥145张；2、控制系统接收卡≥23张；3、电源≥25台；4、屏内辅材1项；5、LED播放软件1套；6、视频处理器1台；7、3D发射器1台；8、3D眼镜30副；9、3D眼镜充电管理设备1套；10、配电柜1台；11、钢结构1项；12、其他（含电缆、网线等）。</w:t>
            </w:r>
          </w:p>
        </w:tc>
        <w:tc>
          <w:tcPr>
            <w:tcW w:w="709" w:type="dxa"/>
            <w:shd w:val="clear" w:color="auto" w:fill="auto"/>
            <w:vAlign w:val="center"/>
          </w:tcPr>
          <w:p w14:paraId="71875316">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套</w:t>
            </w:r>
          </w:p>
        </w:tc>
        <w:tc>
          <w:tcPr>
            <w:tcW w:w="709" w:type="dxa"/>
            <w:shd w:val="clear" w:color="auto" w:fill="auto"/>
            <w:vAlign w:val="center"/>
          </w:tcPr>
          <w:p w14:paraId="49C35ABF">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1</w:t>
            </w:r>
          </w:p>
        </w:tc>
      </w:tr>
      <w:tr w14:paraId="40A868A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62" w:hRule="atLeast"/>
        </w:trPr>
        <w:tc>
          <w:tcPr>
            <w:tcW w:w="760" w:type="dxa"/>
            <w:shd w:val="clear" w:color="auto" w:fill="auto"/>
            <w:noWrap/>
            <w:vAlign w:val="center"/>
          </w:tcPr>
          <w:p w14:paraId="16745DC1">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5</w:t>
            </w:r>
          </w:p>
        </w:tc>
        <w:tc>
          <w:tcPr>
            <w:tcW w:w="1472" w:type="dxa"/>
            <w:gridSpan w:val="2"/>
            <w:shd w:val="clear" w:color="auto" w:fill="auto"/>
            <w:vAlign w:val="center"/>
          </w:tcPr>
          <w:p w14:paraId="63FF6EC6">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LED主控系统</w:t>
            </w:r>
          </w:p>
        </w:tc>
        <w:tc>
          <w:tcPr>
            <w:tcW w:w="6557" w:type="dxa"/>
            <w:shd w:val="clear" w:color="auto" w:fill="auto"/>
            <w:vAlign w:val="center"/>
          </w:tcPr>
          <w:p w14:paraId="32BD39D7">
            <w:pPr>
              <w:widowControl/>
              <w:jc w:val="left"/>
              <w:rPr>
                <w:rFonts w:hint="eastAsia" w:asciiTheme="minorEastAsia" w:hAnsiTheme="minorEastAsia" w:eastAsiaTheme="minorEastAsia" w:cstheme="minorEastAsia"/>
                <w:color w:val="000000"/>
                <w:kern w:val="0"/>
                <w:sz w:val="20"/>
                <w:szCs w:val="20"/>
                <w:highlight w:val="none"/>
                <w:lang w:val="en-US" w:eastAsia="zh-CN"/>
              </w:rPr>
            </w:pPr>
            <w:r>
              <w:rPr>
                <w:rFonts w:hint="eastAsia" w:asciiTheme="minorEastAsia" w:hAnsiTheme="minorEastAsia" w:eastAsiaTheme="minorEastAsia" w:cstheme="minorEastAsia"/>
                <w:color w:val="000000"/>
                <w:kern w:val="0"/>
                <w:sz w:val="20"/>
                <w:szCs w:val="20"/>
                <w:highlight w:val="none"/>
              </w:rPr>
              <w:t>1、CPU：≥14核20线程；</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2、内存:≥16G；</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3、硬盘:</w:t>
            </w:r>
            <w:bookmarkStart w:id="0" w:name="_Hlk232670568"/>
            <w:r>
              <w:rPr>
                <w:rFonts w:hint="eastAsia" w:asciiTheme="minorEastAsia" w:hAnsiTheme="minorEastAsia" w:eastAsiaTheme="minorEastAsia" w:cstheme="minorEastAsia"/>
                <w:color w:val="000000"/>
                <w:kern w:val="0"/>
                <w:sz w:val="20"/>
                <w:szCs w:val="20"/>
                <w:highlight w:val="none"/>
              </w:rPr>
              <w:t>≥</w:t>
            </w:r>
            <w:bookmarkEnd w:id="0"/>
            <w:r>
              <w:rPr>
                <w:rFonts w:hint="eastAsia" w:asciiTheme="minorEastAsia" w:hAnsiTheme="minorEastAsia" w:eastAsiaTheme="minorEastAsia" w:cstheme="minorEastAsia"/>
                <w:color w:val="000000"/>
                <w:kern w:val="0"/>
                <w:sz w:val="20"/>
                <w:szCs w:val="20"/>
                <w:highlight w:val="none"/>
              </w:rPr>
              <w:t>512GSSD；</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4、集显/WIN11/WiFi+蓝牙/无键鼠</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5、显示器：≥22</w:t>
            </w:r>
            <w:r>
              <w:rPr>
                <w:rFonts w:hint="eastAsia" w:asciiTheme="minorEastAsia" w:hAnsiTheme="minorEastAsia" w:eastAsiaTheme="minorEastAsia" w:cstheme="minorEastAsia"/>
                <w:color w:val="000000"/>
                <w:kern w:val="0"/>
                <w:sz w:val="20"/>
                <w:szCs w:val="20"/>
                <w:highlight w:val="none"/>
                <w:lang w:val="en-US" w:eastAsia="zh-CN"/>
              </w:rPr>
              <w:t>英寸</w:t>
            </w:r>
          </w:p>
        </w:tc>
        <w:tc>
          <w:tcPr>
            <w:tcW w:w="709" w:type="dxa"/>
            <w:shd w:val="clear" w:color="auto" w:fill="auto"/>
            <w:vAlign w:val="center"/>
          </w:tcPr>
          <w:p w14:paraId="6BA95E60">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套</w:t>
            </w:r>
          </w:p>
        </w:tc>
        <w:tc>
          <w:tcPr>
            <w:tcW w:w="709" w:type="dxa"/>
            <w:shd w:val="clear" w:color="auto" w:fill="auto"/>
            <w:vAlign w:val="center"/>
          </w:tcPr>
          <w:p w14:paraId="3B9D93BE">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1</w:t>
            </w:r>
          </w:p>
        </w:tc>
      </w:tr>
      <w:tr w14:paraId="14ED793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65" w:hRule="atLeast"/>
        </w:trPr>
        <w:tc>
          <w:tcPr>
            <w:tcW w:w="760" w:type="dxa"/>
            <w:shd w:val="clear" w:color="auto" w:fill="auto"/>
            <w:noWrap/>
            <w:vAlign w:val="center"/>
          </w:tcPr>
          <w:p w14:paraId="7EDCAB01">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6</w:t>
            </w:r>
          </w:p>
        </w:tc>
        <w:tc>
          <w:tcPr>
            <w:tcW w:w="1472" w:type="dxa"/>
            <w:gridSpan w:val="2"/>
            <w:shd w:val="clear" w:color="auto" w:fill="auto"/>
            <w:vAlign w:val="center"/>
          </w:tcPr>
          <w:p w14:paraId="666F70BF">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移动交互式心肺复苏模拟人（多模式）</w:t>
            </w:r>
          </w:p>
        </w:tc>
        <w:tc>
          <w:tcPr>
            <w:tcW w:w="6557" w:type="dxa"/>
            <w:shd w:val="clear" w:color="auto" w:fill="auto"/>
            <w:vAlign w:val="center"/>
          </w:tcPr>
          <w:p w14:paraId="405B7743">
            <w:pPr>
              <w:widowControl/>
              <w:jc w:val="left"/>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执行标准：美国心脏学会(AHA)2025国际心肺复苏(CPR)＆心血管急救(ECC)指南标准。</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 xml:space="preserve">1、全身模拟人解剖特征明显，手感真实，肤色统一，形态逼真，外形美观。 </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模拟人支持自建热点，可通过手机扫描二维码无线连接模拟人，手机不需要安装软件，IOS或Andriod平台不限。模拟人身侧配备了液晶显示窗，可清晰显示模拟人的编号，便于多台同时使用时，正确地找到对应模拟人。（投标人应提供相关证明材料）</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3、★模拟人自带锂电池，正常使用时间</w:t>
            </w:r>
            <w:r>
              <w:rPr>
                <w:rFonts w:hint="eastAsia" w:asciiTheme="minorEastAsia" w:hAnsiTheme="minorEastAsia" w:eastAsiaTheme="minorEastAsia" w:cstheme="minorEastAsia"/>
                <w:color w:val="000000"/>
                <w:kern w:val="0"/>
                <w:sz w:val="20"/>
                <w:szCs w:val="20"/>
                <w:highlight w:val="none"/>
                <w:lang w:val="en-US" w:eastAsia="zh-CN"/>
              </w:rPr>
              <w:t>≥</w:t>
            </w:r>
            <w:r>
              <w:rPr>
                <w:rFonts w:hint="eastAsia" w:asciiTheme="minorEastAsia" w:hAnsiTheme="minorEastAsia" w:eastAsiaTheme="minorEastAsia" w:cstheme="minorEastAsia"/>
                <w:color w:val="000000"/>
                <w:kern w:val="0"/>
                <w:sz w:val="20"/>
                <w:szCs w:val="20"/>
                <w:highlight w:val="none"/>
              </w:rPr>
              <w:t>8小时；模拟人可感应意识判断、脉搏触诊、是否取出口中异物；（投标人应提供相关证明材料）</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4、★系统内置不同的CPR场景，包括：溺水、心脏骤停、创伤、中毒、意外低温、电击、过敏等，用户也可添加新的场景，或在现有的场景上进行编辑修改。每个场景都可以有独立的操作流程和评分标准。（投标人应提供相关证明材料）</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5、系统支持视频导引，用户可选择在训练或考核前导入相应的视频场景。（投标人应提供相关证明材料）</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6、★模拟生命体征：胸外按压时有模拟心脏按压心电波形；抢救成功后，模拟人可有心电图、颈动脉搏动、散大的瞳孔恢复正常、自主呼吸等变化。（投标人应提供相关证明材料）</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 xml:space="preserve">7、可进行胸外按压、气道开放、人工呼吸。  </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8、★三种操作方式：分为自主训练、自测模式、考核模式。自主训练时，学生可分别进行连续胸外按压或连续吹气操作，针对性的进行训练，完成后有各项错误统计。自测模式时，有操作下一步语音提示，按压吹气时有操作错误提示，并且学生可随时暂停、重置操作。（投标人应提供相关证明材料）</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9、★手机系统上条形显示按压深度，正确的按压深度5cm以上,不超过6cm. （投标人应提供相关证明材料）</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w:t>
            </w:r>
            <w:r>
              <w:rPr>
                <w:rFonts w:hint="eastAsia" w:asciiTheme="minorEastAsia" w:hAnsiTheme="minorEastAsia" w:eastAsiaTheme="minorEastAsia" w:cstheme="minorEastAsia"/>
                <w:color w:val="000000"/>
                <w:kern w:val="0"/>
                <w:sz w:val="20"/>
                <w:szCs w:val="20"/>
                <w:highlight w:val="none"/>
                <w:lang w:val="en-US" w:eastAsia="zh-CN"/>
              </w:rPr>
              <w:t>按压深度过少、合适、过大时有不同颜色区分</w:t>
            </w:r>
            <w:r>
              <w:rPr>
                <w:rFonts w:hint="eastAsia" w:asciiTheme="minorEastAsia" w:hAnsiTheme="minorEastAsia" w:eastAsiaTheme="minorEastAsia" w:cstheme="minorEastAsia"/>
                <w:color w:val="000000"/>
                <w:kern w:val="0"/>
                <w:sz w:val="20"/>
                <w:szCs w:val="20"/>
                <w:highlight w:val="none"/>
              </w:rPr>
              <w:t>。</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lang w:val="en-US" w:eastAsia="zh-CN"/>
              </w:rPr>
              <w:t>2</w:t>
            </w:r>
            <w:r>
              <w:rPr>
                <w:rFonts w:hint="eastAsia" w:asciiTheme="minorEastAsia" w:hAnsiTheme="minorEastAsia" w:eastAsiaTheme="minorEastAsia" w:cstheme="minorEastAsia"/>
                <w:color w:val="000000"/>
                <w:kern w:val="0"/>
                <w:sz w:val="20"/>
                <w:szCs w:val="20"/>
                <w:highlight w:val="none"/>
              </w:rPr>
              <w:t>）按压深度时，具有虚拟按压人同步显示。</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10、手机系统上条形显示吹气量：500ml/600ml-1000ml （投标人应提供相关证明材料）</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w:t>
            </w:r>
            <w:r>
              <w:rPr>
                <w:rFonts w:hint="eastAsia" w:asciiTheme="minorEastAsia" w:hAnsiTheme="minorEastAsia" w:eastAsiaTheme="minorEastAsia" w:cstheme="minorEastAsia"/>
                <w:color w:val="000000"/>
                <w:kern w:val="0"/>
                <w:sz w:val="20"/>
                <w:szCs w:val="20"/>
                <w:highlight w:val="none"/>
                <w:lang w:val="en-US" w:eastAsia="zh-CN"/>
              </w:rPr>
              <w:t>吹气量过少、合适、过大时有不同颜色区分</w:t>
            </w:r>
            <w:r>
              <w:rPr>
                <w:rFonts w:hint="eastAsia" w:asciiTheme="minorEastAsia" w:hAnsiTheme="minorEastAsia" w:eastAsiaTheme="minorEastAsia" w:cstheme="minorEastAsia"/>
                <w:color w:val="000000"/>
                <w:kern w:val="0"/>
                <w:sz w:val="20"/>
                <w:szCs w:val="20"/>
                <w:highlight w:val="none"/>
              </w:rPr>
              <w:t xml:space="preserve">。 </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lang w:val="en-US" w:eastAsia="zh-CN"/>
              </w:rPr>
              <w:t>2</w:t>
            </w:r>
            <w:r>
              <w:rPr>
                <w:rFonts w:hint="eastAsia" w:asciiTheme="minorEastAsia" w:hAnsiTheme="minorEastAsia" w:eastAsiaTheme="minorEastAsia" w:cstheme="minorEastAsia"/>
                <w:color w:val="000000"/>
                <w:kern w:val="0"/>
                <w:sz w:val="20"/>
                <w:szCs w:val="20"/>
                <w:highlight w:val="none"/>
              </w:rPr>
              <w:t>）吹气时，具有虚拟肺同步显示。</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11、手机系统上弧形显示操作频率：</w:t>
            </w:r>
          </w:p>
          <w:p w14:paraId="1F9BED11">
            <w:pPr>
              <w:widowControl/>
              <w:jc w:val="left"/>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1）每分100次以下</w:t>
            </w:r>
            <w:r>
              <w:rPr>
                <w:rFonts w:hint="eastAsia" w:asciiTheme="minorEastAsia" w:hAnsiTheme="minorEastAsia" w:eastAsiaTheme="minorEastAsia" w:cstheme="minorEastAsia"/>
                <w:color w:val="000000"/>
                <w:kern w:val="0"/>
                <w:sz w:val="20"/>
                <w:szCs w:val="20"/>
                <w:highlight w:val="none"/>
                <w:lang w:eastAsia="zh-CN"/>
              </w:rPr>
              <w:t>、</w:t>
            </w:r>
            <w:r>
              <w:rPr>
                <w:rFonts w:hint="eastAsia" w:asciiTheme="minorEastAsia" w:hAnsiTheme="minorEastAsia" w:eastAsiaTheme="minorEastAsia" w:cstheme="minorEastAsia"/>
                <w:color w:val="000000"/>
                <w:kern w:val="0"/>
                <w:sz w:val="20"/>
                <w:szCs w:val="20"/>
                <w:highlight w:val="none"/>
              </w:rPr>
              <w:t>100-120次/分</w:t>
            </w:r>
            <w:r>
              <w:rPr>
                <w:rFonts w:hint="eastAsia" w:asciiTheme="minorEastAsia" w:hAnsiTheme="minorEastAsia" w:eastAsiaTheme="minorEastAsia" w:cstheme="minorEastAsia"/>
                <w:color w:val="000000"/>
                <w:kern w:val="0"/>
                <w:sz w:val="20"/>
                <w:szCs w:val="20"/>
                <w:highlight w:val="none"/>
                <w:lang w:eastAsia="zh-CN"/>
              </w:rPr>
              <w:t>、</w:t>
            </w:r>
            <w:r>
              <w:rPr>
                <w:rFonts w:hint="eastAsia" w:asciiTheme="minorEastAsia" w:hAnsiTheme="minorEastAsia" w:eastAsiaTheme="minorEastAsia" w:cstheme="minorEastAsia"/>
                <w:color w:val="000000"/>
                <w:kern w:val="0"/>
                <w:sz w:val="20"/>
                <w:szCs w:val="20"/>
                <w:highlight w:val="none"/>
              </w:rPr>
              <w:t>120次以上</w:t>
            </w:r>
            <w:r>
              <w:rPr>
                <w:rFonts w:hint="eastAsia" w:asciiTheme="minorEastAsia" w:hAnsiTheme="minorEastAsia" w:eastAsiaTheme="minorEastAsia" w:cstheme="minorEastAsia"/>
                <w:color w:val="000000"/>
                <w:kern w:val="0"/>
                <w:sz w:val="20"/>
                <w:szCs w:val="20"/>
                <w:highlight w:val="none"/>
                <w:lang w:val="en-US" w:eastAsia="zh-CN"/>
              </w:rPr>
              <w:t>时有不同颜色区分</w:t>
            </w:r>
            <w:r>
              <w:rPr>
                <w:rFonts w:hint="eastAsia" w:asciiTheme="minorEastAsia" w:hAnsiTheme="minorEastAsia" w:eastAsiaTheme="minorEastAsia" w:cstheme="minorEastAsia"/>
                <w:color w:val="000000"/>
                <w:kern w:val="0"/>
                <w:sz w:val="20"/>
                <w:szCs w:val="20"/>
                <w:highlight w:val="none"/>
              </w:rPr>
              <w:t>。</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12、监考功能：学生考核模式时，教师可用另一台手机连接模拟人进入监考模式，查看学生的操作记录、实时的操作数据，并且控制考核暂停或重置。（投标人应提供相关证明材料）</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13、考生可完全自主完成考核，无需教师参与，或者教师也可同时登录系统进行监考。（投标人应提供相关证明材料）</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14、★成绩管理：记录考核的所有成绩单，可根据场景进行查看和统计，了解所有考生的各技能点掌握情况。（投标人应提供相关证明材料）</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15、系统可显示操作日志：系统自动记录操作流程、胸外按压的次数、过大、过小、按压位置、按压频率、按压中断、吹气次数、吹气量等信息。16、模拟人标配手机支架，在进行训练考核时，可将手机放在支架上进行操作，高度方向可随意调节，适应各种姿势。</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17、模拟人可分为两种联机模式，可自由选择</w:t>
            </w:r>
          </w:p>
          <w:p w14:paraId="25796DD2">
            <w:pPr>
              <w:widowControl/>
              <w:jc w:val="left"/>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1）手机与模拟人二组合无线联机模式。</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 控制器、模拟人二组合联机模式。</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18、选择控制器、模拟人二组合联机模式：</w:t>
            </w:r>
          </w:p>
          <w:p w14:paraId="57B3AD91">
            <w:pPr>
              <w:widowControl/>
              <w:jc w:val="left"/>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 xml:space="preserve">18.1、控制器可有线连接模拟人，显示三种操作方式：可进行CPR训练、模拟考核和实战考核。 </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18.2、CPR训练：可进行按压和吹气，胸外按压时电子监测按压部位；条形码显示吹气量，正确吹气量500-1000ml，吹气过少、合适、过大条形码分别显示黄色、绿色、红色；条形码显示按压深度，按压过浅、合适、过深条形码分别显示黄色、绿色、红色。</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18.3、模拟考核：在规定时间内，根据国际心肺复苏标准，完成考核并显示按压成功率及综合评定成绩。</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18.4、实战考核：在设定的时间内，根据国际心肺复苏标准，完成前期设定考核标准。</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18.5、控制器打印机功能： 成绩单内容涵盖操作方式、意识判断、急救呼吸、脉搏检查、检查呼吸、清除异物、每个循环操作中按压和吹气的次数、按压正确/错误次数、按压错误的原因和次数、吹气正确/错误的原因和次数、吹气错误的原因、设定时间、操作时间和考核评定。</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18.6、遥控器功能： 开始按键、返回、打印，同模拟人控制器面板上相应按键功能一样。控制模拟人各项急救操作。遥控器可控制模拟人的状态，模拟人瞳孔显示状态，在正常与放大间互相切换。</w:t>
            </w:r>
          </w:p>
        </w:tc>
        <w:tc>
          <w:tcPr>
            <w:tcW w:w="709" w:type="dxa"/>
            <w:shd w:val="clear" w:color="auto" w:fill="auto"/>
            <w:vAlign w:val="center"/>
          </w:tcPr>
          <w:p w14:paraId="544AB570">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台</w:t>
            </w:r>
          </w:p>
        </w:tc>
        <w:tc>
          <w:tcPr>
            <w:tcW w:w="709" w:type="dxa"/>
            <w:shd w:val="clear" w:color="auto" w:fill="auto"/>
            <w:vAlign w:val="center"/>
          </w:tcPr>
          <w:p w14:paraId="0649EEB0">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4</w:t>
            </w:r>
          </w:p>
        </w:tc>
      </w:tr>
      <w:tr w14:paraId="664590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62" w:hRule="atLeast"/>
        </w:trPr>
        <w:tc>
          <w:tcPr>
            <w:tcW w:w="760" w:type="dxa"/>
            <w:shd w:val="clear" w:color="auto" w:fill="auto"/>
            <w:noWrap/>
            <w:vAlign w:val="center"/>
          </w:tcPr>
          <w:p w14:paraId="38A53EEC">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7</w:t>
            </w:r>
          </w:p>
        </w:tc>
        <w:tc>
          <w:tcPr>
            <w:tcW w:w="1472" w:type="dxa"/>
            <w:gridSpan w:val="2"/>
            <w:shd w:val="clear" w:color="auto" w:fill="auto"/>
            <w:vAlign w:val="center"/>
          </w:tcPr>
          <w:p w14:paraId="6ED1454C">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高级创伤模型</w:t>
            </w:r>
          </w:p>
        </w:tc>
        <w:tc>
          <w:tcPr>
            <w:tcW w:w="6557" w:type="dxa"/>
            <w:shd w:val="clear" w:color="auto" w:fill="auto"/>
            <w:vAlign w:val="center"/>
          </w:tcPr>
          <w:p w14:paraId="0CD0411C">
            <w:pPr>
              <w:widowControl/>
              <w:jc w:val="left"/>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一、功能特点：</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1、模拟身体各部位的创伤，烧伤皮肤更换</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2、模拟创伤部位的清洗、消毒、止血、包扎、固定、搬运</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3、模拟,人身体各个部位的开放性骨折、断裂处理</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二、创伤评估模块主要配置：</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1、面部烧伤Ⅰ</w:t>
            </w:r>
            <w:r>
              <w:rPr>
                <w:rFonts w:hint="eastAsia" w:asciiTheme="minorEastAsia" w:hAnsiTheme="minorEastAsia" w:eastAsiaTheme="minorEastAsia" w:cstheme="minorEastAsia"/>
                <w:color w:val="000000"/>
                <w:kern w:val="0"/>
                <w:sz w:val="20"/>
                <w:szCs w:val="20"/>
                <w:highlight w:val="none"/>
                <w:lang w:eastAsia="zh-CN"/>
              </w:rPr>
              <w:t>、</w:t>
            </w:r>
            <w:r>
              <w:rPr>
                <w:rFonts w:hint="eastAsia" w:asciiTheme="minorEastAsia" w:hAnsiTheme="minorEastAsia" w:eastAsiaTheme="minorEastAsia" w:cstheme="minorEastAsia"/>
                <w:color w:val="000000"/>
                <w:kern w:val="0"/>
                <w:sz w:val="20"/>
                <w:szCs w:val="20"/>
                <w:highlight w:val="none"/>
              </w:rPr>
              <w:t>Ⅱ</w:t>
            </w:r>
            <w:r>
              <w:rPr>
                <w:rFonts w:hint="eastAsia" w:asciiTheme="minorEastAsia" w:hAnsiTheme="minorEastAsia" w:eastAsiaTheme="minorEastAsia" w:cstheme="minorEastAsia"/>
                <w:color w:val="000000"/>
                <w:kern w:val="0"/>
                <w:sz w:val="20"/>
                <w:szCs w:val="20"/>
                <w:highlight w:val="none"/>
                <w:lang w:eastAsia="zh-CN"/>
              </w:rPr>
              <w:t>、</w:t>
            </w:r>
            <w:r>
              <w:rPr>
                <w:rFonts w:hint="eastAsia" w:asciiTheme="minorEastAsia" w:hAnsiTheme="minorEastAsia" w:eastAsiaTheme="minorEastAsia" w:cstheme="minorEastAsia"/>
                <w:color w:val="000000"/>
                <w:kern w:val="0"/>
                <w:sz w:val="20"/>
                <w:szCs w:val="20"/>
                <w:highlight w:val="none"/>
              </w:rPr>
              <w:t>Ⅲ度</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2、前额撕裂伤口</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3、颌前创伤口</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4、锁骨开放性骨折与胸膛挫伤</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5、腹部创伤伴有小肠突露</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6、右上臂肱骨开放性骨折</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7、右手开放性骨折、软组织撕裂伤口、骨组织暴露</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8、右手掌枪弹伤口</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9、右大腿股骨开放性骨折</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10、右大腿复合形股骨骨折</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11、右大腿金属异物刺伤</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12、右小腿胫骨开放性骨折</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13、右足开放性骨折右小指截断创伤</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14、左前臂烧伤Ⅰ</w:t>
            </w:r>
            <w:r>
              <w:rPr>
                <w:rFonts w:hint="eastAsia" w:asciiTheme="minorEastAsia" w:hAnsiTheme="minorEastAsia" w:eastAsiaTheme="minorEastAsia" w:cstheme="minorEastAsia"/>
                <w:color w:val="000000"/>
                <w:kern w:val="0"/>
                <w:sz w:val="20"/>
                <w:szCs w:val="20"/>
                <w:highlight w:val="none"/>
                <w:lang w:eastAsia="zh-CN"/>
              </w:rPr>
              <w:t>、</w:t>
            </w:r>
            <w:r>
              <w:rPr>
                <w:rFonts w:hint="eastAsia" w:asciiTheme="minorEastAsia" w:hAnsiTheme="minorEastAsia" w:eastAsiaTheme="minorEastAsia" w:cstheme="minorEastAsia"/>
                <w:color w:val="000000"/>
                <w:kern w:val="0"/>
                <w:sz w:val="20"/>
                <w:szCs w:val="20"/>
                <w:highlight w:val="none"/>
              </w:rPr>
              <w:t>Ⅱ</w:t>
            </w:r>
            <w:r>
              <w:rPr>
                <w:rFonts w:hint="eastAsia" w:asciiTheme="minorEastAsia" w:hAnsiTheme="minorEastAsia" w:eastAsiaTheme="minorEastAsia" w:cstheme="minorEastAsia"/>
                <w:color w:val="000000"/>
                <w:kern w:val="0"/>
                <w:sz w:val="20"/>
                <w:szCs w:val="20"/>
                <w:highlight w:val="none"/>
                <w:lang w:eastAsia="zh-CN"/>
              </w:rPr>
              <w:t>、</w:t>
            </w:r>
            <w:r>
              <w:rPr>
                <w:rFonts w:hint="eastAsia" w:asciiTheme="minorEastAsia" w:hAnsiTheme="minorEastAsia" w:eastAsiaTheme="minorEastAsia" w:cstheme="minorEastAsia"/>
                <w:color w:val="000000"/>
                <w:kern w:val="0"/>
                <w:sz w:val="20"/>
                <w:szCs w:val="20"/>
                <w:highlight w:val="none"/>
              </w:rPr>
              <w:t>Ⅲ度</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15、左大腿截断创伤</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16、左小腿胫骨闭合性骨折以及踝关节和足挫伤</w:t>
            </w:r>
          </w:p>
        </w:tc>
        <w:tc>
          <w:tcPr>
            <w:tcW w:w="709" w:type="dxa"/>
            <w:shd w:val="clear" w:color="auto" w:fill="auto"/>
            <w:vAlign w:val="center"/>
          </w:tcPr>
          <w:p w14:paraId="51AD967B">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台</w:t>
            </w:r>
          </w:p>
        </w:tc>
        <w:tc>
          <w:tcPr>
            <w:tcW w:w="709" w:type="dxa"/>
            <w:shd w:val="clear" w:color="auto" w:fill="auto"/>
            <w:vAlign w:val="center"/>
          </w:tcPr>
          <w:p w14:paraId="47CA8C68">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2</w:t>
            </w:r>
          </w:p>
        </w:tc>
      </w:tr>
      <w:tr w14:paraId="7D44A9F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62" w:hRule="atLeast"/>
        </w:trPr>
        <w:tc>
          <w:tcPr>
            <w:tcW w:w="760" w:type="dxa"/>
            <w:shd w:val="clear" w:color="auto" w:fill="auto"/>
            <w:noWrap/>
            <w:vAlign w:val="center"/>
          </w:tcPr>
          <w:p w14:paraId="0D791284">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8</w:t>
            </w:r>
          </w:p>
        </w:tc>
        <w:tc>
          <w:tcPr>
            <w:tcW w:w="1472" w:type="dxa"/>
            <w:gridSpan w:val="2"/>
            <w:shd w:val="clear" w:color="auto" w:fill="auto"/>
            <w:vAlign w:val="center"/>
          </w:tcPr>
          <w:p w14:paraId="4208DADE">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海姆立克智能AI马甲实训系统</w:t>
            </w:r>
          </w:p>
        </w:tc>
        <w:tc>
          <w:tcPr>
            <w:tcW w:w="6557" w:type="dxa"/>
            <w:shd w:val="clear" w:color="auto" w:fill="auto"/>
            <w:vAlign w:val="center"/>
          </w:tcPr>
          <w:p w14:paraId="41CAC689">
            <w:pPr>
              <w:widowControl/>
              <w:jc w:val="left"/>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▲1.由智能化马甲和手机端智能化分析软件系统组成，模拟异物卡喉训练的全过程，并进行智能化训练分析。（投标人应提供相关证明材料）</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2.适合成人佩戴，方便调节适合不同体型人群，可以训练各种海姆立克手法。</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3.具有标准的解剖定位，模拟肺的位置、肚脐等。</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4.腹部包含模拟气囊，模拟真实人体腹腔挤压手感，按压气囊气体喷出，模拟异物喷出，智能传感器能感知异物状态，感知冲击部位、冲击方向、冲击力度和冲击频率等。</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5.背部内置传感器，能感知叩击力度和叩击频率等。</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6.具有指示灯，异物梗阻时，模拟喉部亮起红色指示灯，并发出有节律的报警音，梗阻解除后，模拟喉部亮起绿色指示灯，报警音停止。</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7.具有智能语音检测功能，可于训练过程中检测语音指令，包含训练开始指令、询问患者梗阻情况等语音检测。</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8.智能分析软件分为教师端和学生端，学生端包含学生的训练记录，训练时间、训练次数、成功率等统计数据。</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9.教师端可以给学生分配训练任务，并在手机上查看学生训练任务完成情况。</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10.提供单人训练模式和团队竞赛模式，并进行积分排名。</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11.智能软件提供智能化分析报告，包括冲击部位、方向、力度和频率的分析，以图表形式展示并且与硬件实时同步，并给出个性化统计分析报告。</w:t>
            </w:r>
          </w:p>
        </w:tc>
        <w:tc>
          <w:tcPr>
            <w:tcW w:w="709" w:type="dxa"/>
            <w:shd w:val="clear" w:color="auto" w:fill="auto"/>
            <w:vAlign w:val="center"/>
          </w:tcPr>
          <w:p w14:paraId="288E9D7A">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台</w:t>
            </w:r>
          </w:p>
        </w:tc>
        <w:tc>
          <w:tcPr>
            <w:tcW w:w="709" w:type="dxa"/>
            <w:shd w:val="clear" w:color="auto" w:fill="auto"/>
            <w:vAlign w:val="center"/>
          </w:tcPr>
          <w:p w14:paraId="5C783A5F">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2</w:t>
            </w:r>
          </w:p>
        </w:tc>
      </w:tr>
      <w:tr w14:paraId="1FCE64F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62" w:hRule="atLeast"/>
        </w:trPr>
        <w:tc>
          <w:tcPr>
            <w:tcW w:w="760" w:type="dxa"/>
            <w:shd w:val="clear" w:color="auto" w:fill="auto"/>
            <w:noWrap/>
            <w:vAlign w:val="center"/>
          </w:tcPr>
          <w:p w14:paraId="0D553300">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9</w:t>
            </w:r>
          </w:p>
        </w:tc>
        <w:tc>
          <w:tcPr>
            <w:tcW w:w="1472" w:type="dxa"/>
            <w:gridSpan w:val="2"/>
            <w:shd w:val="clear" w:color="auto" w:fill="auto"/>
            <w:vAlign w:val="center"/>
          </w:tcPr>
          <w:p w14:paraId="01F61FBE">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高级婴儿气道梗阻及CPR模型</w:t>
            </w:r>
          </w:p>
        </w:tc>
        <w:tc>
          <w:tcPr>
            <w:tcW w:w="6557" w:type="dxa"/>
            <w:shd w:val="clear" w:color="auto" w:fill="auto"/>
            <w:vAlign w:val="center"/>
          </w:tcPr>
          <w:p w14:paraId="3A9DC122">
            <w:pPr>
              <w:widowControl/>
              <w:jc w:val="left"/>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1、正常的气道阻塞模拟；</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2、可进行标准的CPR操作：人工呼吸和心外按压;</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3、气道贯通时的胸部扩张；</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4、窒息、异物阻塞气道的模拟；</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5、标准婴儿真人比列设计及准确的标准布局；</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6、可触及胸骨和肋骨。</w:t>
            </w:r>
          </w:p>
        </w:tc>
        <w:tc>
          <w:tcPr>
            <w:tcW w:w="709" w:type="dxa"/>
            <w:shd w:val="clear" w:color="auto" w:fill="auto"/>
            <w:noWrap/>
            <w:vAlign w:val="center"/>
          </w:tcPr>
          <w:p w14:paraId="6570B8AD">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套</w:t>
            </w:r>
          </w:p>
        </w:tc>
        <w:tc>
          <w:tcPr>
            <w:tcW w:w="709" w:type="dxa"/>
            <w:shd w:val="clear" w:color="auto" w:fill="auto"/>
            <w:noWrap/>
            <w:vAlign w:val="center"/>
          </w:tcPr>
          <w:p w14:paraId="32244079">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2</w:t>
            </w:r>
          </w:p>
        </w:tc>
      </w:tr>
      <w:tr w14:paraId="016A818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62" w:hRule="atLeast"/>
        </w:trPr>
        <w:tc>
          <w:tcPr>
            <w:tcW w:w="760" w:type="dxa"/>
            <w:shd w:val="clear" w:color="auto" w:fill="auto"/>
            <w:noWrap/>
            <w:vAlign w:val="center"/>
          </w:tcPr>
          <w:p w14:paraId="2A74B5C8">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10</w:t>
            </w:r>
          </w:p>
        </w:tc>
        <w:tc>
          <w:tcPr>
            <w:tcW w:w="1472" w:type="dxa"/>
            <w:gridSpan w:val="2"/>
            <w:shd w:val="clear" w:color="auto" w:fill="auto"/>
            <w:vAlign w:val="center"/>
          </w:tcPr>
          <w:p w14:paraId="15CF664D">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全功能新生儿高级模拟人</w:t>
            </w:r>
          </w:p>
        </w:tc>
        <w:tc>
          <w:tcPr>
            <w:tcW w:w="6557" w:type="dxa"/>
            <w:shd w:val="clear" w:color="auto" w:fill="auto"/>
            <w:vAlign w:val="center"/>
          </w:tcPr>
          <w:p w14:paraId="333C0DD4">
            <w:pPr>
              <w:widowControl/>
              <w:jc w:val="left"/>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1、瞳孔观察：瞳孔显示一侧正常、一侧散大状态。</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2、婴儿护理操作：洗浴、换衣、耳清洗滴药、口腔护理等。</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3、气道管理技术：逼真的口腔、气道（鼻、咽、喉、气管等）和食管，可练习经口气气管插管、吸痰法和氧气吸入法。</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4、手臂静脉和股静脉穿刺、注射、输液、输血训练。</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5、脐静脉注射。</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6、骨髓穿刺;胫骨骨髓穿刺和骨内输液。</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7、肱动脉和股动脉搏动。</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8、四肢关节逼真，可进行模拟屈、伸等活动。</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9、心肺复苏（CPR)功能</w:t>
            </w:r>
          </w:p>
        </w:tc>
        <w:tc>
          <w:tcPr>
            <w:tcW w:w="709" w:type="dxa"/>
            <w:shd w:val="clear" w:color="auto" w:fill="auto"/>
            <w:noWrap/>
            <w:vAlign w:val="center"/>
          </w:tcPr>
          <w:p w14:paraId="5DCFDB61">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套</w:t>
            </w:r>
          </w:p>
        </w:tc>
        <w:tc>
          <w:tcPr>
            <w:tcW w:w="709" w:type="dxa"/>
            <w:shd w:val="clear" w:color="auto" w:fill="auto"/>
            <w:noWrap/>
            <w:vAlign w:val="center"/>
          </w:tcPr>
          <w:p w14:paraId="6B2D1C7B">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2</w:t>
            </w:r>
          </w:p>
        </w:tc>
      </w:tr>
      <w:tr w14:paraId="0E17A9D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62" w:hRule="atLeast"/>
        </w:trPr>
        <w:tc>
          <w:tcPr>
            <w:tcW w:w="760" w:type="dxa"/>
            <w:shd w:val="clear" w:color="auto" w:fill="auto"/>
            <w:noWrap/>
            <w:vAlign w:val="center"/>
          </w:tcPr>
          <w:p w14:paraId="24D69177">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11</w:t>
            </w:r>
          </w:p>
        </w:tc>
        <w:tc>
          <w:tcPr>
            <w:tcW w:w="1472" w:type="dxa"/>
            <w:gridSpan w:val="2"/>
            <w:shd w:val="clear" w:color="auto" w:fill="auto"/>
            <w:vAlign w:val="center"/>
          </w:tcPr>
          <w:p w14:paraId="34A8945B">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虚实一体AI考核（原模拟人利旧升级）</w:t>
            </w:r>
          </w:p>
        </w:tc>
        <w:tc>
          <w:tcPr>
            <w:tcW w:w="6557" w:type="dxa"/>
            <w:shd w:val="clear" w:color="auto" w:fill="auto"/>
            <w:vAlign w:val="center"/>
          </w:tcPr>
          <w:p w14:paraId="3754CF55">
            <w:pPr>
              <w:widowControl/>
              <w:jc w:val="left"/>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1.升级利旧原有设备（模拟人）适配全景数字孪生仿真管理中心系统。升级原设备（模拟人）数量≥10套。分为学生端和教师端，教师端可以进行监考和考核管理，查看管理考核成绩，设置考核标准，情景任务的编辑和添加。</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2.考核管理：记录考核的所有成绩，成绩可按照学员姓名进行检索查看或删除。</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3.学生端包括2种模式，演练模式，考核模式。</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4.全程监测多项指标：</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4.1按压部分：监测按压次数（多按、少按）、按压位置（正确、错误）、按压深度（过大、过小）、按压频率（正确、错误）、按压回弹、按压中断时间显示。</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4.2按压操作波形显示：实时显示按压操作波形，通过波形可判断按压深度、按压频率、按压回弹情况、按压中断时间、按压位置等。</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4.3吹气部分监测：吹气次数（多吹、少吹）、吹气量（过大、过小）、吹气时间、气体进胃。吹气操作波形显示：实时显示吹气操作波形，通过波形可判断吹气量、吹气时间。</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5.1演练模式：可添加CPR练习场景，可进行按压深度、按压频率、吹气等练习。</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5.1.1按压过大、过小、多按、按压位置、吹气过大、过小、过短、过长。</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5.1.2可对CPR参数进行设置，操作结束自动弹出成绩单。</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5.2考核模式：在设定的考核时间内，按照30:2的比例进行考核，设置项包括：考核时间、CPR循环次数（用于选择单人或多人操作）、按压和吹气的正确比率（决定急救操作后的复活标准）、潮气量和按压深度的标准范围。</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5.2.1操作评价标准：按压深度范围、按压达标率、操作评价。</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5.2.2操作统计：吹气正确率、吹气错误次数、吹气时间、吹气错误分析（过大、过小、多吹、少吹）、按压正确率、按压错误次数、按压错误分析（过大、过小、多按、少按、位置错误、按压未完全回弹）、按压频率错误、按压间隔过大的次数、CPR循环数、循环中断时间。</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6.实时记录数据，并以曲线和柱状2种形式显示按压深度和潮气量，曲线记录按压和吹气过程，使统计的结果更加直观，并可以记录每一个操作的细节。其中按压过程中若出现按压间隔过大的情况，其间隔时间将记录在曲线上</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7.支持3D大屏操作过程可视化，可同时监控≥10人抢救模拟人，监测指标可在融合大屏显示。</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b/>
                <w:bCs/>
                <w:color w:val="000000"/>
                <w:kern w:val="0"/>
                <w:sz w:val="20"/>
                <w:szCs w:val="20"/>
                <w:highlight w:val="none"/>
              </w:rPr>
              <w:t>8、原模拟人技术指标：</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8.1执行标准:美国心脏学会(AHA)2020国际心肺复苏(CPR)&amp;心血管急救(ECC)指南标准；</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8.2胸外心脏按压，按压深度为5~6cm；</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8.3电子监测按压深度，按压深度正确有正确蜂鸣音提示，按压深度错误有报警蜂鸣音提示；</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8.4标准气道开放；</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8.5口对口人工呼吸，吹气大小通过观察胸部起伏来判断，标准吹气量为500/600ml~1000ml；</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8.6按压频率:100~120次/分钟；</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8.7操作方式:训练模式；</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8.8电源状态:电池；</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8.9可配合用户自备的模拟AED进行除颤训练。</w:t>
            </w:r>
          </w:p>
        </w:tc>
        <w:tc>
          <w:tcPr>
            <w:tcW w:w="709" w:type="dxa"/>
            <w:shd w:val="clear" w:color="auto" w:fill="auto"/>
            <w:noWrap/>
            <w:vAlign w:val="center"/>
          </w:tcPr>
          <w:p w14:paraId="1DE67B1F">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项</w:t>
            </w:r>
          </w:p>
        </w:tc>
        <w:tc>
          <w:tcPr>
            <w:tcW w:w="709" w:type="dxa"/>
            <w:shd w:val="clear" w:color="auto" w:fill="auto"/>
            <w:noWrap/>
            <w:vAlign w:val="center"/>
          </w:tcPr>
          <w:p w14:paraId="6A96B390">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1</w:t>
            </w:r>
          </w:p>
        </w:tc>
      </w:tr>
      <w:tr w14:paraId="604CB48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62" w:hRule="atLeast"/>
        </w:trPr>
        <w:tc>
          <w:tcPr>
            <w:tcW w:w="760" w:type="dxa"/>
            <w:shd w:val="clear" w:color="auto" w:fill="auto"/>
            <w:noWrap/>
            <w:vAlign w:val="center"/>
          </w:tcPr>
          <w:p w14:paraId="338AED98">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12</w:t>
            </w:r>
          </w:p>
        </w:tc>
        <w:tc>
          <w:tcPr>
            <w:tcW w:w="1472" w:type="dxa"/>
            <w:gridSpan w:val="2"/>
            <w:shd w:val="clear" w:color="auto" w:fill="auto"/>
            <w:vAlign w:val="center"/>
          </w:tcPr>
          <w:p w14:paraId="05A4AE79">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便携式心肺复苏按压练习仪</w:t>
            </w:r>
          </w:p>
        </w:tc>
        <w:tc>
          <w:tcPr>
            <w:tcW w:w="6557" w:type="dxa"/>
            <w:shd w:val="clear" w:color="auto" w:fill="auto"/>
            <w:vAlign w:val="center"/>
          </w:tcPr>
          <w:p w14:paraId="52C5923C">
            <w:pPr>
              <w:widowControl/>
              <w:jc w:val="left"/>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▲1、采用高强度耐疲劳硅胶和特种工程塑料以及金属弹簧制成。（投标人应提供产品实物图予以佐证）</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2、设备自身独立的反馈：灯光，声音。可准确反馈按压深度（5-6厘米），按压频率（100-120 次/分）以及是否完全回弹。引导练习者调整按压的频率和速度，以达到标准要求。</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3、模型通过蓝牙与手机连接，实时显示并记录按压时间、频率、深度以及回弹。同时采集练习者数据至后台，后台可对多人多次数据进行处理分析。排名，练习趋势分析等。适合多人次现场学习考核比赛。</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4、模型可通过手机选择内置≥5首音乐播放，音乐节奏匹配 100-120次/分钟。</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5、毫米级传感器，精度偏差±</w:t>
            </w:r>
            <w:r>
              <w:rPr>
                <w:rFonts w:hint="eastAsia" w:asciiTheme="minorEastAsia" w:hAnsiTheme="minorEastAsia" w:eastAsiaTheme="minorEastAsia" w:cstheme="minorEastAsia"/>
                <w:color w:val="000000"/>
                <w:kern w:val="0"/>
                <w:sz w:val="20"/>
                <w:szCs w:val="20"/>
                <w:highlight w:val="none"/>
                <w:lang w:val="en-US" w:eastAsia="zh-CN"/>
              </w:rPr>
              <w:t>1</w:t>
            </w:r>
            <w:r>
              <w:rPr>
                <w:rFonts w:hint="eastAsia" w:asciiTheme="minorEastAsia" w:hAnsiTheme="minorEastAsia" w:eastAsiaTheme="minorEastAsia" w:cstheme="minorEastAsia"/>
                <w:color w:val="000000"/>
                <w:kern w:val="0"/>
                <w:sz w:val="20"/>
                <w:szCs w:val="20"/>
                <w:highlight w:val="none"/>
              </w:rPr>
              <w:t>毫米。</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6、按压结束后，自动生成详情数据，包括得分以及深度，频率，回弹的具体分数。</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7、在手机记录中可以查询以往每次操作的详细数据，包括合格率、按压总时间、按压总次数、正确次数、频率（平均/最快/最慢）、深度（达标/过深/过浅）、回弹不足、充分回弹等数据。（投标人应提供截图证明功能模块完整）</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8、模型为锂电池供电，充电后正常续航</w:t>
            </w:r>
            <w:r>
              <w:rPr>
                <w:rFonts w:hint="eastAsia" w:asciiTheme="minorEastAsia" w:hAnsiTheme="minorEastAsia" w:eastAsiaTheme="minorEastAsia" w:cstheme="minorEastAsia"/>
                <w:color w:val="000000"/>
                <w:kern w:val="0"/>
                <w:sz w:val="20"/>
                <w:szCs w:val="20"/>
                <w:highlight w:val="none"/>
                <w:lang w:val="en-US" w:eastAsia="zh-CN"/>
              </w:rPr>
              <w:t>≥</w:t>
            </w:r>
            <w:r>
              <w:rPr>
                <w:rFonts w:hint="eastAsia" w:asciiTheme="minorEastAsia" w:hAnsiTheme="minorEastAsia" w:eastAsiaTheme="minorEastAsia" w:cstheme="minorEastAsia"/>
                <w:color w:val="000000"/>
                <w:kern w:val="0"/>
                <w:sz w:val="20"/>
                <w:szCs w:val="20"/>
                <w:highlight w:val="none"/>
              </w:rPr>
              <w:t>6小时以上。</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9、产品尺寸≤13</w:t>
            </w:r>
            <w:r>
              <w:rPr>
                <w:rFonts w:hint="eastAsia" w:asciiTheme="minorEastAsia" w:hAnsiTheme="minorEastAsia" w:eastAsiaTheme="minorEastAsia" w:cstheme="minorEastAsia"/>
                <w:color w:val="000000"/>
                <w:kern w:val="0"/>
                <w:sz w:val="20"/>
                <w:szCs w:val="20"/>
                <w:highlight w:val="none"/>
                <w:lang w:val="en-US" w:eastAsia="zh-CN"/>
              </w:rPr>
              <w:t>5</w:t>
            </w:r>
            <w:r>
              <w:rPr>
                <w:rFonts w:hint="eastAsia" w:asciiTheme="minorEastAsia" w:hAnsiTheme="minorEastAsia" w:eastAsiaTheme="minorEastAsia" w:cstheme="minorEastAsia"/>
                <w:color w:val="000000"/>
                <w:kern w:val="0"/>
                <w:sz w:val="20"/>
                <w:szCs w:val="20"/>
                <w:highlight w:val="none"/>
              </w:rPr>
              <w:t>*13</w:t>
            </w:r>
            <w:r>
              <w:rPr>
                <w:rFonts w:hint="eastAsia" w:asciiTheme="minorEastAsia" w:hAnsiTheme="minorEastAsia" w:eastAsiaTheme="minorEastAsia" w:cstheme="minorEastAsia"/>
                <w:color w:val="000000"/>
                <w:kern w:val="0"/>
                <w:sz w:val="20"/>
                <w:szCs w:val="20"/>
                <w:highlight w:val="none"/>
                <w:lang w:val="en-US" w:eastAsia="zh-CN"/>
              </w:rPr>
              <w:t>5</w:t>
            </w:r>
            <w:r>
              <w:rPr>
                <w:rFonts w:hint="eastAsia" w:asciiTheme="minorEastAsia" w:hAnsiTheme="minorEastAsia" w:eastAsiaTheme="minorEastAsia" w:cstheme="minorEastAsia"/>
                <w:color w:val="000000"/>
                <w:kern w:val="0"/>
                <w:sz w:val="20"/>
                <w:szCs w:val="20"/>
                <w:highlight w:val="none"/>
              </w:rPr>
              <w:t>*17</w:t>
            </w:r>
            <w:r>
              <w:rPr>
                <w:rFonts w:hint="eastAsia" w:asciiTheme="minorEastAsia" w:hAnsiTheme="minorEastAsia" w:eastAsiaTheme="minorEastAsia" w:cstheme="minorEastAsia"/>
                <w:color w:val="000000"/>
                <w:kern w:val="0"/>
                <w:sz w:val="20"/>
                <w:szCs w:val="20"/>
                <w:highlight w:val="none"/>
                <w:lang w:val="en-US" w:eastAsia="zh-CN"/>
              </w:rPr>
              <w:t>5</w:t>
            </w:r>
            <w:r>
              <w:rPr>
                <w:rFonts w:hint="eastAsia" w:asciiTheme="minorEastAsia" w:hAnsiTheme="minorEastAsia" w:eastAsiaTheme="minorEastAsia" w:cstheme="minorEastAsia"/>
                <w:color w:val="000000"/>
                <w:kern w:val="0"/>
                <w:sz w:val="20"/>
                <w:szCs w:val="20"/>
                <w:highlight w:val="none"/>
              </w:rPr>
              <w:t>mm</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10、净重≤</w:t>
            </w:r>
            <w:r>
              <w:rPr>
                <w:rFonts w:hint="eastAsia" w:asciiTheme="minorEastAsia" w:hAnsiTheme="minorEastAsia" w:eastAsiaTheme="minorEastAsia" w:cstheme="minorEastAsia"/>
                <w:color w:val="000000"/>
                <w:kern w:val="0"/>
                <w:sz w:val="20"/>
                <w:szCs w:val="20"/>
                <w:highlight w:val="none"/>
                <w:lang w:val="en-US" w:eastAsia="zh-CN"/>
              </w:rPr>
              <w:t>2</w:t>
            </w:r>
            <w:r>
              <w:rPr>
                <w:rFonts w:hint="eastAsia" w:asciiTheme="minorEastAsia" w:hAnsiTheme="minorEastAsia" w:eastAsiaTheme="minorEastAsia" w:cstheme="minorEastAsia"/>
                <w:color w:val="000000"/>
                <w:kern w:val="0"/>
                <w:sz w:val="20"/>
                <w:szCs w:val="20"/>
                <w:highlight w:val="none"/>
              </w:rPr>
              <w:t>kg</w:t>
            </w:r>
          </w:p>
        </w:tc>
        <w:tc>
          <w:tcPr>
            <w:tcW w:w="709" w:type="dxa"/>
            <w:shd w:val="clear" w:color="auto" w:fill="auto"/>
            <w:noWrap/>
            <w:vAlign w:val="center"/>
          </w:tcPr>
          <w:p w14:paraId="7DFA16E2">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套</w:t>
            </w:r>
          </w:p>
        </w:tc>
        <w:tc>
          <w:tcPr>
            <w:tcW w:w="709" w:type="dxa"/>
            <w:shd w:val="clear" w:color="auto" w:fill="auto"/>
            <w:noWrap/>
            <w:vAlign w:val="center"/>
          </w:tcPr>
          <w:p w14:paraId="55E0BA68">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2</w:t>
            </w:r>
          </w:p>
        </w:tc>
      </w:tr>
      <w:tr w14:paraId="7B154A6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62" w:hRule="atLeast"/>
        </w:trPr>
        <w:tc>
          <w:tcPr>
            <w:tcW w:w="760" w:type="dxa"/>
            <w:shd w:val="clear" w:color="auto" w:fill="auto"/>
            <w:noWrap/>
            <w:vAlign w:val="center"/>
          </w:tcPr>
          <w:p w14:paraId="3E21EC54">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13</w:t>
            </w:r>
          </w:p>
        </w:tc>
        <w:tc>
          <w:tcPr>
            <w:tcW w:w="1472" w:type="dxa"/>
            <w:gridSpan w:val="2"/>
            <w:shd w:val="clear" w:color="auto" w:fill="auto"/>
            <w:vAlign w:val="center"/>
          </w:tcPr>
          <w:p w14:paraId="7036A9B5">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AED练习机</w:t>
            </w:r>
          </w:p>
        </w:tc>
        <w:tc>
          <w:tcPr>
            <w:tcW w:w="6557" w:type="dxa"/>
            <w:shd w:val="clear" w:color="auto" w:fill="auto"/>
            <w:vAlign w:val="center"/>
          </w:tcPr>
          <w:p w14:paraId="25DF6090">
            <w:pPr>
              <w:widowControl/>
              <w:jc w:val="left"/>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1.1训练机专用于急救人员的培训，在培训指南、训练程序方面完全模拟AED，帮助急救人员熟悉AED，并掌握AED操作技能。可以进行成人、儿童操作训练。</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1.2主机具有电源键、除颤键、语言切换健、状态指示灯、遥控器，包含显示操作步骤和动作提示等。</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1.3重量</w:t>
            </w:r>
            <w:r>
              <w:rPr>
                <w:rFonts w:hint="eastAsia" w:asciiTheme="minorEastAsia" w:hAnsiTheme="minorEastAsia" w:eastAsiaTheme="minorEastAsia" w:cstheme="minorEastAsia"/>
                <w:color w:val="000000"/>
                <w:kern w:val="0"/>
                <w:sz w:val="20"/>
                <w:szCs w:val="20"/>
                <w:highlight w:val="none"/>
                <w:lang w:val="en-US" w:eastAsia="zh-CN"/>
              </w:rPr>
              <w:t>≤1.5</w:t>
            </w:r>
            <w:r>
              <w:rPr>
                <w:rFonts w:hint="eastAsia" w:asciiTheme="minorEastAsia" w:hAnsiTheme="minorEastAsia" w:eastAsiaTheme="minorEastAsia" w:cstheme="minorEastAsia"/>
                <w:color w:val="000000"/>
                <w:kern w:val="0"/>
                <w:sz w:val="20"/>
                <w:szCs w:val="20"/>
                <w:highlight w:val="none"/>
              </w:rPr>
              <w:t>kg，尺寸</w:t>
            </w:r>
            <w:r>
              <w:rPr>
                <w:rFonts w:hint="eastAsia" w:asciiTheme="minorEastAsia" w:hAnsiTheme="minorEastAsia" w:eastAsiaTheme="minorEastAsia" w:cstheme="minorEastAsia"/>
                <w:color w:val="000000"/>
                <w:kern w:val="0"/>
                <w:sz w:val="20"/>
                <w:szCs w:val="20"/>
                <w:highlight w:val="none"/>
                <w:lang w:val="en-US" w:eastAsia="zh-CN"/>
              </w:rPr>
              <w:t>≤</w:t>
            </w:r>
            <w:r>
              <w:rPr>
                <w:rFonts w:hint="eastAsia" w:asciiTheme="minorEastAsia" w:hAnsiTheme="minorEastAsia" w:eastAsiaTheme="minorEastAsia" w:cstheme="minorEastAsia"/>
                <w:color w:val="000000"/>
                <w:kern w:val="0"/>
                <w:sz w:val="20"/>
                <w:szCs w:val="20"/>
                <w:highlight w:val="none"/>
              </w:rPr>
              <w:t>300mm×200mm×80mm。</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w:t>
            </w:r>
            <w:r>
              <w:rPr>
                <w:rFonts w:hint="eastAsia" w:asciiTheme="minorEastAsia" w:hAnsiTheme="minorEastAsia" w:eastAsiaTheme="minorEastAsia" w:cstheme="minorEastAsia"/>
                <w:color w:val="000000"/>
                <w:kern w:val="0"/>
                <w:sz w:val="20"/>
                <w:szCs w:val="20"/>
                <w:highlight w:val="none"/>
                <w:lang w:val="en-US" w:eastAsia="zh-CN"/>
              </w:rPr>
              <w:t>4</w:t>
            </w:r>
            <w:r>
              <w:rPr>
                <w:rFonts w:hint="eastAsia" w:asciiTheme="minorEastAsia" w:hAnsiTheme="minorEastAsia" w:eastAsiaTheme="minorEastAsia" w:cstheme="minorEastAsia"/>
                <w:color w:val="000000"/>
                <w:kern w:val="0"/>
                <w:sz w:val="20"/>
                <w:szCs w:val="20"/>
                <w:highlight w:val="none"/>
              </w:rPr>
              <w:t>符合最新心肺复苏指南，具有CPR按压节拍和吹气语音提示功能。</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w:t>
            </w:r>
            <w:r>
              <w:rPr>
                <w:rFonts w:hint="eastAsia" w:asciiTheme="minorEastAsia" w:hAnsiTheme="minorEastAsia" w:eastAsiaTheme="minorEastAsia" w:cstheme="minorEastAsia"/>
                <w:color w:val="000000"/>
                <w:kern w:val="0"/>
                <w:sz w:val="20"/>
                <w:szCs w:val="20"/>
                <w:highlight w:val="none"/>
                <w:lang w:val="en-US" w:eastAsia="zh-CN"/>
              </w:rPr>
              <w:t>5</w:t>
            </w:r>
            <w:r>
              <w:rPr>
                <w:rFonts w:hint="eastAsia" w:asciiTheme="minorEastAsia" w:hAnsiTheme="minorEastAsia" w:eastAsiaTheme="minorEastAsia" w:cstheme="minorEastAsia"/>
                <w:color w:val="000000"/>
                <w:kern w:val="0"/>
                <w:sz w:val="20"/>
                <w:szCs w:val="20"/>
                <w:highlight w:val="none"/>
              </w:rPr>
              <w:t>抗跌落性能：从至少1.2米高度跌落设备功能完好，不影响正常使用</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w:t>
            </w:r>
            <w:r>
              <w:rPr>
                <w:rFonts w:hint="eastAsia" w:asciiTheme="minorEastAsia" w:hAnsiTheme="minorEastAsia" w:eastAsiaTheme="minorEastAsia" w:cstheme="minorEastAsia"/>
                <w:color w:val="000000"/>
                <w:kern w:val="0"/>
                <w:sz w:val="20"/>
                <w:szCs w:val="20"/>
                <w:highlight w:val="none"/>
                <w:lang w:val="en-US" w:eastAsia="zh-CN"/>
              </w:rPr>
              <w:t>6</w:t>
            </w:r>
            <w:r>
              <w:rPr>
                <w:rFonts w:hint="eastAsia" w:asciiTheme="minorEastAsia" w:hAnsiTheme="minorEastAsia" w:eastAsiaTheme="minorEastAsia" w:cstheme="minorEastAsia"/>
                <w:color w:val="000000"/>
                <w:kern w:val="0"/>
                <w:sz w:val="20"/>
                <w:szCs w:val="20"/>
                <w:highlight w:val="none"/>
              </w:rPr>
              <w:t>提示音量大小可通过遥控器进行调节。</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1.</w:t>
            </w:r>
            <w:r>
              <w:rPr>
                <w:rFonts w:hint="eastAsia" w:asciiTheme="minorEastAsia" w:hAnsiTheme="minorEastAsia" w:eastAsiaTheme="minorEastAsia" w:cstheme="minorEastAsia"/>
                <w:color w:val="000000"/>
                <w:kern w:val="0"/>
                <w:sz w:val="20"/>
                <w:szCs w:val="20"/>
                <w:highlight w:val="none"/>
                <w:lang w:val="en-US" w:eastAsia="zh-CN"/>
              </w:rPr>
              <w:t>7</w:t>
            </w:r>
            <w:r>
              <w:rPr>
                <w:rFonts w:hint="eastAsia" w:asciiTheme="minorEastAsia" w:hAnsiTheme="minorEastAsia" w:eastAsiaTheme="minorEastAsia" w:cstheme="minorEastAsia"/>
                <w:color w:val="000000"/>
                <w:kern w:val="0"/>
                <w:sz w:val="20"/>
                <w:szCs w:val="20"/>
                <w:highlight w:val="none"/>
              </w:rPr>
              <w:t>训练用电极片具有粘贴位置示意图提示。</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2.1能够模拟真实的电击流程，但不提供高压电击，在帮助急救人员体验真实电击操作的同时，确保训练过程的安全。</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2.2具备语言切换功能，可一键切换中/英文语言；具有成人和儿童（0~7岁）模式，可实现一键切换。</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▲2.3电池为可重复充电型锂电池，可随时显示电池电量。（投标人应提供相关证明材料）</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2.4电池有电池盒保护，电池盒采用弹力卡扣设计，可不使用工具徒手拆装。</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2.5预置3种训练模式（模式1：除颤/不除颤、模式2：除颤、模式3：不除颤），6种场景模拟，（1、模拟电极未正常贴靠；2、模拟电极正常贴靠；3、模拟可电击心律；4、模拟不可电击心律；5、模拟晃动干扰；6、模拟晃动干扰消除；），全面覆盖了真实SCA急救的常见情形，便于操作者快速全面掌握SCA急救中常用的AED操作技能。。</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▲2.6 可支持选配CPR传感器，CPR传感器应有回弹提示功能，当操作者按压回弹不充分时，提示“注意回弹”，CPR传感器按压频率检测误差≤2cpm；CPR传感器的深度监测误差≤2mm。（投标人应提供相关证明材料）</w:t>
            </w:r>
          </w:p>
        </w:tc>
        <w:tc>
          <w:tcPr>
            <w:tcW w:w="709" w:type="dxa"/>
            <w:shd w:val="clear" w:color="auto" w:fill="auto"/>
            <w:noWrap/>
            <w:vAlign w:val="center"/>
          </w:tcPr>
          <w:p w14:paraId="2CF9BF29">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套</w:t>
            </w:r>
          </w:p>
        </w:tc>
        <w:tc>
          <w:tcPr>
            <w:tcW w:w="709" w:type="dxa"/>
            <w:shd w:val="clear" w:color="auto" w:fill="auto"/>
            <w:noWrap/>
            <w:vAlign w:val="center"/>
          </w:tcPr>
          <w:p w14:paraId="69A1D8C4">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1</w:t>
            </w:r>
          </w:p>
        </w:tc>
      </w:tr>
      <w:tr w14:paraId="1329245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62" w:hRule="atLeast"/>
        </w:trPr>
        <w:tc>
          <w:tcPr>
            <w:tcW w:w="760" w:type="dxa"/>
            <w:shd w:val="clear" w:color="auto" w:fill="auto"/>
            <w:noWrap/>
            <w:vAlign w:val="center"/>
          </w:tcPr>
          <w:p w14:paraId="6DEFAC95">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14</w:t>
            </w:r>
          </w:p>
        </w:tc>
        <w:tc>
          <w:tcPr>
            <w:tcW w:w="1472" w:type="dxa"/>
            <w:gridSpan w:val="2"/>
            <w:shd w:val="clear" w:color="auto" w:fill="auto"/>
            <w:vAlign w:val="center"/>
          </w:tcPr>
          <w:p w14:paraId="7EA2DCDA">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双水平呼吸机</w:t>
            </w:r>
          </w:p>
        </w:tc>
        <w:tc>
          <w:tcPr>
            <w:tcW w:w="6557" w:type="dxa"/>
            <w:shd w:val="clear" w:color="auto" w:fill="auto"/>
            <w:vAlign w:val="center"/>
          </w:tcPr>
          <w:p w14:paraId="525F5C3E">
            <w:pPr>
              <w:widowControl/>
              <w:jc w:val="left"/>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1、 适用范围：</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适用于呼吸暂停低通气综合征、鼾症患者的治疗</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★产品需具备药监局颁发的二类</w:t>
            </w:r>
            <w:bookmarkStart w:id="1" w:name="OLE_LINK1"/>
            <w:bookmarkStart w:id="2" w:name="OLE_LINK2"/>
            <w:r>
              <w:rPr>
                <w:rFonts w:hint="eastAsia" w:asciiTheme="minorEastAsia" w:hAnsiTheme="minorEastAsia" w:eastAsiaTheme="minorEastAsia" w:cstheme="minorEastAsia"/>
                <w:color w:val="000000"/>
                <w:kern w:val="0"/>
                <w:sz w:val="20"/>
                <w:szCs w:val="20"/>
                <w:highlight w:val="none"/>
              </w:rPr>
              <w:t>医疗器械</w:t>
            </w:r>
            <w:bookmarkEnd w:id="1"/>
            <w:bookmarkEnd w:id="2"/>
            <w:r>
              <w:rPr>
                <w:rFonts w:hint="eastAsia" w:asciiTheme="minorEastAsia" w:hAnsiTheme="minorEastAsia" w:eastAsiaTheme="minorEastAsia" w:cstheme="minorEastAsia"/>
                <w:color w:val="000000"/>
                <w:kern w:val="0"/>
                <w:sz w:val="20"/>
                <w:szCs w:val="20"/>
                <w:highlight w:val="none"/>
              </w:rPr>
              <w:t>注册证</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 技术参数</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2.1设备基本要求</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2.1.1通气模式：无创正压通气</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2.1.2患者类型：成人</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2.1.3显示界面：≥4.</w:t>
            </w:r>
            <w:r>
              <w:rPr>
                <w:rFonts w:hint="eastAsia" w:asciiTheme="minorEastAsia" w:hAnsiTheme="minorEastAsia" w:eastAsiaTheme="minorEastAsia" w:cstheme="minorEastAsia"/>
                <w:color w:val="000000"/>
                <w:kern w:val="0"/>
                <w:sz w:val="20"/>
                <w:szCs w:val="20"/>
                <w:highlight w:val="none"/>
                <w:lang w:val="en-US" w:eastAsia="zh-CN"/>
              </w:rPr>
              <w:t>0英</w:t>
            </w:r>
            <w:r>
              <w:rPr>
                <w:rFonts w:hint="eastAsia" w:asciiTheme="minorEastAsia" w:hAnsiTheme="minorEastAsia" w:eastAsiaTheme="minorEastAsia" w:cstheme="minorEastAsia"/>
                <w:color w:val="000000"/>
                <w:kern w:val="0"/>
                <w:sz w:val="20"/>
                <w:szCs w:val="20"/>
                <w:highlight w:val="none"/>
              </w:rPr>
              <w:t>寸触摸屏、中文操作系统</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2.1.4呼吸机类型：电动电控呼吸机，内置涡轮驱动，无需配置空气压缩机</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2.1.5湿化罐：≥450ml</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2.16噪音：≤2</w:t>
            </w:r>
            <w:r>
              <w:rPr>
                <w:rFonts w:hint="eastAsia" w:asciiTheme="minorEastAsia" w:hAnsiTheme="minorEastAsia" w:eastAsiaTheme="minorEastAsia" w:cstheme="minorEastAsia"/>
                <w:color w:val="000000"/>
                <w:kern w:val="0"/>
                <w:sz w:val="20"/>
                <w:szCs w:val="20"/>
                <w:highlight w:val="none"/>
                <w:lang w:val="en-US" w:eastAsia="zh-CN"/>
              </w:rPr>
              <w:t>.8</w:t>
            </w:r>
            <w:r>
              <w:rPr>
                <w:rFonts w:hint="eastAsia" w:asciiTheme="minorEastAsia" w:hAnsiTheme="minorEastAsia" w:eastAsiaTheme="minorEastAsia" w:cstheme="minorEastAsia"/>
                <w:color w:val="000000"/>
                <w:kern w:val="0"/>
                <w:sz w:val="20"/>
                <w:szCs w:val="20"/>
                <w:highlight w:val="none"/>
              </w:rPr>
              <w:t>dB</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2.2设备通气功能</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2.2.1.设备具有CPAP、Auto CPAP、S、Auto S模式</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2.2.2具有窒息备份通气功能</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▲2.2.3呼吸事件识别：OA、CA、OH、CH、UA、UH、FL、SN、PB、RERA；10种12型呼吸事件识别（投标人应提供相关证明材料）</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▲2.2.4具有Smart功能：根据患者一定时间中发生呼吸事件的情况调整智能治疗压力</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①基于数据学习：Smart算法分析患者近5个有效治疗日治疗效果</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②智能调整治疗压力：系统生成个性化治疗方案，根据近期的治疗效果动态微调治疗压力</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③持续优化治疗效果：通过智能算法监控，持续匹配合适压力，提升治疗效果</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（投标人应提供相关证明材料）</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2.2.5调压灵敏度：标准/柔和/快速（三档调节）</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2.2.5自动漏气补偿功能</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2.2.6 Reslex 呼气减压：三档调节</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2.3设备参数设置</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2.3.1吸气压调节范围：4-20cmH2O</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2.3.2呼气压调节范围：4-20cmH2O</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▲2.3.3吸气/呼气灵敏度可设置调节，调节范围：7档+自动档位（投标人应提供相关证明材料）</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2.3.4压力支持调节范围：0-16cmH2O</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2.3.5最大吸气时间调节范围：0.3-3S</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2.3.6最小吸气时间调节范围：0.1-3S</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2.3.7压力上升时间调节范围：</w:t>
            </w:r>
            <w:r>
              <w:rPr>
                <w:rFonts w:hint="eastAsia" w:asciiTheme="minorEastAsia" w:hAnsiTheme="minorEastAsia" w:eastAsiaTheme="minorEastAsia" w:cstheme="minorEastAsia"/>
                <w:color w:val="000000"/>
                <w:kern w:val="0"/>
                <w:sz w:val="20"/>
                <w:szCs w:val="20"/>
                <w:highlight w:val="none"/>
                <w:lang w:val="en-US" w:eastAsia="zh-CN"/>
              </w:rPr>
              <w:t>0</w:t>
            </w:r>
            <w:r>
              <w:rPr>
                <w:rFonts w:hint="eastAsia" w:asciiTheme="minorEastAsia" w:hAnsiTheme="minorEastAsia" w:eastAsiaTheme="minorEastAsia" w:cstheme="minorEastAsia"/>
                <w:color w:val="000000"/>
                <w:kern w:val="0"/>
                <w:sz w:val="20"/>
                <w:szCs w:val="20"/>
                <w:highlight w:val="none"/>
              </w:rPr>
              <w:t>，100-1000ms</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2.4设备辅助功能</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▲2.4.1预加热功能（投标人应提供相关证明材料）</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▲2.5.2自动温度控制功能（投标人应提供相关证明材料）</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2.5.3水量提示功能</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2.5.4耗材提醒功能</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2.5.5自动开、关机功能</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▲2.5.6屏幕亮度调节：高、低、自动（三挡调节）（投标人应提供相关证明材料）</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2.5设备报警提示功能</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2.5.1供电故障、呼吸机失效、漏气、电压低、湿化器失效</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2.5.2请更换空气滤芯、请更换面罩、请更换管路</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2.5.3 SD卡写满、重插SD卡</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2.6设备数据管理功能</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▲2.6.呼吸健康管理云平台</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①数据上传无需患者操作</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②医生可远程监控患者全面治疗数据，优化和随访治疗方案</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可查看用机患者基本信息、呼吸机设置信息、统计数据（治疗压力、呼吸暂停指数、漏气量、潮气量、分钟通气量、呼吸频率、血氧、脉率）、流量波形图、趋势图（吸气压力、呼气压力、漏气、呼吸暂停、低通气、每日使用时间、每日开关机次数、血氧、脉率、潮气量、分钟通气量、呼吸频率）、每日数据（使用时间、吸气压力、呼气压力、潮气量、漏气量、呼吸频率、分钟通气量、AHI、血氧、脉率）、事件波形图（压力、漏气、血氧、呼吸频率、分钟通气量、呼吸暂停、低通气、周期性呼吸、呼吸努力微觉醒、气流受限）</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③远程调参，及时调整患者治疗参数：模式、治疗压力等等</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（投标人应提供相关证明材料）</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▲2.</w:t>
            </w:r>
            <w:r>
              <w:rPr>
                <w:rFonts w:hint="eastAsia" w:asciiTheme="minorEastAsia" w:hAnsiTheme="minorEastAsia" w:eastAsiaTheme="minorEastAsia" w:cstheme="minorEastAsia"/>
                <w:color w:val="000000"/>
                <w:kern w:val="0"/>
                <w:sz w:val="20"/>
                <w:szCs w:val="20"/>
                <w:highlight w:val="none"/>
                <w:lang w:val="en-US" w:eastAsia="zh-CN"/>
              </w:rPr>
              <w:t>7</w:t>
            </w:r>
            <w:r>
              <w:rPr>
                <w:rFonts w:hint="eastAsia" w:asciiTheme="minorEastAsia" w:hAnsiTheme="minorEastAsia" w:eastAsiaTheme="minorEastAsia" w:cstheme="minorEastAsia"/>
                <w:color w:val="000000"/>
                <w:kern w:val="0"/>
                <w:sz w:val="20"/>
                <w:szCs w:val="20"/>
                <w:highlight w:val="none"/>
              </w:rPr>
              <w:t>.分析软件</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①每日列表、当前设置、统计信息、详细波形全面展示</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每日列表：使用时间、Mean EPAP、Mean IPAP、EPAP95、IPAP95、AHI、漏气、潮气量、呼吸频率、分通气量</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当前设置：设备信息、治疗模式、压力、调压灵敏地、湿化档位、升压延时、呼气减压等</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统计信息：使用情况（总天数、平均每天使用时间等）、吸气压、呼气压、呼吸指数（AI、HI、AHI、OAI、CAI、UAI、OHI、CHI、UHI、气流受限、RERA、PB）、潮气量、呼吸频率、分钟通气量、漏气等</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详细波形：压力、呼吸事件（阻塞性呼吸暂停、中枢性呼吸暂停、阻塞性低通气、中枢性低通气等）、气流受限、漏气</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②支持查看和下载全面的治疗数据报告</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患者资料、当前设置、每日列表、统计信息、概要波形、详细波形、医生建议。</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（投标人应提供相关证明材料并加盖生产厂商公章）</w:t>
            </w:r>
          </w:p>
        </w:tc>
        <w:tc>
          <w:tcPr>
            <w:tcW w:w="709" w:type="dxa"/>
            <w:shd w:val="clear" w:color="auto" w:fill="auto"/>
            <w:noWrap/>
            <w:vAlign w:val="center"/>
          </w:tcPr>
          <w:p w14:paraId="7D43FE17">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套</w:t>
            </w:r>
          </w:p>
        </w:tc>
        <w:tc>
          <w:tcPr>
            <w:tcW w:w="709" w:type="dxa"/>
            <w:shd w:val="clear" w:color="auto" w:fill="auto"/>
            <w:noWrap/>
            <w:vAlign w:val="center"/>
          </w:tcPr>
          <w:p w14:paraId="36936ACF">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1</w:t>
            </w:r>
          </w:p>
        </w:tc>
      </w:tr>
      <w:tr w14:paraId="4FF29A5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62" w:hRule="atLeast"/>
        </w:trPr>
        <w:tc>
          <w:tcPr>
            <w:tcW w:w="760" w:type="dxa"/>
            <w:shd w:val="clear" w:color="auto" w:fill="auto"/>
            <w:noWrap/>
            <w:vAlign w:val="center"/>
          </w:tcPr>
          <w:p w14:paraId="208AFA57">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15</w:t>
            </w:r>
          </w:p>
        </w:tc>
        <w:tc>
          <w:tcPr>
            <w:tcW w:w="1472" w:type="dxa"/>
            <w:gridSpan w:val="2"/>
            <w:shd w:val="clear" w:color="auto" w:fill="auto"/>
            <w:vAlign w:val="center"/>
          </w:tcPr>
          <w:p w14:paraId="21ACF866">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简易呼吸器</w:t>
            </w:r>
          </w:p>
        </w:tc>
        <w:tc>
          <w:tcPr>
            <w:tcW w:w="6557" w:type="dxa"/>
            <w:shd w:val="clear" w:color="auto" w:fill="auto"/>
            <w:vAlign w:val="center"/>
          </w:tcPr>
          <w:p w14:paraId="60A9D897">
            <w:pPr>
              <w:widowControl/>
              <w:jc w:val="left"/>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材质：PVC；</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重量：≤0.8kg；</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主要用于心肺复苏和一般人工呼吸辅助时使用</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★产品需具备药监局颁发的二类医疗器械注册证</w:t>
            </w:r>
          </w:p>
        </w:tc>
        <w:tc>
          <w:tcPr>
            <w:tcW w:w="709" w:type="dxa"/>
            <w:shd w:val="clear" w:color="auto" w:fill="auto"/>
            <w:noWrap/>
            <w:vAlign w:val="center"/>
          </w:tcPr>
          <w:p w14:paraId="6B4DDA9D">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套</w:t>
            </w:r>
          </w:p>
        </w:tc>
        <w:tc>
          <w:tcPr>
            <w:tcW w:w="709" w:type="dxa"/>
            <w:shd w:val="clear" w:color="auto" w:fill="auto"/>
            <w:noWrap/>
            <w:vAlign w:val="center"/>
          </w:tcPr>
          <w:p w14:paraId="140D73E0">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4</w:t>
            </w:r>
          </w:p>
        </w:tc>
      </w:tr>
      <w:tr w14:paraId="1E677A7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62" w:hRule="atLeast"/>
        </w:trPr>
        <w:tc>
          <w:tcPr>
            <w:tcW w:w="760" w:type="dxa"/>
            <w:shd w:val="clear" w:color="auto" w:fill="auto"/>
            <w:noWrap/>
            <w:vAlign w:val="center"/>
          </w:tcPr>
          <w:p w14:paraId="0592777B">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16</w:t>
            </w:r>
          </w:p>
        </w:tc>
        <w:tc>
          <w:tcPr>
            <w:tcW w:w="1472" w:type="dxa"/>
            <w:gridSpan w:val="2"/>
            <w:shd w:val="clear" w:color="auto" w:fill="auto"/>
            <w:vAlign w:val="center"/>
          </w:tcPr>
          <w:p w14:paraId="2273C477">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储物低柜</w:t>
            </w:r>
          </w:p>
        </w:tc>
        <w:tc>
          <w:tcPr>
            <w:tcW w:w="6557" w:type="dxa"/>
            <w:shd w:val="clear" w:color="auto" w:fill="auto"/>
            <w:vAlign w:val="center"/>
          </w:tcPr>
          <w:p w14:paraId="5033D72B">
            <w:pPr>
              <w:widowControl/>
              <w:jc w:val="left"/>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规格：定制；</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主材：实木颗粒板材</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辅材：高档五金配件，含铰链、合页、拉手等；</w:t>
            </w:r>
            <w:r>
              <w:rPr>
                <w:rFonts w:hint="eastAsia" w:asciiTheme="minorEastAsia" w:hAnsiTheme="minorEastAsia" w:eastAsiaTheme="minorEastAsia" w:cstheme="minorEastAsia"/>
                <w:color w:val="000000"/>
                <w:kern w:val="0"/>
                <w:sz w:val="20"/>
                <w:szCs w:val="20"/>
                <w:highlight w:val="none"/>
              </w:rPr>
              <w:br w:type="textWrapping"/>
            </w:r>
            <w:r>
              <w:rPr>
                <w:rFonts w:hint="eastAsia" w:asciiTheme="minorEastAsia" w:hAnsiTheme="minorEastAsia" w:eastAsiaTheme="minorEastAsia" w:cstheme="minorEastAsia"/>
                <w:color w:val="000000"/>
                <w:kern w:val="0"/>
                <w:sz w:val="20"/>
                <w:szCs w:val="20"/>
                <w:highlight w:val="none"/>
              </w:rPr>
              <w:t>颜色：主材颜色多样可选，可拼色设计</w:t>
            </w:r>
          </w:p>
        </w:tc>
        <w:tc>
          <w:tcPr>
            <w:tcW w:w="709" w:type="dxa"/>
            <w:shd w:val="clear" w:color="auto" w:fill="auto"/>
            <w:vAlign w:val="center"/>
          </w:tcPr>
          <w:p w14:paraId="444DA36E">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米</w:t>
            </w:r>
          </w:p>
        </w:tc>
        <w:tc>
          <w:tcPr>
            <w:tcW w:w="709" w:type="dxa"/>
            <w:shd w:val="clear" w:color="auto" w:fill="auto"/>
            <w:vAlign w:val="center"/>
          </w:tcPr>
          <w:p w14:paraId="6A0DE4AC">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4</w:t>
            </w:r>
          </w:p>
        </w:tc>
      </w:tr>
      <w:tr w14:paraId="766264D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62" w:hRule="atLeast"/>
        </w:trPr>
        <w:tc>
          <w:tcPr>
            <w:tcW w:w="760" w:type="dxa"/>
            <w:shd w:val="clear" w:color="auto" w:fill="auto"/>
            <w:noWrap/>
            <w:vAlign w:val="center"/>
          </w:tcPr>
          <w:p w14:paraId="3908A906">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17</w:t>
            </w:r>
          </w:p>
        </w:tc>
        <w:tc>
          <w:tcPr>
            <w:tcW w:w="1472" w:type="dxa"/>
            <w:gridSpan w:val="2"/>
            <w:shd w:val="clear" w:color="auto" w:fill="auto"/>
            <w:vAlign w:val="center"/>
          </w:tcPr>
          <w:p w14:paraId="29B21BCA">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地面改造</w:t>
            </w:r>
          </w:p>
        </w:tc>
        <w:tc>
          <w:tcPr>
            <w:tcW w:w="6557" w:type="dxa"/>
            <w:shd w:val="clear" w:color="auto" w:fill="auto"/>
            <w:vAlign w:val="center"/>
          </w:tcPr>
          <w:p w14:paraId="5DBDBD01">
            <w:pPr>
              <w:widowControl/>
              <w:jc w:val="left"/>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塑胶地板铺设</w:t>
            </w:r>
          </w:p>
        </w:tc>
        <w:tc>
          <w:tcPr>
            <w:tcW w:w="709" w:type="dxa"/>
            <w:shd w:val="clear" w:color="auto" w:fill="auto"/>
            <w:vAlign w:val="center"/>
          </w:tcPr>
          <w:p w14:paraId="45AB1642">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平米</w:t>
            </w:r>
          </w:p>
        </w:tc>
        <w:tc>
          <w:tcPr>
            <w:tcW w:w="709" w:type="dxa"/>
            <w:shd w:val="clear" w:color="auto" w:fill="auto"/>
            <w:vAlign w:val="center"/>
          </w:tcPr>
          <w:p w14:paraId="1F8D0EA6">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63</w:t>
            </w:r>
          </w:p>
        </w:tc>
      </w:tr>
      <w:tr w14:paraId="7EDE591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62" w:hRule="atLeast"/>
        </w:trPr>
        <w:tc>
          <w:tcPr>
            <w:tcW w:w="760" w:type="dxa"/>
            <w:shd w:val="clear" w:color="auto" w:fill="auto"/>
            <w:noWrap/>
            <w:vAlign w:val="center"/>
          </w:tcPr>
          <w:p w14:paraId="27848B42">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18</w:t>
            </w:r>
          </w:p>
        </w:tc>
        <w:tc>
          <w:tcPr>
            <w:tcW w:w="1472" w:type="dxa"/>
            <w:gridSpan w:val="2"/>
            <w:shd w:val="clear" w:color="auto" w:fill="auto"/>
            <w:vAlign w:val="center"/>
          </w:tcPr>
          <w:p w14:paraId="4C7EC21B">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包暖气片</w:t>
            </w:r>
          </w:p>
        </w:tc>
        <w:tc>
          <w:tcPr>
            <w:tcW w:w="6557" w:type="dxa"/>
            <w:shd w:val="clear" w:color="auto" w:fill="auto"/>
            <w:vAlign w:val="center"/>
          </w:tcPr>
          <w:p w14:paraId="0D3EE91E">
            <w:pPr>
              <w:widowControl/>
              <w:jc w:val="left"/>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包原房间暖气，管道等。主材选用双面板</w:t>
            </w:r>
          </w:p>
        </w:tc>
        <w:tc>
          <w:tcPr>
            <w:tcW w:w="709" w:type="dxa"/>
            <w:shd w:val="clear" w:color="auto" w:fill="auto"/>
            <w:vAlign w:val="center"/>
          </w:tcPr>
          <w:p w14:paraId="1EE6F48E">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米</w:t>
            </w:r>
          </w:p>
        </w:tc>
        <w:tc>
          <w:tcPr>
            <w:tcW w:w="709" w:type="dxa"/>
            <w:shd w:val="clear" w:color="auto" w:fill="auto"/>
            <w:vAlign w:val="center"/>
          </w:tcPr>
          <w:p w14:paraId="41311E01">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11</w:t>
            </w:r>
          </w:p>
        </w:tc>
      </w:tr>
      <w:tr w14:paraId="76702C0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62" w:hRule="atLeast"/>
        </w:trPr>
        <w:tc>
          <w:tcPr>
            <w:tcW w:w="760" w:type="dxa"/>
            <w:shd w:val="clear" w:color="auto" w:fill="auto"/>
            <w:noWrap/>
            <w:vAlign w:val="center"/>
          </w:tcPr>
          <w:p w14:paraId="6BA96770">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19</w:t>
            </w:r>
          </w:p>
        </w:tc>
        <w:tc>
          <w:tcPr>
            <w:tcW w:w="1472" w:type="dxa"/>
            <w:gridSpan w:val="2"/>
            <w:shd w:val="clear" w:color="auto" w:fill="auto"/>
            <w:vAlign w:val="center"/>
          </w:tcPr>
          <w:p w14:paraId="3BD2CA29">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墙面翻新</w:t>
            </w:r>
          </w:p>
        </w:tc>
        <w:tc>
          <w:tcPr>
            <w:tcW w:w="6557" w:type="dxa"/>
            <w:shd w:val="clear" w:color="auto" w:fill="auto"/>
            <w:vAlign w:val="center"/>
          </w:tcPr>
          <w:p w14:paraId="4CF29BB3">
            <w:pPr>
              <w:widowControl/>
              <w:jc w:val="left"/>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原房间墙面翻新处理</w:t>
            </w:r>
          </w:p>
        </w:tc>
        <w:tc>
          <w:tcPr>
            <w:tcW w:w="709" w:type="dxa"/>
            <w:shd w:val="clear" w:color="auto" w:fill="auto"/>
            <w:vAlign w:val="center"/>
          </w:tcPr>
          <w:p w14:paraId="692C4311">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平米</w:t>
            </w:r>
          </w:p>
        </w:tc>
        <w:tc>
          <w:tcPr>
            <w:tcW w:w="709" w:type="dxa"/>
            <w:shd w:val="clear" w:color="auto" w:fill="auto"/>
            <w:vAlign w:val="center"/>
          </w:tcPr>
          <w:p w14:paraId="32579784">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105</w:t>
            </w:r>
          </w:p>
        </w:tc>
      </w:tr>
      <w:tr w14:paraId="00C17A9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62" w:hRule="atLeast"/>
        </w:trPr>
        <w:tc>
          <w:tcPr>
            <w:tcW w:w="760" w:type="dxa"/>
            <w:shd w:val="clear" w:color="auto" w:fill="auto"/>
            <w:noWrap/>
            <w:vAlign w:val="center"/>
          </w:tcPr>
          <w:p w14:paraId="21F4952A">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20</w:t>
            </w:r>
          </w:p>
        </w:tc>
        <w:tc>
          <w:tcPr>
            <w:tcW w:w="1472" w:type="dxa"/>
            <w:gridSpan w:val="2"/>
            <w:shd w:val="clear" w:color="auto" w:fill="auto"/>
            <w:vAlign w:val="center"/>
          </w:tcPr>
          <w:p w14:paraId="14FB03C9">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线路改造</w:t>
            </w:r>
          </w:p>
        </w:tc>
        <w:tc>
          <w:tcPr>
            <w:tcW w:w="6557" w:type="dxa"/>
            <w:shd w:val="clear" w:color="auto" w:fill="auto"/>
            <w:vAlign w:val="center"/>
          </w:tcPr>
          <w:p w14:paraId="3685A2B7">
            <w:pPr>
              <w:widowControl/>
              <w:jc w:val="left"/>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含电路、网路线路改造</w:t>
            </w:r>
          </w:p>
        </w:tc>
        <w:tc>
          <w:tcPr>
            <w:tcW w:w="709" w:type="dxa"/>
            <w:shd w:val="clear" w:color="auto" w:fill="auto"/>
            <w:vAlign w:val="center"/>
          </w:tcPr>
          <w:p w14:paraId="7EFB632B">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项</w:t>
            </w:r>
          </w:p>
        </w:tc>
        <w:tc>
          <w:tcPr>
            <w:tcW w:w="709" w:type="dxa"/>
            <w:shd w:val="clear" w:color="auto" w:fill="auto"/>
            <w:vAlign w:val="center"/>
          </w:tcPr>
          <w:p w14:paraId="74CC71DE">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1</w:t>
            </w:r>
          </w:p>
        </w:tc>
      </w:tr>
      <w:tr w14:paraId="354699D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62" w:hRule="atLeast"/>
        </w:trPr>
        <w:tc>
          <w:tcPr>
            <w:tcW w:w="760" w:type="dxa"/>
            <w:shd w:val="clear" w:color="auto" w:fill="auto"/>
            <w:noWrap/>
            <w:vAlign w:val="center"/>
          </w:tcPr>
          <w:p w14:paraId="0B5EE1D6">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21</w:t>
            </w:r>
          </w:p>
        </w:tc>
        <w:tc>
          <w:tcPr>
            <w:tcW w:w="1472" w:type="dxa"/>
            <w:gridSpan w:val="2"/>
            <w:shd w:val="clear" w:color="auto" w:fill="auto"/>
            <w:vAlign w:val="center"/>
          </w:tcPr>
          <w:p w14:paraId="44A38C66">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文化布置</w:t>
            </w:r>
          </w:p>
        </w:tc>
        <w:tc>
          <w:tcPr>
            <w:tcW w:w="6557" w:type="dxa"/>
            <w:shd w:val="clear" w:color="auto" w:fill="auto"/>
            <w:vAlign w:val="center"/>
          </w:tcPr>
          <w:p w14:paraId="0E0A5733">
            <w:pPr>
              <w:widowControl/>
              <w:jc w:val="left"/>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急救文化布置</w:t>
            </w:r>
          </w:p>
        </w:tc>
        <w:tc>
          <w:tcPr>
            <w:tcW w:w="709" w:type="dxa"/>
            <w:shd w:val="clear" w:color="auto" w:fill="auto"/>
            <w:vAlign w:val="center"/>
          </w:tcPr>
          <w:p w14:paraId="6CD9F9C0">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项</w:t>
            </w:r>
          </w:p>
        </w:tc>
        <w:tc>
          <w:tcPr>
            <w:tcW w:w="709" w:type="dxa"/>
            <w:shd w:val="clear" w:color="auto" w:fill="auto"/>
            <w:noWrap/>
            <w:vAlign w:val="center"/>
          </w:tcPr>
          <w:p w14:paraId="6B912787">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1</w:t>
            </w:r>
          </w:p>
        </w:tc>
      </w:tr>
      <w:tr w14:paraId="22CA039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62" w:hRule="atLeast"/>
        </w:trPr>
        <w:tc>
          <w:tcPr>
            <w:tcW w:w="760" w:type="dxa"/>
            <w:shd w:val="clear" w:color="auto" w:fill="auto"/>
            <w:noWrap/>
            <w:vAlign w:val="center"/>
          </w:tcPr>
          <w:p w14:paraId="7EE5CE6F">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22</w:t>
            </w:r>
          </w:p>
        </w:tc>
        <w:tc>
          <w:tcPr>
            <w:tcW w:w="1472" w:type="dxa"/>
            <w:gridSpan w:val="2"/>
            <w:shd w:val="clear" w:color="auto" w:fill="auto"/>
            <w:vAlign w:val="center"/>
          </w:tcPr>
          <w:p w14:paraId="1DA2474E">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其他</w:t>
            </w:r>
          </w:p>
        </w:tc>
        <w:tc>
          <w:tcPr>
            <w:tcW w:w="6557" w:type="dxa"/>
            <w:shd w:val="clear" w:color="auto" w:fill="auto"/>
            <w:vAlign w:val="center"/>
          </w:tcPr>
          <w:p w14:paraId="10CB415F">
            <w:pPr>
              <w:widowControl/>
              <w:jc w:val="left"/>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垃圾清运、设备挪移等</w:t>
            </w:r>
          </w:p>
        </w:tc>
        <w:tc>
          <w:tcPr>
            <w:tcW w:w="709" w:type="dxa"/>
            <w:shd w:val="clear" w:color="auto" w:fill="auto"/>
            <w:vAlign w:val="center"/>
          </w:tcPr>
          <w:p w14:paraId="149B1554">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项</w:t>
            </w:r>
          </w:p>
        </w:tc>
        <w:tc>
          <w:tcPr>
            <w:tcW w:w="709" w:type="dxa"/>
            <w:shd w:val="clear" w:color="auto" w:fill="auto"/>
            <w:noWrap/>
            <w:vAlign w:val="center"/>
          </w:tcPr>
          <w:p w14:paraId="4A7CDF99">
            <w:pPr>
              <w:widowControl/>
              <w:jc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color w:val="000000"/>
                <w:kern w:val="0"/>
                <w:sz w:val="20"/>
                <w:szCs w:val="20"/>
                <w:highlight w:val="none"/>
              </w:rPr>
              <w:t>1</w:t>
            </w:r>
          </w:p>
        </w:tc>
      </w:tr>
    </w:tbl>
    <w:p w14:paraId="7FC3DE99">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165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imes New Roman" w:hAnsi="Times New Roman" w:eastAsia="Times New Roman" w:cs="Times New Roman"/>
      <w:color w:val="000000"/>
      <w:sz w:val="24"/>
      <w:szCs w:val="24"/>
      <w:lang w:val="en-US" w:eastAsia="en-US" w:bidi="en-US"/>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2026-07-08T03:12:03Z</dcterms:created>
  <dc:creator>Admin</dc:creator>
  <cp:lastModifiedBy>WPS_1544074700</cp:lastModifiedBy>
  <dcterms:modified xsi:type="dcterms:W3CDTF">2026-07-08T03:12:32Z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eyJoZGlkIjoiMGNmMWQ3YzViYzE0ZDVlZTRmYTkwZGQxMTg0NTc4NjMiLCJ1c2VySWQiOiI0Mzk3ODY0MTQifQ==</vt:lpwstr>
  </property>
  <property fmtid="{D5CDD505-2E9C-101B-9397-08002B2CF9AE}" pid="4" name="ICV">
    <vt:lpwstr>DEED9B77FFFF4D55BE55C0FFE6C90241_12</vt:lpwstr>
  </property>
</Properties>
</file>