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6E3600">
      <w:pPr>
        <w:pStyle w:val="13"/>
        <w:pageBreakBefore w:val="0"/>
        <w:bidi w:val="0"/>
        <w:spacing w:line="360" w:lineRule="auto"/>
        <w:jc w:val="center"/>
        <w:rPr>
          <w:rFonts w:hint="eastAsia" w:ascii="宋体" w:hAnsi="宋体" w:eastAsia="宋体" w:cs="宋体"/>
          <w:b/>
          <w:bCs/>
          <w:sz w:val="44"/>
          <w:szCs w:val="44"/>
          <w:highlight w:val="none"/>
          <w:lang w:eastAsia="zh-CN"/>
        </w:rPr>
      </w:pPr>
      <w:r>
        <w:rPr>
          <w:rFonts w:hint="eastAsia" w:ascii="宋体" w:hAnsi="宋体" w:eastAsia="宋体" w:cs="宋体"/>
          <w:b/>
          <w:bCs/>
          <w:sz w:val="44"/>
          <w:szCs w:val="44"/>
          <w:highlight w:val="none"/>
          <w:lang w:eastAsia="zh-CN"/>
        </w:rPr>
        <w:t>宜川县云岩中心卫生院县域医疗次中心</w:t>
      </w:r>
    </w:p>
    <w:p w14:paraId="0D15F844">
      <w:pPr>
        <w:pStyle w:val="13"/>
        <w:pageBreakBefore w:val="0"/>
        <w:bidi w:val="0"/>
        <w:spacing w:line="360" w:lineRule="auto"/>
        <w:jc w:val="center"/>
        <w:rPr>
          <w:rFonts w:hint="eastAsia" w:ascii="宋体" w:hAnsi="宋体" w:eastAsia="宋体" w:cs="宋体"/>
          <w:bCs/>
          <w:sz w:val="72"/>
          <w:szCs w:val="48"/>
          <w:highlight w:val="none"/>
        </w:rPr>
      </w:pPr>
      <w:r>
        <w:rPr>
          <w:rFonts w:hint="eastAsia" w:ascii="宋体" w:hAnsi="宋体" w:eastAsia="宋体" w:cs="宋体"/>
          <w:b/>
          <w:bCs/>
          <w:sz w:val="44"/>
          <w:szCs w:val="44"/>
          <w:highlight w:val="none"/>
          <w:lang w:eastAsia="zh-CN"/>
        </w:rPr>
        <w:t>建设项目（</w:t>
      </w:r>
      <w:r>
        <w:rPr>
          <w:rFonts w:hint="eastAsia" w:ascii="宋体" w:hAnsi="宋体" w:eastAsia="宋体" w:cs="宋体"/>
          <w:b/>
          <w:bCs/>
          <w:sz w:val="44"/>
          <w:szCs w:val="44"/>
          <w:highlight w:val="none"/>
          <w:lang w:val="en-US" w:eastAsia="zh-CN"/>
        </w:rPr>
        <w:t>三次</w:t>
      </w:r>
      <w:r>
        <w:rPr>
          <w:rFonts w:hint="eastAsia" w:ascii="宋体" w:hAnsi="宋体" w:eastAsia="宋体" w:cs="宋体"/>
          <w:b/>
          <w:bCs/>
          <w:sz w:val="44"/>
          <w:szCs w:val="44"/>
          <w:highlight w:val="none"/>
          <w:lang w:eastAsia="zh-CN"/>
        </w:rPr>
        <w:t>）</w:t>
      </w:r>
    </w:p>
    <w:p w14:paraId="4360C589">
      <w:pPr>
        <w:pStyle w:val="13"/>
        <w:pageBreakBefore w:val="0"/>
        <w:bidi w:val="0"/>
        <w:spacing w:line="360" w:lineRule="auto"/>
        <w:rPr>
          <w:rFonts w:hint="eastAsia" w:ascii="宋体" w:hAnsi="宋体" w:eastAsia="宋体" w:cs="宋体"/>
          <w:bCs/>
          <w:sz w:val="72"/>
          <w:szCs w:val="48"/>
          <w:highlight w:val="none"/>
        </w:rPr>
      </w:pPr>
    </w:p>
    <w:p w14:paraId="1F544A22">
      <w:pPr>
        <w:pStyle w:val="13"/>
        <w:pageBreakBefore w:val="0"/>
        <w:bidi w:val="0"/>
        <w:spacing w:line="360" w:lineRule="auto"/>
        <w:rPr>
          <w:rFonts w:hint="eastAsia" w:ascii="宋体" w:hAnsi="宋体" w:eastAsia="宋体" w:cs="宋体"/>
          <w:bCs/>
          <w:sz w:val="72"/>
          <w:szCs w:val="48"/>
          <w:highlight w:val="none"/>
        </w:rPr>
      </w:pPr>
    </w:p>
    <w:p w14:paraId="4A4E4EAB">
      <w:pPr>
        <w:pageBreakBefore w:val="0"/>
        <w:bidi w:val="0"/>
        <w:snapToGrid w:val="0"/>
        <w:spacing w:line="360" w:lineRule="auto"/>
        <w:jc w:val="center"/>
        <w:rPr>
          <w:rFonts w:hint="eastAsia" w:ascii="宋体" w:hAnsi="宋体" w:eastAsia="宋体" w:cs="宋体"/>
          <w:b/>
          <w:bCs w:val="0"/>
          <w:sz w:val="72"/>
          <w:szCs w:val="48"/>
          <w:highlight w:val="none"/>
        </w:rPr>
      </w:pPr>
      <w:r>
        <w:rPr>
          <w:rFonts w:hint="eastAsia" w:ascii="宋体" w:hAnsi="宋体" w:eastAsia="宋体" w:cs="宋体"/>
          <w:b/>
          <w:bCs w:val="0"/>
          <w:sz w:val="52"/>
          <w:szCs w:val="52"/>
          <w:highlight w:val="none"/>
        </w:rPr>
        <w:t>竞争性谈判文件</w:t>
      </w:r>
    </w:p>
    <w:p w14:paraId="1C4547C6">
      <w:pPr>
        <w:pStyle w:val="12"/>
        <w:pageBreakBefore w:val="0"/>
        <w:bidi w:val="0"/>
        <w:spacing w:line="360" w:lineRule="auto"/>
        <w:ind w:left="0" w:leftChars="0"/>
        <w:jc w:val="center"/>
        <w:rPr>
          <w:rFonts w:hint="eastAsia" w:ascii="宋体" w:hAnsi="宋体" w:eastAsia="宋体" w:cs="宋体"/>
          <w:highlight w:val="none"/>
          <w:lang w:eastAsia="zh-CN"/>
        </w:rPr>
      </w:pPr>
      <w:r>
        <w:rPr>
          <w:rFonts w:hint="eastAsia" w:ascii="宋体" w:hAnsi="宋体" w:eastAsia="宋体" w:cs="宋体"/>
          <w:b/>
          <w:bCs w:val="0"/>
          <w:kern w:val="0"/>
          <w:sz w:val="32"/>
          <w:szCs w:val="32"/>
          <w:highlight w:val="none"/>
        </w:rPr>
        <w:t>项目编号：</w:t>
      </w:r>
      <w:r>
        <w:rPr>
          <w:rFonts w:hint="eastAsia" w:ascii="宋体" w:hAnsi="宋体" w:eastAsia="宋体" w:cs="宋体"/>
          <w:b/>
          <w:bCs w:val="0"/>
          <w:kern w:val="0"/>
          <w:sz w:val="32"/>
          <w:szCs w:val="32"/>
          <w:highlight w:val="none"/>
          <w:lang w:eastAsia="zh-CN"/>
        </w:rPr>
        <w:t>HRC-ZBDL-2026-00708.1B2</w:t>
      </w:r>
    </w:p>
    <w:p w14:paraId="50DEB642">
      <w:pPr>
        <w:pStyle w:val="12"/>
        <w:pageBreakBefore w:val="0"/>
        <w:bidi w:val="0"/>
        <w:spacing w:line="360" w:lineRule="auto"/>
        <w:ind w:left="0" w:leftChars="0"/>
        <w:rPr>
          <w:rFonts w:hint="eastAsia" w:ascii="宋体" w:hAnsi="宋体" w:eastAsia="宋体" w:cs="宋体"/>
          <w:highlight w:val="none"/>
        </w:rPr>
      </w:pPr>
    </w:p>
    <w:p w14:paraId="0F7736AB">
      <w:pPr>
        <w:pStyle w:val="12"/>
        <w:pageBreakBefore w:val="0"/>
        <w:bidi w:val="0"/>
        <w:spacing w:line="360" w:lineRule="auto"/>
        <w:ind w:left="0" w:leftChars="0"/>
        <w:rPr>
          <w:rFonts w:hint="eastAsia" w:ascii="宋体" w:hAnsi="宋体" w:eastAsia="宋体" w:cs="宋体"/>
          <w:highlight w:val="none"/>
        </w:rPr>
      </w:pPr>
    </w:p>
    <w:p w14:paraId="4C39D1B5">
      <w:pPr>
        <w:pStyle w:val="12"/>
        <w:pageBreakBefore w:val="0"/>
        <w:bidi w:val="0"/>
        <w:spacing w:line="360" w:lineRule="auto"/>
        <w:ind w:left="0" w:leftChars="0"/>
        <w:rPr>
          <w:rFonts w:hint="eastAsia" w:ascii="宋体" w:hAnsi="宋体" w:eastAsia="宋体" w:cs="宋体"/>
          <w:highlight w:val="none"/>
        </w:rPr>
      </w:pPr>
    </w:p>
    <w:p w14:paraId="149B6279">
      <w:pPr>
        <w:pStyle w:val="12"/>
        <w:pageBreakBefore w:val="0"/>
        <w:bidi w:val="0"/>
        <w:spacing w:line="360" w:lineRule="auto"/>
        <w:ind w:left="0" w:leftChars="0"/>
        <w:rPr>
          <w:rFonts w:hint="eastAsia" w:ascii="宋体" w:hAnsi="宋体" w:eastAsia="宋体" w:cs="宋体"/>
          <w:highlight w:val="none"/>
        </w:rPr>
      </w:pPr>
    </w:p>
    <w:p w14:paraId="1783A9C8">
      <w:pPr>
        <w:pStyle w:val="12"/>
        <w:pageBreakBefore w:val="0"/>
        <w:bidi w:val="0"/>
        <w:spacing w:line="360" w:lineRule="auto"/>
        <w:ind w:left="0" w:leftChars="0"/>
        <w:rPr>
          <w:rFonts w:hint="eastAsia" w:ascii="宋体" w:hAnsi="宋体" w:eastAsia="宋体" w:cs="宋体"/>
          <w:highlight w:val="none"/>
        </w:rPr>
      </w:pPr>
    </w:p>
    <w:p w14:paraId="7055C65A">
      <w:pPr>
        <w:pStyle w:val="12"/>
        <w:pageBreakBefore w:val="0"/>
        <w:bidi w:val="0"/>
        <w:spacing w:line="360" w:lineRule="auto"/>
        <w:ind w:left="0" w:leftChars="0"/>
        <w:rPr>
          <w:rFonts w:hint="eastAsia" w:ascii="宋体" w:hAnsi="宋体" w:eastAsia="宋体" w:cs="宋体"/>
          <w:highlight w:val="none"/>
        </w:rPr>
      </w:pPr>
    </w:p>
    <w:p w14:paraId="3DBEE68A">
      <w:pPr>
        <w:pStyle w:val="27"/>
        <w:pageBreakBefore w:val="0"/>
        <w:bidi w:val="0"/>
        <w:spacing w:line="360" w:lineRule="auto"/>
        <w:rPr>
          <w:rFonts w:hint="eastAsia" w:ascii="宋体" w:hAnsi="宋体" w:eastAsia="宋体" w:cs="宋体"/>
          <w:highlight w:val="none"/>
        </w:rPr>
      </w:pPr>
    </w:p>
    <w:p w14:paraId="4BBDC06C">
      <w:pPr>
        <w:pageBreakBefore w:val="0"/>
        <w:bidi w:val="0"/>
        <w:snapToGrid w:val="0"/>
        <w:spacing w:line="360" w:lineRule="auto"/>
        <w:ind w:firstLine="1446" w:firstLineChars="400"/>
        <w:jc w:val="both"/>
        <w:rPr>
          <w:rFonts w:hint="eastAsia" w:ascii="宋体" w:hAnsi="宋体" w:eastAsia="宋体" w:cs="宋体"/>
          <w:b/>
          <w:bCs/>
          <w:sz w:val="36"/>
          <w:szCs w:val="44"/>
          <w:highlight w:val="none"/>
        </w:rPr>
      </w:pPr>
      <w:r>
        <w:rPr>
          <w:rFonts w:hint="eastAsia" w:ascii="宋体" w:hAnsi="宋体" w:eastAsia="宋体" w:cs="宋体"/>
          <w:b/>
          <w:bCs/>
          <w:sz w:val="36"/>
          <w:szCs w:val="44"/>
          <w:highlight w:val="none"/>
        </w:rPr>
        <w:t>采</w:t>
      </w:r>
      <w:r>
        <w:rPr>
          <w:rFonts w:hint="eastAsia" w:ascii="宋体" w:hAnsi="宋体" w:eastAsia="宋体" w:cs="宋体"/>
          <w:b/>
          <w:bCs/>
          <w:sz w:val="36"/>
          <w:szCs w:val="44"/>
          <w:highlight w:val="none"/>
          <w:lang w:val="en-US" w:eastAsia="zh-CN"/>
        </w:rPr>
        <w:t xml:space="preserve">   </w:t>
      </w:r>
      <w:r>
        <w:rPr>
          <w:rFonts w:hint="eastAsia" w:ascii="宋体" w:hAnsi="宋体" w:eastAsia="宋体" w:cs="宋体"/>
          <w:b/>
          <w:bCs/>
          <w:sz w:val="36"/>
          <w:szCs w:val="44"/>
          <w:highlight w:val="none"/>
        </w:rPr>
        <w:t>购</w:t>
      </w:r>
      <w:r>
        <w:rPr>
          <w:rFonts w:hint="eastAsia" w:ascii="宋体" w:hAnsi="宋体" w:eastAsia="宋体" w:cs="宋体"/>
          <w:b/>
          <w:bCs/>
          <w:sz w:val="36"/>
          <w:szCs w:val="44"/>
          <w:highlight w:val="none"/>
          <w:lang w:val="en-US" w:eastAsia="zh-CN"/>
        </w:rPr>
        <w:t xml:space="preserve">   </w:t>
      </w:r>
      <w:r>
        <w:rPr>
          <w:rFonts w:hint="eastAsia" w:ascii="宋体" w:hAnsi="宋体" w:eastAsia="宋体" w:cs="宋体"/>
          <w:b/>
          <w:bCs/>
          <w:sz w:val="36"/>
          <w:szCs w:val="44"/>
          <w:highlight w:val="none"/>
        </w:rPr>
        <w:t>人：宜川县云岩中心卫生院</w:t>
      </w:r>
    </w:p>
    <w:p w14:paraId="718B8C1F">
      <w:pPr>
        <w:pageBreakBefore w:val="0"/>
        <w:bidi w:val="0"/>
        <w:snapToGrid w:val="0"/>
        <w:spacing w:line="360" w:lineRule="auto"/>
        <w:ind w:firstLine="1446" w:firstLineChars="400"/>
        <w:jc w:val="both"/>
        <w:rPr>
          <w:rFonts w:hint="eastAsia" w:ascii="宋体" w:hAnsi="宋体" w:eastAsia="宋体" w:cs="宋体"/>
          <w:b/>
          <w:sz w:val="32"/>
          <w:szCs w:val="32"/>
          <w:highlight w:val="none"/>
          <w:lang w:eastAsia="zh-CN"/>
        </w:rPr>
      </w:pPr>
      <w:r>
        <w:rPr>
          <w:rFonts w:hint="eastAsia" w:ascii="宋体" w:hAnsi="宋体" w:eastAsia="宋体" w:cs="宋体"/>
          <w:b/>
          <w:bCs/>
          <w:sz w:val="36"/>
          <w:szCs w:val="44"/>
          <w:highlight w:val="none"/>
        </w:rPr>
        <w:t>采购代理机构：</w:t>
      </w:r>
      <w:bookmarkStart w:id="0" w:name="OLE_LINK24"/>
      <w:r>
        <w:rPr>
          <w:rFonts w:hint="eastAsia" w:ascii="宋体" w:hAnsi="宋体" w:eastAsia="宋体" w:cs="宋体"/>
          <w:b/>
          <w:bCs/>
          <w:sz w:val="36"/>
          <w:szCs w:val="44"/>
          <w:highlight w:val="none"/>
          <w:lang w:eastAsia="zh-CN"/>
        </w:rPr>
        <w:t>华睿诚项目管理有限公司</w:t>
      </w:r>
    </w:p>
    <w:bookmarkEnd w:id="0"/>
    <w:p w14:paraId="118B830A">
      <w:pPr>
        <w:pageBreakBefore w:val="0"/>
        <w:bidi w:val="0"/>
        <w:spacing w:line="360" w:lineRule="auto"/>
        <w:rPr>
          <w:rFonts w:hint="eastAsia" w:ascii="宋体" w:hAnsi="宋体" w:eastAsia="宋体" w:cs="宋体"/>
          <w:highlight w:val="none"/>
        </w:rPr>
      </w:pPr>
    </w:p>
    <w:p w14:paraId="302EE130">
      <w:pPr>
        <w:pageBreakBefore w:val="0"/>
        <w:bidi w:val="0"/>
        <w:snapToGrid w:val="0"/>
        <w:spacing w:line="360" w:lineRule="auto"/>
        <w:jc w:val="center"/>
        <w:rPr>
          <w:rFonts w:hint="eastAsia" w:ascii="宋体" w:hAnsi="宋体" w:eastAsia="宋体" w:cs="宋体"/>
          <w:b/>
          <w:sz w:val="32"/>
          <w:szCs w:val="32"/>
          <w:highlight w:val="none"/>
        </w:rPr>
      </w:pPr>
      <w:r>
        <w:rPr>
          <w:rFonts w:hint="eastAsia" w:ascii="宋体" w:hAnsi="宋体" w:eastAsia="宋体" w:cs="宋体"/>
          <w:b/>
          <w:sz w:val="36"/>
          <w:szCs w:val="36"/>
          <w:highlight w:val="none"/>
        </w:rPr>
        <w:t>二〇二</w:t>
      </w:r>
      <w:r>
        <w:rPr>
          <w:rFonts w:hint="eastAsia" w:ascii="宋体" w:hAnsi="宋体" w:eastAsia="宋体" w:cs="宋体"/>
          <w:b/>
          <w:sz w:val="36"/>
          <w:szCs w:val="36"/>
          <w:highlight w:val="none"/>
          <w:lang w:val="en-US" w:eastAsia="zh-CN"/>
        </w:rPr>
        <w:t>六</w:t>
      </w:r>
      <w:r>
        <w:rPr>
          <w:rFonts w:hint="eastAsia" w:ascii="宋体" w:hAnsi="宋体" w:eastAsia="宋体" w:cs="宋体"/>
          <w:b/>
          <w:sz w:val="36"/>
          <w:szCs w:val="36"/>
          <w:highlight w:val="none"/>
        </w:rPr>
        <w:t>年</w:t>
      </w:r>
      <w:r>
        <w:rPr>
          <w:rFonts w:hint="eastAsia" w:ascii="宋体" w:hAnsi="宋体" w:eastAsia="宋体" w:cs="宋体"/>
          <w:b/>
          <w:sz w:val="36"/>
          <w:szCs w:val="36"/>
          <w:highlight w:val="none"/>
          <w:lang w:val="en-US" w:eastAsia="zh-CN"/>
        </w:rPr>
        <w:t>八</w:t>
      </w:r>
      <w:r>
        <w:rPr>
          <w:rFonts w:hint="eastAsia" w:ascii="宋体" w:hAnsi="宋体" w:eastAsia="宋体" w:cs="宋体"/>
          <w:b/>
          <w:sz w:val="36"/>
          <w:szCs w:val="36"/>
          <w:highlight w:val="none"/>
        </w:rPr>
        <w:t>月</w:t>
      </w:r>
    </w:p>
    <w:p w14:paraId="556717D6">
      <w:pPr>
        <w:pStyle w:val="2"/>
        <w:pageBreakBefore w:val="0"/>
        <w:bidi w:val="0"/>
        <w:snapToGrid w:val="0"/>
        <w:spacing w:line="360" w:lineRule="auto"/>
        <w:rPr>
          <w:rFonts w:hint="eastAsia" w:ascii="宋体" w:hAnsi="宋体" w:eastAsia="宋体" w:cs="宋体"/>
          <w:sz w:val="32"/>
          <w:szCs w:val="32"/>
          <w:highlight w:val="none"/>
        </w:rPr>
        <w:sectPr>
          <w:footerReference r:id="rId5" w:type="first"/>
          <w:headerReference r:id="rId3" w:type="default"/>
          <w:footerReference r:id="rId4" w:type="even"/>
          <w:pgSz w:w="11906" w:h="16838"/>
          <w:pgMar w:top="-1712" w:right="1417" w:bottom="1712" w:left="1587" w:header="992" w:footer="850" w:gutter="0"/>
          <w:pgNumType w:start="0"/>
          <w:cols w:space="720" w:num="1"/>
          <w:docGrid w:linePitch="326" w:charSpace="0"/>
        </w:sectPr>
      </w:pPr>
    </w:p>
    <w:p w14:paraId="31E18C9A">
      <w:pPr>
        <w:keepNext/>
        <w:keepLines/>
        <w:pageBreakBefore w:val="0"/>
        <w:widowControl w:val="0"/>
        <w:kinsoku/>
        <w:wordWrap/>
        <w:overflowPunct/>
        <w:topLinePunct w:val="0"/>
        <w:autoSpaceDE/>
        <w:autoSpaceDN/>
        <w:bidi w:val="0"/>
        <w:adjustRightInd/>
        <w:snapToGrid w:val="0"/>
        <w:spacing w:line="360" w:lineRule="auto"/>
        <w:jc w:val="center"/>
        <w:textAlignment w:val="auto"/>
        <w:outlineLvl w:val="9"/>
        <w:rPr>
          <w:rFonts w:hint="eastAsia" w:ascii="宋体" w:hAnsi="宋体" w:eastAsia="宋体" w:cs="宋体"/>
          <w:b/>
          <w:bCs/>
          <w:sz w:val="44"/>
          <w:highlight w:val="none"/>
        </w:rPr>
      </w:pPr>
      <w:r>
        <w:rPr>
          <w:rFonts w:hint="eastAsia" w:ascii="宋体" w:hAnsi="宋体" w:eastAsia="宋体" w:cs="宋体"/>
          <w:b/>
          <w:bCs/>
          <w:sz w:val="44"/>
          <w:highlight w:val="none"/>
        </w:rPr>
        <w:t>目  录</w:t>
      </w:r>
    </w:p>
    <w:p w14:paraId="2852B155">
      <w:pPr>
        <w:pStyle w:val="15"/>
        <w:keepNext w:val="0"/>
        <w:keepLines w:val="0"/>
        <w:pageBreakBefore w:val="0"/>
        <w:widowControl w:val="0"/>
        <w:tabs>
          <w:tab w:val="right" w:leader="dot" w:pos="8902"/>
        </w:tabs>
        <w:kinsoku/>
        <w:wordWrap/>
        <w:overflowPunct/>
        <w:topLinePunct w:val="0"/>
        <w:autoSpaceDE/>
        <w:autoSpaceDN/>
        <w:bidi w:val="0"/>
        <w:adjustRightInd/>
        <w:snapToGrid w:val="0"/>
        <w:spacing w:line="360" w:lineRule="auto"/>
        <w:textAlignment w:val="auto"/>
        <w:rPr>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TOC \o "1-1" \h \u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_Toc31339 </w:instrText>
      </w:r>
      <w:r>
        <w:rPr>
          <w:rFonts w:hint="eastAsia" w:ascii="宋体" w:hAnsi="宋体" w:eastAsia="宋体" w:cs="宋体"/>
          <w:sz w:val="30"/>
          <w:szCs w:val="30"/>
          <w:highlight w:val="none"/>
        </w:rPr>
        <w:fldChar w:fldCharType="separate"/>
      </w:r>
      <w:r>
        <w:rPr>
          <w:rFonts w:hint="eastAsia" w:ascii="宋体" w:hAnsi="宋体" w:eastAsia="宋体" w:cs="宋体"/>
          <w:bCs/>
          <w:kern w:val="2"/>
          <w:sz w:val="30"/>
          <w:szCs w:val="30"/>
          <w:highlight w:val="none"/>
        </w:rPr>
        <w:t>第一部分  谈判公告</w:t>
      </w:r>
      <w:r>
        <w:rPr>
          <w:sz w:val="30"/>
          <w:szCs w:val="30"/>
          <w:highlight w:val="none"/>
        </w:rPr>
        <w:tab/>
      </w:r>
      <w:r>
        <w:rPr>
          <w:sz w:val="30"/>
          <w:szCs w:val="30"/>
          <w:highlight w:val="none"/>
        </w:rPr>
        <w:fldChar w:fldCharType="begin"/>
      </w:r>
      <w:r>
        <w:rPr>
          <w:sz w:val="30"/>
          <w:szCs w:val="30"/>
          <w:highlight w:val="none"/>
        </w:rPr>
        <w:instrText xml:space="preserve"> PAGEREF _Toc31339 \h </w:instrText>
      </w:r>
      <w:r>
        <w:rPr>
          <w:sz w:val="30"/>
          <w:szCs w:val="30"/>
          <w:highlight w:val="none"/>
        </w:rPr>
        <w:fldChar w:fldCharType="separate"/>
      </w:r>
      <w:r>
        <w:rPr>
          <w:sz w:val="30"/>
          <w:szCs w:val="30"/>
          <w:highlight w:val="none"/>
        </w:rPr>
        <w:t>1</w:t>
      </w:r>
      <w:r>
        <w:rPr>
          <w:sz w:val="30"/>
          <w:szCs w:val="30"/>
          <w:highlight w:val="none"/>
        </w:rPr>
        <w:fldChar w:fldCharType="end"/>
      </w:r>
      <w:r>
        <w:rPr>
          <w:rFonts w:hint="eastAsia" w:ascii="宋体" w:hAnsi="宋体" w:eastAsia="宋体" w:cs="宋体"/>
          <w:sz w:val="30"/>
          <w:szCs w:val="30"/>
          <w:highlight w:val="none"/>
        </w:rPr>
        <w:fldChar w:fldCharType="end"/>
      </w:r>
    </w:p>
    <w:p w14:paraId="03104FC9">
      <w:pPr>
        <w:pStyle w:val="15"/>
        <w:keepNext w:val="0"/>
        <w:keepLines w:val="0"/>
        <w:pageBreakBefore w:val="0"/>
        <w:widowControl w:val="0"/>
        <w:tabs>
          <w:tab w:val="right" w:leader="dot" w:pos="8902"/>
        </w:tabs>
        <w:kinsoku/>
        <w:wordWrap/>
        <w:overflowPunct/>
        <w:topLinePunct w:val="0"/>
        <w:autoSpaceDE/>
        <w:autoSpaceDN/>
        <w:bidi w:val="0"/>
        <w:adjustRightInd/>
        <w:snapToGrid w:val="0"/>
        <w:spacing w:line="360" w:lineRule="auto"/>
        <w:textAlignment w:val="auto"/>
        <w:rPr>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_Toc23854 </w:instrText>
      </w:r>
      <w:r>
        <w:rPr>
          <w:rFonts w:hint="eastAsia" w:ascii="宋体" w:hAnsi="宋体" w:eastAsia="宋体" w:cs="宋体"/>
          <w:sz w:val="30"/>
          <w:szCs w:val="30"/>
          <w:highlight w:val="none"/>
        </w:rPr>
        <w:fldChar w:fldCharType="separate"/>
      </w:r>
      <w:r>
        <w:rPr>
          <w:rFonts w:hint="eastAsia" w:ascii="宋体" w:hAnsi="宋体" w:eastAsia="宋体" w:cs="宋体"/>
          <w:bCs/>
          <w:kern w:val="2"/>
          <w:sz w:val="30"/>
          <w:szCs w:val="30"/>
          <w:highlight w:val="none"/>
        </w:rPr>
        <w:t>第二部分  谈判供应商须知</w:t>
      </w:r>
      <w:r>
        <w:rPr>
          <w:sz w:val="30"/>
          <w:szCs w:val="30"/>
          <w:highlight w:val="none"/>
        </w:rPr>
        <w:tab/>
      </w:r>
      <w:r>
        <w:rPr>
          <w:rFonts w:hint="eastAsia"/>
          <w:sz w:val="30"/>
          <w:szCs w:val="30"/>
          <w:highlight w:val="none"/>
          <w:lang w:val="en-US" w:eastAsia="zh-CN"/>
        </w:rPr>
        <w:t>5</w:t>
      </w:r>
      <w:r>
        <w:rPr>
          <w:rFonts w:hint="eastAsia" w:ascii="宋体" w:hAnsi="宋体" w:eastAsia="宋体" w:cs="宋体"/>
          <w:sz w:val="30"/>
          <w:szCs w:val="30"/>
          <w:highlight w:val="none"/>
        </w:rPr>
        <w:fldChar w:fldCharType="end"/>
      </w:r>
    </w:p>
    <w:p w14:paraId="49386F95">
      <w:pPr>
        <w:pStyle w:val="15"/>
        <w:keepNext w:val="0"/>
        <w:keepLines w:val="0"/>
        <w:pageBreakBefore w:val="0"/>
        <w:widowControl w:val="0"/>
        <w:tabs>
          <w:tab w:val="right" w:leader="dot" w:pos="8902"/>
        </w:tabs>
        <w:kinsoku/>
        <w:wordWrap/>
        <w:overflowPunct/>
        <w:topLinePunct w:val="0"/>
        <w:autoSpaceDE/>
        <w:autoSpaceDN/>
        <w:bidi w:val="0"/>
        <w:adjustRightInd/>
        <w:snapToGrid w:val="0"/>
        <w:spacing w:line="360" w:lineRule="auto"/>
        <w:textAlignment w:val="auto"/>
        <w:rPr>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_Toc27051 </w:instrText>
      </w:r>
      <w:r>
        <w:rPr>
          <w:rFonts w:hint="eastAsia" w:ascii="宋体" w:hAnsi="宋体" w:eastAsia="宋体" w:cs="宋体"/>
          <w:sz w:val="30"/>
          <w:szCs w:val="30"/>
          <w:highlight w:val="none"/>
        </w:rPr>
        <w:fldChar w:fldCharType="separate"/>
      </w:r>
      <w:r>
        <w:rPr>
          <w:rFonts w:hint="eastAsia" w:ascii="宋体" w:hAnsi="宋体" w:eastAsia="宋体" w:cs="宋体"/>
          <w:bCs/>
          <w:kern w:val="2"/>
          <w:sz w:val="30"/>
          <w:szCs w:val="30"/>
          <w:highlight w:val="none"/>
        </w:rPr>
        <w:t>第三部分  谈判内容及要求</w:t>
      </w:r>
      <w:r>
        <w:rPr>
          <w:sz w:val="30"/>
          <w:szCs w:val="30"/>
          <w:highlight w:val="none"/>
        </w:rPr>
        <w:tab/>
      </w:r>
      <w:r>
        <w:rPr>
          <w:sz w:val="30"/>
          <w:szCs w:val="30"/>
          <w:highlight w:val="none"/>
        </w:rPr>
        <w:fldChar w:fldCharType="begin"/>
      </w:r>
      <w:r>
        <w:rPr>
          <w:sz w:val="30"/>
          <w:szCs w:val="30"/>
          <w:highlight w:val="none"/>
        </w:rPr>
        <w:instrText xml:space="preserve"> PAGEREF _Toc27051 \h </w:instrText>
      </w:r>
      <w:r>
        <w:rPr>
          <w:sz w:val="30"/>
          <w:szCs w:val="30"/>
          <w:highlight w:val="none"/>
        </w:rPr>
        <w:fldChar w:fldCharType="separate"/>
      </w:r>
      <w:r>
        <w:rPr>
          <w:sz w:val="30"/>
          <w:szCs w:val="30"/>
          <w:highlight w:val="none"/>
        </w:rPr>
        <w:t>2</w:t>
      </w:r>
      <w:r>
        <w:rPr>
          <w:rFonts w:hint="eastAsia"/>
          <w:sz w:val="30"/>
          <w:szCs w:val="30"/>
          <w:highlight w:val="none"/>
          <w:lang w:val="en-US" w:eastAsia="zh-CN"/>
        </w:rPr>
        <w:t>5</w:t>
      </w:r>
      <w:r>
        <w:rPr>
          <w:sz w:val="30"/>
          <w:szCs w:val="30"/>
          <w:highlight w:val="none"/>
        </w:rPr>
        <w:fldChar w:fldCharType="end"/>
      </w:r>
      <w:r>
        <w:rPr>
          <w:rFonts w:hint="eastAsia" w:ascii="宋体" w:hAnsi="宋体" w:eastAsia="宋体" w:cs="宋体"/>
          <w:sz w:val="30"/>
          <w:szCs w:val="30"/>
          <w:highlight w:val="none"/>
        </w:rPr>
        <w:fldChar w:fldCharType="end"/>
      </w:r>
    </w:p>
    <w:p w14:paraId="6610DB3C">
      <w:pPr>
        <w:pStyle w:val="15"/>
        <w:keepNext w:val="0"/>
        <w:keepLines w:val="0"/>
        <w:pageBreakBefore w:val="0"/>
        <w:widowControl w:val="0"/>
        <w:tabs>
          <w:tab w:val="right" w:leader="dot" w:pos="8902"/>
        </w:tabs>
        <w:kinsoku/>
        <w:wordWrap/>
        <w:overflowPunct/>
        <w:topLinePunct w:val="0"/>
        <w:autoSpaceDE/>
        <w:autoSpaceDN/>
        <w:bidi w:val="0"/>
        <w:adjustRightInd/>
        <w:snapToGrid w:val="0"/>
        <w:spacing w:line="360" w:lineRule="auto"/>
        <w:textAlignment w:val="auto"/>
        <w:rPr>
          <w:rFonts w:hint="default" w:eastAsia="宋体"/>
          <w:sz w:val="30"/>
          <w:szCs w:val="30"/>
          <w:highlight w:val="none"/>
          <w:lang w:val="en-US" w:eastAsia="zh-CN"/>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_Toc29206 </w:instrText>
      </w:r>
      <w:r>
        <w:rPr>
          <w:rFonts w:hint="eastAsia" w:ascii="宋体" w:hAnsi="宋体" w:eastAsia="宋体" w:cs="宋体"/>
          <w:sz w:val="30"/>
          <w:szCs w:val="30"/>
          <w:highlight w:val="none"/>
        </w:rPr>
        <w:fldChar w:fldCharType="separate"/>
      </w:r>
      <w:r>
        <w:rPr>
          <w:rFonts w:hint="eastAsia" w:ascii="宋体" w:hAnsi="宋体" w:eastAsia="宋体" w:cs="宋体"/>
          <w:bCs/>
          <w:kern w:val="2"/>
          <w:sz w:val="30"/>
          <w:szCs w:val="30"/>
          <w:highlight w:val="none"/>
        </w:rPr>
        <w:t>第四部分  评审方法</w:t>
      </w:r>
      <w:r>
        <w:rPr>
          <w:sz w:val="30"/>
          <w:szCs w:val="30"/>
          <w:highlight w:val="none"/>
        </w:rPr>
        <w:tab/>
      </w:r>
      <w:r>
        <w:rPr>
          <w:rFonts w:hint="eastAsia"/>
          <w:sz w:val="30"/>
          <w:szCs w:val="30"/>
          <w:highlight w:val="none"/>
          <w:lang w:val="en-US" w:eastAsia="zh-CN"/>
        </w:rPr>
        <w:t>3</w:t>
      </w:r>
      <w:r>
        <w:rPr>
          <w:rFonts w:hint="eastAsia" w:ascii="宋体" w:hAnsi="宋体" w:eastAsia="宋体" w:cs="宋体"/>
          <w:sz w:val="30"/>
          <w:szCs w:val="30"/>
          <w:highlight w:val="none"/>
        </w:rPr>
        <w:fldChar w:fldCharType="end"/>
      </w:r>
      <w:r>
        <w:rPr>
          <w:rFonts w:hint="eastAsia"/>
          <w:sz w:val="30"/>
          <w:szCs w:val="30"/>
          <w:highlight w:val="none"/>
          <w:lang w:val="en-US" w:eastAsia="zh-CN"/>
        </w:rPr>
        <w:t>6</w:t>
      </w:r>
    </w:p>
    <w:p w14:paraId="70B5381D">
      <w:pPr>
        <w:pStyle w:val="15"/>
        <w:keepNext w:val="0"/>
        <w:keepLines w:val="0"/>
        <w:pageBreakBefore w:val="0"/>
        <w:widowControl w:val="0"/>
        <w:tabs>
          <w:tab w:val="right" w:leader="dot" w:pos="8902"/>
        </w:tabs>
        <w:kinsoku/>
        <w:wordWrap/>
        <w:overflowPunct/>
        <w:topLinePunct w:val="0"/>
        <w:autoSpaceDE/>
        <w:autoSpaceDN/>
        <w:bidi w:val="0"/>
        <w:adjustRightInd/>
        <w:snapToGrid w:val="0"/>
        <w:spacing w:line="360" w:lineRule="auto"/>
        <w:textAlignment w:val="auto"/>
        <w:rPr>
          <w:rFonts w:hint="eastAsia" w:eastAsia="宋体"/>
          <w:sz w:val="30"/>
          <w:szCs w:val="30"/>
          <w:highlight w:val="none"/>
          <w:lang w:val="en-US" w:eastAsia="zh-CN"/>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_Toc10916 </w:instrText>
      </w:r>
      <w:r>
        <w:rPr>
          <w:rFonts w:hint="eastAsia" w:ascii="宋体" w:hAnsi="宋体" w:eastAsia="宋体" w:cs="宋体"/>
          <w:sz w:val="30"/>
          <w:szCs w:val="30"/>
          <w:highlight w:val="none"/>
        </w:rPr>
        <w:fldChar w:fldCharType="separate"/>
      </w:r>
      <w:r>
        <w:rPr>
          <w:rFonts w:hint="eastAsia" w:ascii="宋体" w:hAnsi="宋体" w:eastAsia="宋体" w:cs="宋体"/>
          <w:bCs/>
          <w:kern w:val="2"/>
          <w:sz w:val="30"/>
          <w:szCs w:val="30"/>
          <w:highlight w:val="none"/>
        </w:rPr>
        <w:t>第五部分  合同主要条款</w:t>
      </w:r>
      <w:r>
        <w:rPr>
          <w:sz w:val="30"/>
          <w:szCs w:val="30"/>
          <w:highlight w:val="none"/>
        </w:rPr>
        <w:tab/>
      </w:r>
      <w:r>
        <w:rPr>
          <w:rFonts w:hint="eastAsia"/>
          <w:sz w:val="30"/>
          <w:szCs w:val="30"/>
          <w:highlight w:val="none"/>
          <w:lang w:val="en-US" w:eastAsia="zh-CN"/>
        </w:rPr>
        <w:t>4</w:t>
      </w:r>
      <w:r>
        <w:rPr>
          <w:rFonts w:hint="eastAsia" w:ascii="宋体" w:hAnsi="宋体" w:eastAsia="宋体" w:cs="宋体"/>
          <w:sz w:val="30"/>
          <w:szCs w:val="30"/>
          <w:highlight w:val="none"/>
        </w:rPr>
        <w:fldChar w:fldCharType="end"/>
      </w:r>
      <w:r>
        <w:rPr>
          <w:rFonts w:hint="eastAsia"/>
          <w:sz w:val="30"/>
          <w:szCs w:val="30"/>
          <w:highlight w:val="none"/>
          <w:lang w:val="en-US" w:eastAsia="zh-CN"/>
        </w:rPr>
        <w:t>2</w:t>
      </w:r>
    </w:p>
    <w:p w14:paraId="7D269938">
      <w:pPr>
        <w:pStyle w:val="15"/>
        <w:keepNext w:val="0"/>
        <w:keepLines w:val="0"/>
        <w:pageBreakBefore w:val="0"/>
        <w:widowControl w:val="0"/>
        <w:tabs>
          <w:tab w:val="right" w:leader="dot" w:pos="8902"/>
        </w:tabs>
        <w:kinsoku/>
        <w:wordWrap/>
        <w:overflowPunct/>
        <w:topLinePunct w:val="0"/>
        <w:autoSpaceDE/>
        <w:autoSpaceDN/>
        <w:bidi w:val="0"/>
        <w:adjustRightInd/>
        <w:snapToGrid w:val="0"/>
        <w:spacing w:line="360" w:lineRule="auto"/>
        <w:textAlignment w:val="auto"/>
        <w:rPr>
          <w:rFonts w:hint="eastAsia" w:ascii="宋体" w:hAnsi="宋体" w:eastAsia="宋体" w:cs="宋体"/>
          <w:sz w:val="30"/>
          <w:szCs w:val="30"/>
          <w:highlight w:val="none"/>
          <w:lang w:val="en-US" w:eastAsia="zh-CN"/>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_Toc14649 </w:instrText>
      </w:r>
      <w:r>
        <w:rPr>
          <w:rFonts w:hint="eastAsia" w:ascii="宋体" w:hAnsi="宋体" w:eastAsia="宋体" w:cs="宋体"/>
          <w:sz w:val="30"/>
          <w:szCs w:val="30"/>
          <w:highlight w:val="none"/>
        </w:rPr>
        <w:fldChar w:fldCharType="separate"/>
      </w:r>
      <w:r>
        <w:rPr>
          <w:rFonts w:hint="eastAsia" w:ascii="宋体" w:hAnsi="宋体" w:eastAsia="宋体" w:cs="宋体"/>
          <w:bCs/>
          <w:kern w:val="2"/>
          <w:sz w:val="30"/>
          <w:szCs w:val="30"/>
          <w:highlight w:val="none"/>
        </w:rPr>
        <w:t xml:space="preserve">第六部分  </w:t>
      </w:r>
      <w:r>
        <w:rPr>
          <w:rFonts w:hint="eastAsia" w:ascii="宋体" w:hAnsi="宋体" w:eastAsia="宋体" w:cs="宋体"/>
          <w:bCs/>
          <w:kern w:val="2"/>
          <w:sz w:val="30"/>
          <w:szCs w:val="30"/>
          <w:highlight w:val="none"/>
          <w:lang w:val="en-US" w:eastAsia="zh-CN"/>
        </w:rPr>
        <w:t>响应文件格式</w:t>
      </w:r>
      <w:r>
        <w:rPr>
          <w:sz w:val="30"/>
          <w:szCs w:val="30"/>
          <w:highlight w:val="none"/>
        </w:rPr>
        <w:tab/>
      </w:r>
      <w:r>
        <w:rPr>
          <w:rFonts w:hint="eastAsia"/>
          <w:sz w:val="30"/>
          <w:szCs w:val="30"/>
          <w:highlight w:val="none"/>
          <w:lang w:val="en-US" w:eastAsia="zh-CN"/>
        </w:rPr>
        <w:t>4</w:t>
      </w:r>
      <w:r>
        <w:rPr>
          <w:rFonts w:hint="eastAsia" w:ascii="宋体" w:hAnsi="宋体" w:eastAsia="宋体" w:cs="宋体"/>
          <w:sz w:val="30"/>
          <w:szCs w:val="30"/>
          <w:highlight w:val="none"/>
        </w:rPr>
        <w:fldChar w:fldCharType="end"/>
      </w:r>
      <w:r>
        <w:rPr>
          <w:rFonts w:hint="eastAsia"/>
          <w:sz w:val="30"/>
          <w:szCs w:val="30"/>
          <w:highlight w:val="none"/>
          <w:lang w:val="en-US" w:eastAsia="zh-CN"/>
        </w:rPr>
        <w:t>4</w:t>
      </w:r>
    </w:p>
    <w:p w14:paraId="34DBB135">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highlight w:val="none"/>
          <w:lang w:val="en-US" w:eastAsia="zh-CN"/>
        </w:rPr>
      </w:pPr>
      <w:r>
        <w:rPr>
          <w:rFonts w:hint="eastAsia" w:ascii="宋体" w:hAnsi="宋体" w:eastAsia="宋体" w:cs="宋体"/>
          <w:sz w:val="30"/>
          <w:szCs w:val="30"/>
          <w:highlight w:val="none"/>
        </w:rPr>
        <w:fldChar w:fldCharType="end"/>
      </w:r>
    </w:p>
    <w:p w14:paraId="3B602A6A">
      <w:pPr>
        <w:pageBreakBefore w:val="0"/>
        <w:bidi w:val="0"/>
        <w:snapToGrid w:val="0"/>
        <w:spacing w:line="360" w:lineRule="auto"/>
        <w:ind w:firstLine="602" w:firstLineChars="200"/>
        <w:rPr>
          <w:rFonts w:hint="eastAsia" w:ascii="宋体" w:hAnsi="宋体" w:eastAsia="宋体" w:cs="宋体"/>
          <w:b/>
          <w:sz w:val="30"/>
          <w:szCs w:val="30"/>
          <w:highlight w:val="none"/>
        </w:rPr>
      </w:pPr>
    </w:p>
    <w:p w14:paraId="5DA1ACEC">
      <w:pPr>
        <w:pageBreakBefore w:val="0"/>
        <w:bidi w:val="0"/>
        <w:snapToGrid w:val="0"/>
        <w:spacing w:line="360" w:lineRule="auto"/>
        <w:ind w:firstLine="562" w:firstLineChars="200"/>
        <w:rPr>
          <w:rFonts w:hint="eastAsia" w:ascii="宋体" w:hAnsi="宋体" w:eastAsia="宋体" w:cs="宋体"/>
          <w:b/>
          <w:sz w:val="28"/>
          <w:szCs w:val="28"/>
          <w:highlight w:val="none"/>
        </w:rPr>
        <w:sectPr>
          <w:headerReference r:id="rId6" w:type="default"/>
          <w:footerReference r:id="rId7" w:type="default"/>
          <w:pgSz w:w="11906" w:h="16838"/>
          <w:pgMar w:top="-1712" w:right="1417" w:bottom="1712" w:left="1587" w:header="992" w:footer="850" w:gutter="0"/>
          <w:pgNumType w:start="1"/>
          <w:cols w:space="720" w:num="1"/>
          <w:docGrid w:linePitch="326" w:charSpace="0"/>
        </w:sectPr>
      </w:pPr>
    </w:p>
    <w:p w14:paraId="2DC7190E">
      <w:pPr>
        <w:pStyle w:val="17"/>
        <w:keepNext w:val="0"/>
        <w:keepLines w:val="0"/>
        <w:pageBreakBefore w:val="0"/>
        <w:widowControl/>
        <w:kinsoku/>
        <w:wordWrap/>
        <w:overflowPunct/>
        <w:topLinePunct w:val="0"/>
        <w:autoSpaceDE/>
        <w:autoSpaceDN/>
        <w:bidi w:val="0"/>
        <w:adjustRightInd/>
        <w:snapToGrid/>
        <w:spacing w:beforeAutospacing="0" w:afterAutospacing="0" w:line="356" w:lineRule="auto"/>
        <w:ind w:firstLine="420"/>
        <w:jc w:val="center"/>
        <w:textAlignment w:val="auto"/>
        <w:outlineLvl w:val="0"/>
        <w:rPr>
          <w:rFonts w:hint="eastAsia" w:ascii="宋体" w:hAnsi="宋体" w:eastAsia="宋体" w:cs="宋体"/>
          <w:b/>
          <w:bCs/>
          <w:kern w:val="2"/>
          <w:sz w:val="32"/>
          <w:szCs w:val="32"/>
          <w:highlight w:val="none"/>
        </w:rPr>
      </w:pPr>
      <w:bookmarkStart w:id="1" w:name="_Toc31339"/>
      <w:r>
        <w:rPr>
          <w:rFonts w:hint="eastAsia" w:ascii="宋体" w:hAnsi="宋体" w:eastAsia="宋体" w:cs="宋体"/>
          <w:b/>
          <w:bCs/>
          <w:kern w:val="2"/>
          <w:sz w:val="32"/>
          <w:szCs w:val="32"/>
          <w:highlight w:val="none"/>
        </w:rPr>
        <w:t>第一部分  谈判公告</w:t>
      </w:r>
      <w:bookmarkEnd w:id="1"/>
    </w:p>
    <w:p w14:paraId="4B8A422A">
      <w:pPr>
        <w:keepNext w:val="0"/>
        <w:keepLines w:val="0"/>
        <w:pageBreakBefore w:val="0"/>
        <w:widowControl/>
        <w:shd w:val="clear" w:color="auto" w:fill="FFFFFF"/>
        <w:kinsoku/>
        <w:wordWrap w:val="0"/>
        <w:overflowPunct/>
        <w:topLinePunct w:val="0"/>
        <w:autoSpaceDE/>
        <w:autoSpaceDN/>
        <w:bidi w:val="0"/>
        <w:adjustRightInd/>
        <w:snapToGrid/>
        <w:spacing w:line="356" w:lineRule="auto"/>
        <w:jc w:val="left"/>
        <w:textAlignment w:val="auto"/>
        <w:outlineLvl w:val="5"/>
        <w:rPr>
          <w:rFonts w:hint="eastAsia" w:ascii="宋体" w:hAnsi="宋体" w:eastAsia="宋体" w:cs="宋体"/>
          <w:color w:val="333333"/>
          <w:kern w:val="0"/>
          <w:sz w:val="24"/>
          <w:szCs w:val="24"/>
          <w:highlight w:val="none"/>
        </w:rPr>
      </w:pPr>
      <w:bookmarkStart w:id="2" w:name="OLE_LINK78"/>
      <w:bookmarkStart w:id="3" w:name="OLE_LINK80"/>
      <w:r>
        <w:rPr>
          <w:rFonts w:hint="eastAsia" w:ascii="宋体" w:hAnsi="宋体" w:eastAsia="宋体" w:cs="宋体"/>
          <w:b/>
          <w:bCs/>
          <w:color w:val="333333"/>
          <w:kern w:val="0"/>
          <w:sz w:val="24"/>
          <w:szCs w:val="24"/>
          <w:highlight w:val="none"/>
        </w:rPr>
        <w:t>项目概况</w:t>
      </w:r>
    </w:p>
    <w:p w14:paraId="5B9F1A40">
      <w:pPr>
        <w:keepNext w:val="0"/>
        <w:keepLines w:val="0"/>
        <w:pageBreakBefore w:val="0"/>
        <w:widowControl/>
        <w:shd w:val="clear" w:color="auto" w:fill="FFFFFF"/>
        <w:kinsoku/>
        <w:wordWrap w:val="0"/>
        <w:overflowPunct/>
        <w:topLinePunct w:val="0"/>
        <w:autoSpaceDE/>
        <w:autoSpaceDN/>
        <w:bidi w:val="0"/>
        <w:adjustRightInd/>
        <w:snapToGrid/>
        <w:spacing w:line="356" w:lineRule="auto"/>
        <w:ind w:firstLine="401"/>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lang w:eastAsia="zh-CN"/>
        </w:rPr>
        <w:t>宜川县云岩中心卫生院县域医疗次中心建设项目（三次）</w:t>
      </w:r>
      <w:r>
        <w:rPr>
          <w:rFonts w:hint="eastAsia" w:ascii="宋体" w:hAnsi="宋体" w:eastAsia="宋体" w:cs="宋体"/>
          <w:color w:val="333333"/>
          <w:kern w:val="0"/>
          <w:sz w:val="24"/>
          <w:szCs w:val="24"/>
          <w:highlight w:val="none"/>
        </w:rPr>
        <w:t>的潜在供应商应在</w:t>
      </w:r>
      <w:bookmarkStart w:id="4" w:name="OLE_LINK34"/>
      <w:r>
        <w:rPr>
          <w:rFonts w:hint="eastAsia" w:ascii="宋体" w:hAnsi="宋体" w:eastAsia="宋体" w:cs="宋体"/>
          <w:color w:val="333333"/>
          <w:kern w:val="0"/>
          <w:sz w:val="24"/>
          <w:szCs w:val="24"/>
          <w:highlight w:val="none"/>
        </w:rPr>
        <w:t>全国公共资源交易中心平台（陕西省•延安市）</w:t>
      </w:r>
      <w:bookmarkEnd w:id="4"/>
      <w:r>
        <w:rPr>
          <w:rFonts w:hint="eastAsia" w:ascii="宋体" w:hAnsi="宋体" w:eastAsia="宋体" w:cs="宋体"/>
          <w:color w:val="333333"/>
          <w:kern w:val="0"/>
          <w:sz w:val="24"/>
          <w:szCs w:val="24"/>
          <w:highlight w:val="none"/>
        </w:rPr>
        <w:t>获取采购文件，并于202</w:t>
      </w:r>
      <w:r>
        <w:rPr>
          <w:rFonts w:hint="eastAsia" w:ascii="宋体" w:hAnsi="宋体" w:eastAsia="宋体" w:cs="宋体"/>
          <w:color w:val="333333"/>
          <w:kern w:val="0"/>
          <w:sz w:val="24"/>
          <w:szCs w:val="24"/>
          <w:highlight w:val="none"/>
          <w:lang w:val="en-US" w:eastAsia="zh-CN"/>
        </w:rPr>
        <w:t>6</w:t>
      </w:r>
      <w:r>
        <w:rPr>
          <w:rFonts w:hint="eastAsia" w:ascii="宋体" w:hAnsi="宋体" w:eastAsia="宋体" w:cs="宋体"/>
          <w:color w:val="333333"/>
          <w:kern w:val="0"/>
          <w:sz w:val="24"/>
          <w:szCs w:val="24"/>
          <w:highlight w:val="none"/>
        </w:rPr>
        <w:t>年</w:t>
      </w:r>
      <w:r>
        <w:rPr>
          <w:rFonts w:hint="eastAsia" w:ascii="宋体" w:hAnsi="宋体" w:eastAsia="宋体" w:cs="宋体"/>
          <w:color w:val="333333"/>
          <w:kern w:val="0"/>
          <w:sz w:val="24"/>
          <w:szCs w:val="24"/>
          <w:highlight w:val="none"/>
          <w:lang w:val="en-US" w:eastAsia="zh-CN"/>
        </w:rPr>
        <w:t xml:space="preserve">08月21日10 </w:t>
      </w:r>
      <w:r>
        <w:rPr>
          <w:rFonts w:hint="eastAsia" w:ascii="宋体" w:hAnsi="宋体" w:eastAsia="宋体" w:cs="宋体"/>
          <w:color w:val="333333"/>
          <w:kern w:val="0"/>
          <w:sz w:val="24"/>
          <w:szCs w:val="24"/>
          <w:highlight w:val="none"/>
        </w:rPr>
        <w:t>时</w:t>
      </w:r>
      <w:r>
        <w:rPr>
          <w:rFonts w:hint="eastAsia" w:ascii="宋体" w:hAnsi="宋体" w:eastAsia="宋体" w:cs="宋体"/>
          <w:color w:val="333333"/>
          <w:kern w:val="0"/>
          <w:sz w:val="24"/>
          <w:szCs w:val="24"/>
          <w:highlight w:val="none"/>
          <w:lang w:val="en-US" w:eastAsia="zh-CN"/>
        </w:rPr>
        <w:t>0</w:t>
      </w:r>
      <w:r>
        <w:rPr>
          <w:rFonts w:hint="eastAsia" w:ascii="宋体" w:hAnsi="宋体" w:eastAsia="宋体" w:cs="宋体"/>
          <w:color w:val="333333"/>
          <w:kern w:val="0"/>
          <w:sz w:val="24"/>
          <w:szCs w:val="24"/>
          <w:highlight w:val="none"/>
        </w:rPr>
        <w:t>0分（北京时间）前提交响应文件。</w:t>
      </w:r>
    </w:p>
    <w:p w14:paraId="632340A5">
      <w:pPr>
        <w:keepNext w:val="0"/>
        <w:keepLines w:val="0"/>
        <w:pageBreakBefore w:val="0"/>
        <w:widowControl/>
        <w:shd w:val="clear" w:color="auto" w:fill="FFFFFF"/>
        <w:kinsoku/>
        <w:wordWrap w:val="0"/>
        <w:overflowPunct/>
        <w:topLinePunct w:val="0"/>
        <w:autoSpaceDE/>
        <w:autoSpaceDN/>
        <w:bidi w:val="0"/>
        <w:adjustRightInd/>
        <w:snapToGrid/>
        <w:spacing w:line="356" w:lineRule="auto"/>
        <w:jc w:val="left"/>
        <w:textAlignment w:val="auto"/>
        <w:outlineLvl w:val="3"/>
        <w:rPr>
          <w:rFonts w:hint="eastAsia" w:ascii="宋体" w:hAnsi="宋体" w:eastAsia="宋体" w:cs="宋体"/>
          <w:color w:val="333333"/>
          <w:kern w:val="0"/>
          <w:sz w:val="24"/>
          <w:szCs w:val="24"/>
          <w:highlight w:val="none"/>
        </w:rPr>
      </w:pPr>
      <w:r>
        <w:rPr>
          <w:rFonts w:hint="eastAsia" w:ascii="宋体" w:hAnsi="宋体" w:eastAsia="宋体" w:cs="宋体"/>
          <w:b/>
          <w:bCs/>
          <w:color w:val="333333"/>
          <w:kern w:val="0"/>
          <w:sz w:val="24"/>
          <w:szCs w:val="24"/>
          <w:highlight w:val="none"/>
        </w:rPr>
        <w:t>一、项目基本情况</w:t>
      </w:r>
    </w:p>
    <w:p w14:paraId="23658675">
      <w:pPr>
        <w:keepNext w:val="0"/>
        <w:keepLines w:val="0"/>
        <w:pageBreakBefore w:val="0"/>
        <w:widowControl/>
        <w:shd w:val="clear" w:color="auto" w:fill="FFFFFF"/>
        <w:kinsoku/>
        <w:wordWrap w:val="0"/>
        <w:overflowPunct/>
        <w:topLinePunct w:val="0"/>
        <w:autoSpaceDE/>
        <w:autoSpaceDN/>
        <w:bidi w:val="0"/>
        <w:adjustRightInd/>
        <w:snapToGrid/>
        <w:spacing w:line="356" w:lineRule="auto"/>
        <w:ind w:firstLine="401"/>
        <w:textAlignment w:val="auto"/>
        <w:rPr>
          <w:rFonts w:hint="eastAsia" w:ascii="宋体" w:hAnsi="宋体" w:eastAsia="宋体" w:cs="宋体"/>
          <w:color w:val="333333"/>
          <w:kern w:val="0"/>
          <w:sz w:val="24"/>
          <w:szCs w:val="24"/>
          <w:highlight w:val="none"/>
          <w:lang w:eastAsia="zh-CN"/>
        </w:rPr>
      </w:pPr>
      <w:r>
        <w:rPr>
          <w:rFonts w:hint="eastAsia" w:ascii="宋体" w:hAnsi="宋体" w:eastAsia="宋体" w:cs="宋体"/>
          <w:color w:val="333333"/>
          <w:kern w:val="0"/>
          <w:sz w:val="24"/>
          <w:szCs w:val="24"/>
          <w:highlight w:val="none"/>
        </w:rPr>
        <w:t>项目编号：</w:t>
      </w:r>
      <w:r>
        <w:rPr>
          <w:rFonts w:hint="eastAsia" w:ascii="宋体" w:hAnsi="宋体" w:eastAsia="宋体" w:cs="宋体"/>
          <w:color w:val="333333"/>
          <w:kern w:val="0"/>
          <w:sz w:val="24"/>
          <w:szCs w:val="24"/>
          <w:highlight w:val="none"/>
          <w:lang w:eastAsia="zh-CN"/>
        </w:rPr>
        <w:t>HRC-ZBDL-2026-00708.1B2</w:t>
      </w:r>
    </w:p>
    <w:p w14:paraId="1D190956">
      <w:pPr>
        <w:keepNext w:val="0"/>
        <w:keepLines w:val="0"/>
        <w:pageBreakBefore w:val="0"/>
        <w:widowControl/>
        <w:shd w:val="clear" w:color="auto" w:fill="FFFFFF"/>
        <w:kinsoku/>
        <w:wordWrap w:val="0"/>
        <w:overflowPunct/>
        <w:topLinePunct w:val="0"/>
        <w:autoSpaceDE/>
        <w:autoSpaceDN/>
        <w:bidi w:val="0"/>
        <w:adjustRightInd/>
        <w:snapToGrid/>
        <w:spacing w:line="356" w:lineRule="auto"/>
        <w:ind w:firstLine="401"/>
        <w:textAlignment w:val="auto"/>
        <w:rPr>
          <w:rFonts w:hint="eastAsia" w:ascii="宋体" w:hAnsi="宋体" w:eastAsia="宋体" w:cs="宋体"/>
          <w:color w:val="333333"/>
          <w:kern w:val="0"/>
          <w:sz w:val="24"/>
          <w:szCs w:val="24"/>
          <w:highlight w:val="none"/>
          <w:lang w:eastAsia="zh-CN"/>
        </w:rPr>
      </w:pPr>
      <w:r>
        <w:rPr>
          <w:rFonts w:hint="eastAsia" w:ascii="宋体" w:hAnsi="宋体" w:eastAsia="宋体" w:cs="宋体"/>
          <w:color w:val="333333"/>
          <w:kern w:val="0"/>
          <w:sz w:val="24"/>
          <w:szCs w:val="24"/>
          <w:highlight w:val="none"/>
        </w:rPr>
        <w:t>项目名称：</w:t>
      </w:r>
      <w:r>
        <w:rPr>
          <w:rFonts w:hint="eastAsia" w:ascii="宋体" w:hAnsi="宋体" w:eastAsia="宋体" w:cs="宋体"/>
          <w:color w:val="333333"/>
          <w:kern w:val="0"/>
          <w:sz w:val="24"/>
          <w:szCs w:val="24"/>
          <w:highlight w:val="none"/>
          <w:lang w:eastAsia="zh-CN"/>
        </w:rPr>
        <w:t>宜川县云岩中心卫生院县域医疗次中心建设项目（三次）</w:t>
      </w:r>
    </w:p>
    <w:p w14:paraId="49EC314C">
      <w:pPr>
        <w:keepNext w:val="0"/>
        <w:keepLines w:val="0"/>
        <w:pageBreakBefore w:val="0"/>
        <w:widowControl/>
        <w:shd w:val="clear" w:color="auto" w:fill="FFFFFF"/>
        <w:kinsoku/>
        <w:wordWrap w:val="0"/>
        <w:overflowPunct/>
        <w:topLinePunct w:val="0"/>
        <w:autoSpaceDE/>
        <w:autoSpaceDN/>
        <w:bidi w:val="0"/>
        <w:adjustRightInd/>
        <w:snapToGrid/>
        <w:spacing w:line="356" w:lineRule="auto"/>
        <w:ind w:firstLine="401"/>
        <w:textAlignment w:val="auto"/>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eastAsia="zh-CN"/>
        </w:rPr>
        <w:t>项目</w:t>
      </w:r>
      <w:r>
        <w:rPr>
          <w:rFonts w:hint="eastAsia" w:ascii="宋体" w:hAnsi="宋体" w:eastAsia="宋体" w:cs="宋体"/>
          <w:color w:val="333333"/>
          <w:kern w:val="0"/>
          <w:sz w:val="24"/>
          <w:szCs w:val="24"/>
          <w:highlight w:val="none"/>
        </w:rPr>
        <w:t>采购方式：竞争性谈判</w:t>
      </w:r>
    </w:p>
    <w:p w14:paraId="3FD35932">
      <w:pPr>
        <w:keepNext w:val="0"/>
        <w:keepLines w:val="0"/>
        <w:pageBreakBefore w:val="0"/>
        <w:widowControl/>
        <w:shd w:val="clear" w:color="auto" w:fill="FFFFFF"/>
        <w:kinsoku/>
        <w:wordWrap w:val="0"/>
        <w:overflowPunct/>
        <w:topLinePunct w:val="0"/>
        <w:autoSpaceDE/>
        <w:autoSpaceDN/>
        <w:bidi w:val="0"/>
        <w:adjustRightInd/>
        <w:snapToGrid/>
        <w:spacing w:line="356" w:lineRule="auto"/>
        <w:ind w:firstLine="401"/>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预算金额：</w:t>
      </w:r>
      <w:r>
        <w:rPr>
          <w:rFonts w:hint="eastAsia" w:ascii="宋体" w:hAnsi="宋体" w:eastAsia="宋体" w:cs="宋体"/>
          <w:color w:val="333333"/>
          <w:kern w:val="0"/>
          <w:sz w:val="24"/>
          <w:szCs w:val="24"/>
          <w:highlight w:val="none"/>
          <w:lang w:val="en-US" w:eastAsia="zh-CN"/>
        </w:rPr>
        <w:t>404,700.00</w:t>
      </w:r>
      <w:r>
        <w:rPr>
          <w:rFonts w:hint="eastAsia" w:ascii="宋体" w:hAnsi="宋体" w:eastAsia="宋体" w:cs="宋体"/>
          <w:color w:val="333333"/>
          <w:kern w:val="0"/>
          <w:sz w:val="24"/>
          <w:szCs w:val="24"/>
          <w:highlight w:val="none"/>
        </w:rPr>
        <w:t>元</w:t>
      </w:r>
    </w:p>
    <w:p w14:paraId="424EFF41">
      <w:pPr>
        <w:keepNext w:val="0"/>
        <w:keepLines w:val="0"/>
        <w:pageBreakBefore w:val="0"/>
        <w:widowControl/>
        <w:shd w:val="clear" w:color="auto" w:fill="FFFFFF"/>
        <w:tabs>
          <w:tab w:val="center" w:pos="4534"/>
        </w:tabs>
        <w:kinsoku/>
        <w:wordWrap w:val="0"/>
        <w:overflowPunct/>
        <w:topLinePunct w:val="0"/>
        <w:autoSpaceDE/>
        <w:autoSpaceDN/>
        <w:bidi w:val="0"/>
        <w:adjustRightInd/>
        <w:snapToGrid/>
        <w:spacing w:line="356" w:lineRule="auto"/>
        <w:ind w:firstLine="401"/>
        <w:textAlignment w:val="auto"/>
        <w:rPr>
          <w:rFonts w:hint="eastAsia" w:ascii="宋体" w:hAnsi="宋体" w:eastAsia="宋体" w:cs="宋体"/>
          <w:color w:val="333333"/>
          <w:kern w:val="0"/>
          <w:sz w:val="24"/>
          <w:szCs w:val="24"/>
          <w:highlight w:val="none"/>
          <w:lang w:eastAsia="zh-CN"/>
        </w:rPr>
      </w:pPr>
      <w:r>
        <w:rPr>
          <w:rFonts w:hint="eastAsia" w:ascii="宋体" w:hAnsi="宋体" w:eastAsia="宋体" w:cs="宋体"/>
          <w:color w:val="333333"/>
          <w:kern w:val="0"/>
          <w:sz w:val="24"/>
          <w:szCs w:val="24"/>
          <w:highlight w:val="none"/>
        </w:rPr>
        <w:t>采购需求：</w:t>
      </w:r>
      <w:r>
        <w:rPr>
          <w:rFonts w:hint="eastAsia" w:ascii="宋体" w:hAnsi="宋体" w:eastAsia="宋体" w:cs="宋体"/>
          <w:color w:val="333333"/>
          <w:kern w:val="0"/>
          <w:sz w:val="24"/>
          <w:szCs w:val="24"/>
          <w:highlight w:val="none"/>
          <w:lang w:eastAsia="zh-CN"/>
        </w:rPr>
        <w:tab/>
      </w:r>
    </w:p>
    <w:p w14:paraId="1DC23571">
      <w:pPr>
        <w:keepNext w:val="0"/>
        <w:keepLines w:val="0"/>
        <w:pageBreakBefore w:val="0"/>
        <w:widowControl/>
        <w:shd w:val="clear" w:color="auto" w:fill="FFFFFF"/>
        <w:kinsoku/>
        <w:wordWrap w:val="0"/>
        <w:overflowPunct/>
        <w:topLinePunct w:val="0"/>
        <w:autoSpaceDE/>
        <w:autoSpaceDN/>
        <w:bidi w:val="0"/>
        <w:adjustRightInd/>
        <w:snapToGrid/>
        <w:spacing w:line="356" w:lineRule="auto"/>
        <w:ind w:firstLine="401"/>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合同包1(</w:t>
      </w:r>
      <w:r>
        <w:rPr>
          <w:rFonts w:hint="eastAsia" w:ascii="宋体" w:hAnsi="宋体" w:eastAsia="宋体" w:cs="宋体"/>
          <w:color w:val="333333"/>
          <w:kern w:val="0"/>
          <w:sz w:val="24"/>
          <w:szCs w:val="24"/>
          <w:highlight w:val="none"/>
          <w:lang w:eastAsia="zh-CN"/>
        </w:rPr>
        <w:t>宜川县云岩中心卫生院县域医疗次中心建设项目（三次）</w:t>
      </w:r>
      <w:r>
        <w:rPr>
          <w:rFonts w:hint="eastAsia" w:ascii="宋体" w:hAnsi="宋体" w:eastAsia="宋体" w:cs="宋体"/>
          <w:color w:val="333333"/>
          <w:kern w:val="0"/>
          <w:sz w:val="24"/>
          <w:szCs w:val="24"/>
          <w:highlight w:val="none"/>
        </w:rPr>
        <w:t>):</w:t>
      </w:r>
    </w:p>
    <w:p w14:paraId="2C9488BA">
      <w:pPr>
        <w:keepNext w:val="0"/>
        <w:keepLines w:val="0"/>
        <w:pageBreakBefore w:val="0"/>
        <w:widowControl/>
        <w:shd w:val="clear" w:color="auto" w:fill="FFFFFF"/>
        <w:kinsoku/>
        <w:wordWrap w:val="0"/>
        <w:overflowPunct/>
        <w:topLinePunct w:val="0"/>
        <w:autoSpaceDE/>
        <w:autoSpaceDN/>
        <w:bidi w:val="0"/>
        <w:adjustRightInd/>
        <w:snapToGrid/>
        <w:spacing w:line="356" w:lineRule="auto"/>
        <w:ind w:firstLine="526"/>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合同包预算金额：</w:t>
      </w:r>
      <w:r>
        <w:rPr>
          <w:rFonts w:hint="eastAsia" w:ascii="宋体" w:hAnsi="宋体" w:eastAsia="宋体" w:cs="宋体"/>
          <w:color w:val="333333"/>
          <w:kern w:val="0"/>
          <w:sz w:val="24"/>
          <w:szCs w:val="24"/>
          <w:highlight w:val="none"/>
          <w:lang w:val="en-US" w:eastAsia="zh-CN"/>
        </w:rPr>
        <w:t>404,700.00</w:t>
      </w:r>
      <w:r>
        <w:rPr>
          <w:rFonts w:hint="eastAsia" w:ascii="宋体" w:hAnsi="宋体" w:eastAsia="宋体" w:cs="宋体"/>
          <w:color w:val="333333"/>
          <w:kern w:val="0"/>
          <w:sz w:val="24"/>
          <w:szCs w:val="24"/>
          <w:highlight w:val="none"/>
        </w:rPr>
        <w:t>元</w:t>
      </w:r>
    </w:p>
    <w:p w14:paraId="29B84118">
      <w:pPr>
        <w:keepNext w:val="0"/>
        <w:keepLines w:val="0"/>
        <w:pageBreakBefore w:val="0"/>
        <w:widowControl/>
        <w:shd w:val="clear" w:color="auto" w:fill="FFFFFF"/>
        <w:kinsoku/>
        <w:wordWrap w:val="0"/>
        <w:overflowPunct/>
        <w:topLinePunct w:val="0"/>
        <w:autoSpaceDE/>
        <w:autoSpaceDN/>
        <w:bidi w:val="0"/>
        <w:adjustRightInd/>
        <w:snapToGrid/>
        <w:spacing w:line="356" w:lineRule="auto"/>
        <w:ind w:firstLine="526"/>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合同包最高限价：</w:t>
      </w:r>
      <w:r>
        <w:rPr>
          <w:rFonts w:hint="eastAsia" w:ascii="宋体" w:hAnsi="宋体" w:eastAsia="宋体" w:cs="宋体"/>
          <w:color w:val="333333"/>
          <w:kern w:val="0"/>
          <w:sz w:val="24"/>
          <w:szCs w:val="24"/>
          <w:highlight w:val="none"/>
          <w:lang w:val="en-US" w:eastAsia="zh-CN"/>
        </w:rPr>
        <w:t>404,700.00</w:t>
      </w:r>
      <w:r>
        <w:rPr>
          <w:rFonts w:hint="eastAsia" w:ascii="宋体" w:hAnsi="宋体" w:eastAsia="宋体" w:cs="宋体"/>
          <w:color w:val="333333"/>
          <w:kern w:val="0"/>
          <w:sz w:val="24"/>
          <w:szCs w:val="24"/>
          <w:highlight w:val="none"/>
        </w:rPr>
        <w:t>元</w:t>
      </w:r>
    </w:p>
    <w:tbl>
      <w:tblPr>
        <w:tblStyle w:val="21"/>
        <w:tblW w:w="4968" w:type="pct"/>
        <w:tblInd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0" w:type="dxa"/>
          <w:left w:w="0" w:type="dxa"/>
          <w:bottom w:w="0" w:type="dxa"/>
          <w:right w:w="0" w:type="dxa"/>
        </w:tblCellMar>
      </w:tblPr>
      <w:tblGrid>
        <w:gridCol w:w="569"/>
        <w:gridCol w:w="909"/>
        <w:gridCol w:w="2432"/>
        <w:gridCol w:w="862"/>
        <w:gridCol w:w="1376"/>
        <w:gridCol w:w="1424"/>
        <w:gridCol w:w="1425"/>
      </w:tblGrid>
      <w:tr w14:paraId="27EC7A3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728" w:hRule="atLeast"/>
          <w:tblHeader/>
        </w:trPr>
        <w:tc>
          <w:tcPr>
            <w:tcW w:w="570" w:type="dxa"/>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1ADF3CE2">
            <w:pPr>
              <w:keepNext w:val="0"/>
              <w:keepLines w:val="0"/>
              <w:pageBreakBefore w:val="0"/>
              <w:widowControl/>
              <w:kinsoku/>
              <w:wordWrap w:val="0"/>
              <w:overflowPunct/>
              <w:topLinePunct w:val="0"/>
              <w:autoSpaceDE/>
              <w:autoSpaceDN/>
              <w:bidi w:val="0"/>
              <w:adjustRightInd/>
              <w:snapToGrid/>
              <w:spacing w:line="356" w:lineRule="auto"/>
              <w:jc w:val="center"/>
              <w:textAlignment w:val="auto"/>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品目号</w:t>
            </w:r>
          </w:p>
        </w:tc>
        <w:tc>
          <w:tcPr>
            <w:tcW w:w="911" w:type="dxa"/>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1132A0B0">
            <w:pPr>
              <w:keepNext w:val="0"/>
              <w:keepLines w:val="0"/>
              <w:pageBreakBefore w:val="0"/>
              <w:widowControl/>
              <w:kinsoku/>
              <w:wordWrap w:val="0"/>
              <w:overflowPunct/>
              <w:topLinePunct w:val="0"/>
              <w:autoSpaceDE/>
              <w:autoSpaceDN/>
              <w:bidi w:val="0"/>
              <w:adjustRightInd/>
              <w:snapToGrid/>
              <w:spacing w:line="356" w:lineRule="auto"/>
              <w:jc w:val="center"/>
              <w:textAlignment w:val="auto"/>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品目名称</w:t>
            </w:r>
          </w:p>
        </w:tc>
        <w:tc>
          <w:tcPr>
            <w:tcW w:w="2440" w:type="dxa"/>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1DC72592">
            <w:pPr>
              <w:keepNext w:val="0"/>
              <w:keepLines w:val="0"/>
              <w:pageBreakBefore w:val="0"/>
              <w:widowControl/>
              <w:kinsoku/>
              <w:wordWrap w:val="0"/>
              <w:overflowPunct/>
              <w:topLinePunct w:val="0"/>
              <w:autoSpaceDE/>
              <w:autoSpaceDN/>
              <w:bidi w:val="0"/>
              <w:adjustRightInd/>
              <w:snapToGrid/>
              <w:spacing w:line="356" w:lineRule="auto"/>
              <w:jc w:val="center"/>
              <w:textAlignment w:val="auto"/>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采购标的</w:t>
            </w:r>
          </w:p>
        </w:tc>
        <w:tc>
          <w:tcPr>
            <w:tcW w:w="863" w:type="dxa"/>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21411F94">
            <w:pPr>
              <w:keepNext w:val="0"/>
              <w:keepLines w:val="0"/>
              <w:pageBreakBefore w:val="0"/>
              <w:widowControl/>
              <w:kinsoku/>
              <w:wordWrap w:val="0"/>
              <w:overflowPunct/>
              <w:topLinePunct w:val="0"/>
              <w:autoSpaceDE/>
              <w:autoSpaceDN/>
              <w:bidi w:val="0"/>
              <w:adjustRightInd/>
              <w:snapToGrid/>
              <w:spacing w:line="356" w:lineRule="auto"/>
              <w:jc w:val="center"/>
              <w:textAlignment w:val="auto"/>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数量（单位）</w:t>
            </w:r>
          </w:p>
        </w:tc>
        <w:tc>
          <w:tcPr>
            <w:tcW w:w="1379" w:type="dxa"/>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716AF854">
            <w:pPr>
              <w:keepNext w:val="0"/>
              <w:keepLines w:val="0"/>
              <w:pageBreakBefore w:val="0"/>
              <w:widowControl/>
              <w:kinsoku/>
              <w:wordWrap w:val="0"/>
              <w:overflowPunct/>
              <w:topLinePunct w:val="0"/>
              <w:autoSpaceDE/>
              <w:autoSpaceDN/>
              <w:bidi w:val="0"/>
              <w:adjustRightInd/>
              <w:snapToGrid/>
              <w:spacing w:line="356" w:lineRule="auto"/>
              <w:jc w:val="center"/>
              <w:textAlignment w:val="auto"/>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技术规格、参数及要求</w:t>
            </w:r>
          </w:p>
        </w:tc>
        <w:tc>
          <w:tcPr>
            <w:tcW w:w="1424" w:type="dxa"/>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585D9464">
            <w:pPr>
              <w:keepNext w:val="0"/>
              <w:keepLines w:val="0"/>
              <w:pageBreakBefore w:val="0"/>
              <w:widowControl/>
              <w:kinsoku/>
              <w:wordWrap w:val="0"/>
              <w:overflowPunct/>
              <w:topLinePunct w:val="0"/>
              <w:autoSpaceDE/>
              <w:autoSpaceDN/>
              <w:bidi w:val="0"/>
              <w:adjustRightInd/>
              <w:snapToGrid/>
              <w:spacing w:line="356" w:lineRule="auto"/>
              <w:jc w:val="center"/>
              <w:textAlignment w:val="auto"/>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品目预算(元)</w:t>
            </w:r>
          </w:p>
        </w:tc>
        <w:tc>
          <w:tcPr>
            <w:tcW w:w="1425" w:type="dxa"/>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519C52F5">
            <w:pPr>
              <w:keepNext w:val="0"/>
              <w:keepLines w:val="0"/>
              <w:pageBreakBefore w:val="0"/>
              <w:widowControl/>
              <w:kinsoku/>
              <w:wordWrap w:val="0"/>
              <w:overflowPunct/>
              <w:topLinePunct w:val="0"/>
              <w:autoSpaceDE/>
              <w:autoSpaceDN/>
              <w:bidi w:val="0"/>
              <w:adjustRightInd/>
              <w:snapToGrid/>
              <w:spacing w:line="356" w:lineRule="auto"/>
              <w:jc w:val="center"/>
              <w:textAlignment w:val="auto"/>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最高限价(元)</w:t>
            </w:r>
          </w:p>
        </w:tc>
      </w:tr>
      <w:tr w14:paraId="4B537A6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01" w:hRule="atLeast"/>
        </w:trPr>
        <w:tc>
          <w:tcPr>
            <w:tcW w:w="0" w:type="auto"/>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4351AEF5">
            <w:pPr>
              <w:keepNext w:val="0"/>
              <w:keepLines w:val="0"/>
              <w:pageBreakBefore w:val="0"/>
              <w:widowControl/>
              <w:kinsoku/>
              <w:wordWrap w:val="0"/>
              <w:overflowPunct/>
              <w:topLinePunct w:val="0"/>
              <w:autoSpaceDE/>
              <w:autoSpaceDN/>
              <w:bidi w:val="0"/>
              <w:adjustRightInd/>
              <w:snapToGrid/>
              <w:spacing w:line="356" w:lineRule="auto"/>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w:t>
            </w:r>
          </w:p>
        </w:tc>
        <w:tc>
          <w:tcPr>
            <w:tcW w:w="911" w:type="dxa"/>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5870C132">
            <w:pPr>
              <w:keepNext w:val="0"/>
              <w:keepLines w:val="0"/>
              <w:pageBreakBefore w:val="0"/>
              <w:widowControl/>
              <w:kinsoku/>
              <w:wordWrap w:val="0"/>
              <w:overflowPunct/>
              <w:topLinePunct w:val="0"/>
              <w:autoSpaceDE/>
              <w:autoSpaceDN/>
              <w:bidi w:val="0"/>
              <w:adjustRightInd/>
              <w:snapToGrid/>
              <w:spacing w:line="356" w:lineRule="auto"/>
              <w:jc w:val="center"/>
              <w:textAlignment w:val="auto"/>
              <w:rPr>
                <w:rFonts w:hint="default"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其他医疗设备</w:t>
            </w:r>
          </w:p>
        </w:tc>
        <w:tc>
          <w:tcPr>
            <w:tcW w:w="2440" w:type="dxa"/>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6291F37B">
            <w:pPr>
              <w:keepNext w:val="0"/>
              <w:keepLines w:val="0"/>
              <w:pageBreakBefore w:val="0"/>
              <w:widowControl/>
              <w:kinsoku/>
              <w:wordWrap w:val="0"/>
              <w:overflowPunct/>
              <w:topLinePunct w:val="0"/>
              <w:autoSpaceDE/>
              <w:autoSpaceDN/>
              <w:bidi w:val="0"/>
              <w:adjustRightInd/>
              <w:snapToGrid/>
              <w:spacing w:line="356" w:lineRule="auto"/>
              <w:jc w:val="center"/>
              <w:textAlignment w:val="auto"/>
              <w:rPr>
                <w:rFonts w:hint="default"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宜川县云岩中心卫生院县域医疗次中心建设项目（三次）</w:t>
            </w:r>
          </w:p>
        </w:tc>
        <w:tc>
          <w:tcPr>
            <w:tcW w:w="863" w:type="dxa"/>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26FAC71F">
            <w:pPr>
              <w:keepNext w:val="0"/>
              <w:keepLines w:val="0"/>
              <w:pageBreakBefore w:val="0"/>
              <w:widowControl/>
              <w:kinsoku/>
              <w:wordWrap w:val="0"/>
              <w:overflowPunct/>
              <w:topLinePunct w:val="0"/>
              <w:autoSpaceDE/>
              <w:autoSpaceDN/>
              <w:bidi w:val="0"/>
              <w:adjustRightInd/>
              <w:snapToGrid/>
              <w:spacing w:line="356" w:lineRule="auto"/>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1(批)</w:t>
            </w:r>
          </w:p>
        </w:tc>
        <w:tc>
          <w:tcPr>
            <w:tcW w:w="1379" w:type="dxa"/>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798EECEB">
            <w:pPr>
              <w:keepNext w:val="0"/>
              <w:keepLines w:val="0"/>
              <w:pageBreakBefore w:val="0"/>
              <w:widowControl/>
              <w:kinsoku/>
              <w:wordWrap w:val="0"/>
              <w:overflowPunct/>
              <w:topLinePunct w:val="0"/>
              <w:autoSpaceDE/>
              <w:autoSpaceDN/>
              <w:bidi w:val="0"/>
              <w:adjustRightInd/>
              <w:snapToGrid/>
              <w:spacing w:line="356" w:lineRule="auto"/>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详见采购文件</w:t>
            </w:r>
          </w:p>
        </w:tc>
        <w:tc>
          <w:tcPr>
            <w:tcW w:w="0" w:type="auto"/>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46F04D6D">
            <w:pPr>
              <w:keepNext w:val="0"/>
              <w:keepLines w:val="0"/>
              <w:pageBreakBefore w:val="0"/>
              <w:widowControl/>
              <w:kinsoku/>
              <w:overflowPunct/>
              <w:topLinePunct w:val="0"/>
              <w:autoSpaceDE/>
              <w:autoSpaceDN/>
              <w:bidi w:val="0"/>
              <w:adjustRightInd/>
              <w:snapToGrid/>
              <w:spacing w:line="356" w:lineRule="auto"/>
              <w:jc w:val="righ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404,700.00</w:t>
            </w:r>
          </w:p>
        </w:tc>
        <w:tc>
          <w:tcPr>
            <w:tcW w:w="0" w:type="auto"/>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54833D4C">
            <w:pPr>
              <w:keepNext w:val="0"/>
              <w:keepLines w:val="0"/>
              <w:pageBreakBefore w:val="0"/>
              <w:widowControl/>
              <w:kinsoku/>
              <w:overflowPunct/>
              <w:topLinePunct w:val="0"/>
              <w:autoSpaceDE/>
              <w:autoSpaceDN/>
              <w:bidi w:val="0"/>
              <w:adjustRightInd/>
              <w:snapToGrid/>
              <w:spacing w:line="356" w:lineRule="auto"/>
              <w:jc w:val="righ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404,700.00</w:t>
            </w:r>
          </w:p>
        </w:tc>
      </w:tr>
    </w:tbl>
    <w:p w14:paraId="0B532496">
      <w:pPr>
        <w:keepNext w:val="0"/>
        <w:keepLines w:val="0"/>
        <w:pageBreakBefore w:val="0"/>
        <w:widowControl/>
        <w:shd w:val="clear" w:color="auto" w:fill="FFFFFF"/>
        <w:kinsoku/>
        <w:wordWrap w:val="0"/>
        <w:overflowPunct/>
        <w:topLinePunct w:val="0"/>
        <w:autoSpaceDE/>
        <w:autoSpaceDN/>
        <w:bidi w:val="0"/>
        <w:adjustRightInd/>
        <w:snapToGrid/>
        <w:spacing w:line="356" w:lineRule="auto"/>
        <w:ind w:firstLine="526"/>
        <w:textAlignment w:val="auto"/>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rPr>
        <w:t>本合同包不接受联合体</w:t>
      </w:r>
      <w:r>
        <w:rPr>
          <w:rFonts w:hint="eastAsia" w:ascii="宋体" w:hAnsi="宋体" w:eastAsia="宋体" w:cs="宋体"/>
          <w:color w:val="333333"/>
          <w:kern w:val="0"/>
          <w:sz w:val="24"/>
          <w:szCs w:val="24"/>
          <w:highlight w:val="none"/>
          <w:lang w:val="en-US" w:eastAsia="zh-CN"/>
        </w:rPr>
        <w:t>谈判</w:t>
      </w:r>
    </w:p>
    <w:p w14:paraId="2A28F107">
      <w:pPr>
        <w:keepNext w:val="0"/>
        <w:keepLines w:val="0"/>
        <w:pageBreakBefore w:val="0"/>
        <w:widowControl/>
        <w:shd w:val="clear" w:color="auto" w:fill="FFFFFF"/>
        <w:kinsoku/>
        <w:wordWrap w:val="0"/>
        <w:overflowPunct/>
        <w:topLinePunct w:val="0"/>
        <w:autoSpaceDE/>
        <w:autoSpaceDN/>
        <w:bidi w:val="0"/>
        <w:adjustRightInd/>
        <w:snapToGrid/>
        <w:spacing w:line="356" w:lineRule="auto"/>
        <w:ind w:firstLine="526"/>
        <w:textAlignment w:val="auto"/>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rPr>
        <w:t>合同履行期限：</w:t>
      </w:r>
      <w:r>
        <w:rPr>
          <w:rFonts w:hint="eastAsia" w:ascii="宋体" w:hAnsi="宋体" w:eastAsia="宋体" w:cs="宋体"/>
          <w:color w:val="333333"/>
          <w:kern w:val="0"/>
          <w:sz w:val="24"/>
          <w:szCs w:val="24"/>
          <w:highlight w:val="none"/>
          <w:lang w:val="en-US" w:eastAsia="zh-CN"/>
        </w:rPr>
        <w:t>自合同签订之日起60日历天</w:t>
      </w:r>
    </w:p>
    <w:p w14:paraId="7DC74646">
      <w:pPr>
        <w:keepNext w:val="0"/>
        <w:keepLines w:val="0"/>
        <w:pageBreakBefore w:val="0"/>
        <w:widowControl/>
        <w:shd w:val="clear" w:color="auto" w:fill="FFFFFF"/>
        <w:kinsoku/>
        <w:wordWrap w:val="0"/>
        <w:overflowPunct/>
        <w:topLinePunct w:val="0"/>
        <w:autoSpaceDE/>
        <w:autoSpaceDN/>
        <w:bidi w:val="0"/>
        <w:adjustRightInd/>
        <w:snapToGrid/>
        <w:spacing w:line="356" w:lineRule="auto"/>
        <w:ind w:firstLine="526"/>
        <w:textAlignment w:val="auto"/>
        <w:rPr>
          <w:rFonts w:hint="eastAsia" w:ascii="宋体" w:hAnsi="宋体" w:eastAsia="宋体" w:cs="宋体"/>
          <w:color w:val="333333"/>
          <w:kern w:val="0"/>
          <w:sz w:val="24"/>
          <w:szCs w:val="24"/>
          <w:highlight w:val="none"/>
        </w:rPr>
      </w:pPr>
      <w:r>
        <w:rPr>
          <w:rFonts w:hint="eastAsia" w:ascii="宋体" w:hAnsi="宋体" w:eastAsia="宋体" w:cs="宋体"/>
          <w:b/>
          <w:bCs/>
          <w:color w:val="333333"/>
          <w:kern w:val="0"/>
          <w:sz w:val="24"/>
          <w:szCs w:val="24"/>
          <w:highlight w:val="none"/>
        </w:rPr>
        <w:t>二、申请人的资格要求：</w:t>
      </w:r>
    </w:p>
    <w:p w14:paraId="4FDB101A">
      <w:pPr>
        <w:keepNext w:val="0"/>
        <w:keepLines w:val="0"/>
        <w:pageBreakBefore w:val="0"/>
        <w:widowControl/>
        <w:shd w:val="clear" w:color="auto" w:fill="FFFFFF"/>
        <w:kinsoku/>
        <w:wordWrap w:val="0"/>
        <w:overflowPunct/>
        <w:topLinePunct w:val="0"/>
        <w:autoSpaceDE/>
        <w:autoSpaceDN/>
        <w:bidi w:val="0"/>
        <w:adjustRightInd/>
        <w:snapToGrid/>
        <w:spacing w:line="356" w:lineRule="auto"/>
        <w:ind w:firstLine="401"/>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1.满足《中华人民共和国政府采购法》第二十二条规定;</w:t>
      </w:r>
    </w:p>
    <w:p w14:paraId="196E56B4">
      <w:pPr>
        <w:keepNext w:val="0"/>
        <w:keepLines w:val="0"/>
        <w:pageBreakBefore w:val="0"/>
        <w:widowControl/>
        <w:shd w:val="clear" w:color="auto" w:fill="FFFFFF"/>
        <w:kinsoku/>
        <w:wordWrap w:val="0"/>
        <w:overflowPunct/>
        <w:topLinePunct w:val="0"/>
        <w:autoSpaceDE/>
        <w:autoSpaceDN/>
        <w:bidi w:val="0"/>
        <w:adjustRightInd/>
        <w:snapToGrid/>
        <w:spacing w:line="356" w:lineRule="auto"/>
        <w:ind w:firstLine="401"/>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2.落实政府采购政策需满足的资格要求：</w:t>
      </w:r>
    </w:p>
    <w:p w14:paraId="5A328071">
      <w:pPr>
        <w:keepNext w:val="0"/>
        <w:keepLines w:val="0"/>
        <w:pageBreakBefore w:val="0"/>
        <w:widowControl/>
        <w:shd w:val="clear" w:color="auto" w:fill="FFFFFF"/>
        <w:kinsoku/>
        <w:wordWrap w:val="0"/>
        <w:overflowPunct/>
        <w:topLinePunct w:val="0"/>
        <w:autoSpaceDE/>
        <w:autoSpaceDN/>
        <w:bidi w:val="0"/>
        <w:adjustRightInd/>
        <w:snapToGrid/>
        <w:spacing w:line="356" w:lineRule="auto"/>
        <w:ind w:firstLine="401"/>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合同包1(</w:t>
      </w:r>
      <w:r>
        <w:rPr>
          <w:rFonts w:hint="eastAsia" w:ascii="宋体" w:hAnsi="宋体" w:eastAsia="宋体" w:cs="宋体"/>
          <w:color w:val="333333"/>
          <w:kern w:val="0"/>
          <w:sz w:val="24"/>
          <w:szCs w:val="24"/>
          <w:highlight w:val="none"/>
          <w:lang w:eastAsia="zh-CN"/>
        </w:rPr>
        <w:t>宜川县云岩中心卫生院县域医疗次中心建设项目（三次）</w:t>
      </w:r>
      <w:r>
        <w:rPr>
          <w:rFonts w:hint="eastAsia" w:ascii="宋体" w:hAnsi="宋体" w:eastAsia="宋体" w:cs="宋体"/>
          <w:color w:val="333333"/>
          <w:kern w:val="0"/>
          <w:sz w:val="24"/>
          <w:szCs w:val="24"/>
          <w:highlight w:val="none"/>
        </w:rPr>
        <w:t>)</w:t>
      </w:r>
      <w:bookmarkStart w:id="5" w:name="OLE_LINK8"/>
      <w:r>
        <w:rPr>
          <w:rFonts w:hint="eastAsia" w:ascii="宋体" w:hAnsi="宋体" w:eastAsia="宋体" w:cs="宋体"/>
          <w:color w:val="333333"/>
          <w:kern w:val="0"/>
          <w:sz w:val="24"/>
          <w:szCs w:val="24"/>
          <w:highlight w:val="none"/>
        </w:rPr>
        <w:t>落实政府采购政策需满足的资格要求如下:</w:t>
      </w:r>
    </w:p>
    <w:bookmarkEnd w:id="5"/>
    <w:p w14:paraId="012D9A54">
      <w:pPr>
        <w:keepNext w:val="0"/>
        <w:keepLines w:val="0"/>
        <w:pageBreakBefore w:val="0"/>
        <w:widowControl/>
        <w:numPr>
          <w:ilvl w:val="0"/>
          <w:numId w:val="0"/>
        </w:numPr>
        <w:shd w:val="clear" w:color="auto" w:fill="FFFFFF"/>
        <w:kinsoku/>
        <w:wordWrap w:val="0"/>
        <w:overflowPunct/>
        <w:topLinePunct w:val="0"/>
        <w:autoSpaceDE/>
        <w:autoSpaceDN/>
        <w:bidi w:val="0"/>
        <w:adjustRightInd/>
        <w:snapToGrid/>
        <w:spacing w:line="356" w:lineRule="auto"/>
        <w:ind w:firstLine="480" w:firstLineChars="200"/>
        <w:textAlignment w:val="auto"/>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依据《中华人民共和国政府采购法》和《中华人民共和国政府采购法实施条例》的有关规定，落实政府采购政策：</w:t>
      </w:r>
    </w:p>
    <w:p w14:paraId="791DC364">
      <w:pPr>
        <w:keepNext w:val="0"/>
        <w:keepLines w:val="0"/>
        <w:pageBreakBefore w:val="0"/>
        <w:widowControl/>
        <w:numPr>
          <w:ilvl w:val="0"/>
          <w:numId w:val="0"/>
        </w:numPr>
        <w:shd w:val="clear" w:color="auto" w:fill="FFFFFF"/>
        <w:kinsoku/>
        <w:wordWrap w:val="0"/>
        <w:overflowPunct/>
        <w:topLinePunct w:val="0"/>
        <w:autoSpaceDE/>
        <w:autoSpaceDN/>
        <w:bidi w:val="0"/>
        <w:adjustRightInd/>
        <w:snapToGrid/>
        <w:spacing w:line="356" w:lineRule="auto"/>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1</w:t>
      </w:r>
      <w:r>
        <w:rPr>
          <w:rFonts w:hint="eastAsia" w:ascii="宋体" w:hAnsi="宋体" w:eastAsia="宋体" w:cs="宋体"/>
          <w:color w:val="333333"/>
          <w:kern w:val="0"/>
          <w:sz w:val="24"/>
          <w:szCs w:val="24"/>
          <w:highlight w:val="none"/>
          <w:lang w:eastAsia="zh-CN"/>
        </w:rPr>
        <w:t>、</w:t>
      </w:r>
      <w:r>
        <w:rPr>
          <w:rFonts w:hint="eastAsia" w:ascii="宋体" w:hAnsi="宋体" w:eastAsia="宋体" w:cs="宋体"/>
          <w:color w:val="333333"/>
          <w:kern w:val="0"/>
          <w:sz w:val="24"/>
          <w:szCs w:val="24"/>
          <w:highlight w:val="none"/>
        </w:rPr>
        <w:t>《财政部工业和信息化部关于印发〈政府采购促进中小企业发展管理办法〉的通知》（财库〔2020〕46号）；</w:t>
      </w:r>
      <w:r>
        <w:rPr>
          <w:rFonts w:hint="eastAsia" w:ascii="宋体" w:hAnsi="宋体" w:eastAsia="宋体" w:cs="宋体"/>
          <w:color w:val="333333"/>
          <w:kern w:val="0"/>
          <w:sz w:val="24"/>
          <w:szCs w:val="24"/>
          <w:highlight w:val="none"/>
        </w:rPr>
        <w:br w:type="textWrapping"/>
      </w:r>
      <w:r>
        <w:rPr>
          <w:rFonts w:hint="eastAsia" w:ascii="宋体" w:hAnsi="宋体" w:eastAsia="宋体" w:cs="宋体"/>
          <w:color w:val="333333"/>
          <w:kern w:val="0"/>
          <w:sz w:val="24"/>
          <w:szCs w:val="24"/>
          <w:highlight w:val="none"/>
        </w:rPr>
        <w:t>2</w:t>
      </w:r>
      <w:r>
        <w:rPr>
          <w:rFonts w:hint="eastAsia" w:ascii="宋体" w:hAnsi="宋体" w:eastAsia="宋体" w:cs="宋体"/>
          <w:color w:val="333333"/>
          <w:kern w:val="0"/>
          <w:sz w:val="24"/>
          <w:szCs w:val="24"/>
          <w:highlight w:val="none"/>
          <w:lang w:eastAsia="zh-CN"/>
        </w:rPr>
        <w:t>、</w:t>
      </w:r>
      <w:r>
        <w:rPr>
          <w:rFonts w:hint="eastAsia" w:ascii="宋体" w:hAnsi="宋体" w:eastAsia="宋体" w:cs="宋体"/>
          <w:color w:val="333333"/>
          <w:kern w:val="0"/>
          <w:sz w:val="24"/>
          <w:szCs w:val="24"/>
          <w:highlight w:val="none"/>
        </w:rPr>
        <w:t>陕西省财政厅关于印发《陕西省中小企业政府采购信用融资办法》（陕财办采〔2018〕23号）；</w:t>
      </w:r>
      <w:r>
        <w:rPr>
          <w:rFonts w:hint="eastAsia" w:ascii="宋体" w:hAnsi="宋体" w:eastAsia="宋体" w:cs="宋体"/>
          <w:color w:val="333333"/>
          <w:kern w:val="0"/>
          <w:sz w:val="24"/>
          <w:szCs w:val="24"/>
          <w:highlight w:val="none"/>
        </w:rPr>
        <w:br w:type="textWrapping"/>
      </w:r>
      <w:r>
        <w:rPr>
          <w:rFonts w:hint="eastAsia" w:ascii="宋体" w:hAnsi="宋体" w:eastAsia="宋体" w:cs="宋体"/>
          <w:color w:val="333333"/>
          <w:kern w:val="0"/>
          <w:sz w:val="24"/>
          <w:szCs w:val="24"/>
          <w:highlight w:val="none"/>
        </w:rPr>
        <w:t>3</w:t>
      </w:r>
      <w:r>
        <w:rPr>
          <w:rFonts w:hint="eastAsia" w:ascii="宋体" w:hAnsi="宋体" w:eastAsia="宋体" w:cs="宋体"/>
          <w:color w:val="333333"/>
          <w:kern w:val="0"/>
          <w:sz w:val="24"/>
          <w:szCs w:val="24"/>
          <w:highlight w:val="none"/>
          <w:lang w:eastAsia="zh-CN"/>
        </w:rPr>
        <w:t>、</w:t>
      </w:r>
      <w:r>
        <w:rPr>
          <w:rFonts w:hint="eastAsia" w:ascii="宋体" w:hAnsi="宋体" w:eastAsia="宋体" w:cs="宋体"/>
          <w:color w:val="333333"/>
          <w:kern w:val="0"/>
          <w:sz w:val="24"/>
          <w:szCs w:val="24"/>
          <w:highlight w:val="none"/>
        </w:rPr>
        <w:t>《财政部司法部关于政府采购支持监狱企业发展有关问题的通知》（财库〔2014〕68号）；</w:t>
      </w:r>
      <w:r>
        <w:rPr>
          <w:rFonts w:hint="eastAsia" w:ascii="宋体" w:hAnsi="宋体" w:eastAsia="宋体" w:cs="宋体"/>
          <w:color w:val="333333"/>
          <w:kern w:val="0"/>
          <w:sz w:val="24"/>
          <w:szCs w:val="24"/>
          <w:highlight w:val="none"/>
        </w:rPr>
        <w:br w:type="textWrapping"/>
      </w:r>
      <w:r>
        <w:rPr>
          <w:rFonts w:hint="eastAsia" w:ascii="宋体" w:hAnsi="宋体" w:eastAsia="宋体" w:cs="宋体"/>
          <w:color w:val="333333"/>
          <w:kern w:val="0"/>
          <w:sz w:val="24"/>
          <w:szCs w:val="24"/>
          <w:highlight w:val="none"/>
        </w:rPr>
        <w:t>4</w:t>
      </w:r>
      <w:r>
        <w:rPr>
          <w:rFonts w:hint="eastAsia" w:ascii="宋体" w:hAnsi="宋体" w:eastAsia="宋体" w:cs="宋体"/>
          <w:color w:val="333333"/>
          <w:kern w:val="0"/>
          <w:sz w:val="24"/>
          <w:szCs w:val="24"/>
          <w:highlight w:val="none"/>
          <w:lang w:eastAsia="zh-CN"/>
        </w:rPr>
        <w:t>、</w:t>
      </w:r>
      <w:r>
        <w:rPr>
          <w:rFonts w:hint="eastAsia" w:ascii="宋体" w:hAnsi="宋体" w:eastAsia="宋体" w:cs="宋体"/>
          <w:color w:val="333333"/>
          <w:kern w:val="0"/>
          <w:sz w:val="24"/>
          <w:szCs w:val="24"/>
          <w:highlight w:val="none"/>
        </w:rPr>
        <w:t>《国务院办公厅关于建立政府强制采购节能产品制度的通知》（国办发〔2007〕51号）；</w:t>
      </w:r>
      <w:r>
        <w:rPr>
          <w:rFonts w:hint="eastAsia" w:ascii="宋体" w:hAnsi="宋体" w:eastAsia="宋体" w:cs="宋体"/>
          <w:color w:val="333333"/>
          <w:kern w:val="0"/>
          <w:sz w:val="24"/>
          <w:szCs w:val="24"/>
          <w:highlight w:val="none"/>
        </w:rPr>
        <w:br w:type="textWrapping"/>
      </w:r>
      <w:r>
        <w:rPr>
          <w:rFonts w:hint="eastAsia" w:ascii="宋体" w:hAnsi="宋体" w:eastAsia="宋体" w:cs="宋体"/>
          <w:color w:val="333333"/>
          <w:kern w:val="0"/>
          <w:sz w:val="24"/>
          <w:szCs w:val="24"/>
          <w:highlight w:val="none"/>
        </w:rPr>
        <w:t>5</w:t>
      </w:r>
      <w:r>
        <w:rPr>
          <w:rFonts w:hint="eastAsia" w:ascii="宋体" w:hAnsi="宋体" w:eastAsia="宋体" w:cs="宋体"/>
          <w:color w:val="333333"/>
          <w:kern w:val="0"/>
          <w:sz w:val="24"/>
          <w:szCs w:val="24"/>
          <w:highlight w:val="none"/>
          <w:lang w:eastAsia="zh-CN"/>
        </w:rPr>
        <w:t>、</w:t>
      </w:r>
      <w:r>
        <w:rPr>
          <w:rFonts w:hint="eastAsia" w:ascii="宋体" w:hAnsi="宋体" w:eastAsia="宋体" w:cs="宋体"/>
          <w:color w:val="333333"/>
          <w:kern w:val="0"/>
          <w:sz w:val="24"/>
          <w:szCs w:val="24"/>
          <w:highlight w:val="none"/>
        </w:rPr>
        <w:t>《三部门联合发布关于促进残疾人就业政府采购政策的通知》（财库〔2017〕141号）。</w:t>
      </w:r>
      <w:r>
        <w:rPr>
          <w:rFonts w:hint="eastAsia" w:ascii="宋体" w:hAnsi="宋体" w:eastAsia="宋体" w:cs="宋体"/>
          <w:color w:val="333333"/>
          <w:kern w:val="0"/>
          <w:sz w:val="24"/>
          <w:szCs w:val="24"/>
          <w:highlight w:val="none"/>
        </w:rPr>
        <w:br w:type="textWrapping"/>
      </w:r>
      <w:r>
        <w:rPr>
          <w:rFonts w:hint="eastAsia" w:ascii="宋体" w:hAnsi="宋体" w:eastAsia="宋体" w:cs="宋体"/>
          <w:color w:val="333333"/>
          <w:kern w:val="0"/>
          <w:sz w:val="24"/>
          <w:szCs w:val="24"/>
          <w:highlight w:val="none"/>
        </w:rPr>
        <w:t>6</w:t>
      </w:r>
      <w:r>
        <w:rPr>
          <w:rFonts w:hint="eastAsia" w:ascii="宋体" w:hAnsi="宋体" w:eastAsia="宋体" w:cs="宋体"/>
          <w:color w:val="333333"/>
          <w:kern w:val="0"/>
          <w:sz w:val="24"/>
          <w:szCs w:val="24"/>
          <w:highlight w:val="none"/>
          <w:lang w:eastAsia="zh-CN"/>
        </w:rPr>
        <w:t>、</w:t>
      </w:r>
      <w:r>
        <w:rPr>
          <w:rFonts w:hint="eastAsia" w:ascii="宋体" w:hAnsi="宋体" w:eastAsia="宋体" w:cs="宋体"/>
          <w:color w:val="333333"/>
          <w:kern w:val="0"/>
          <w:sz w:val="24"/>
          <w:szCs w:val="24"/>
          <w:highlight w:val="none"/>
        </w:rPr>
        <w:t>《财政部发展改革委生态环境部市场监管总局关于调整优化节能产品、环境标志产品政府采购执行机制的通知》（财库〔2019〕9号）；</w:t>
      </w:r>
      <w:r>
        <w:rPr>
          <w:rFonts w:hint="eastAsia" w:ascii="宋体" w:hAnsi="宋体" w:eastAsia="宋体" w:cs="宋体"/>
          <w:color w:val="333333"/>
          <w:kern w:val="0"/>
          <w:sz w:val="24"/>
          <w:szCs w:val="24"/>
          <w:highlight w:val="none"/>
        </w:rPr>
        <w:br w:type="textWrapping"/>
      </w:r>
      <w:r>
        <w:rPr>
          <w:rFonts w:hint="eastAsia" w:ascii="宋体" w:hAnsi="宋体" w:eastAsia="宋体" w:cs="宋体"/>
          <w:color w:val="333333"/>
          <w:kern w:val="0"/>
          <w:sz w:val="24"/>
          <w:szCs w:val="24"/>
          <w:highlight w:val="none"/>
        </w:rPr>
        <w:t>7</w:t>
      </w:r>
      <w:r>
        <w:rPr>
          <w:rFonts w:hint="eastAsia" w:ascii="宋体" w:hAnsi="宋体" w:eastAsia="宋体" w:cs="宋体"/>
          <w:color w:val="333333"/>
          <w:kern w:val="0"/>
          <w:sz w:val="24"/>
          <w:szCs w:val="24"/>
          <w:highlight w:val="none"/>
          <w:lang w:eastAsia="zh-CN"/>
        </w:rPr>
        <w:t>、</w:t>
      </w:r>
      <w:r>
        <w:rPr>
          <w:rFonts w:hint="eastAsia" w:ascii="宋体" w:hAnsi="宋体" w:eastAsia="宋体" w:cs="宋体"/>
          <w:color w:val="333333"/>
          <w:kern w:val="0"/>
          <w:sz w:val="24"/>
          <w:szCs w:val="24"/>
          <w:highlight w:val="none"/>
        </w:rPr>
        <w:t>《陕西省财政厅关于加快推进我省中小企业政府采购信用融资工作的通知》（陕财办采〔2020〕15号）</w:t>
      </w:r>
      <w:r>
        <w:rPr>
          <w:rFonts w:hint="eastAsia" w:ascii="宋体" w:hAnsi="宋体" w:eastAsia="宋体" w:cs="宋体"/>
          <w:color w:val="333333"/>
          <w:kern w:val="0"/>
          <w:sz w:val="24"/>
          <w:szCs w:val="24"/>
          <w:highlight w:val="none"/>
        </w:rPr>
        <w:br w:type="textWrapping"/>
      </w:r>
      <w:r>
        <w:rPr>
          <w:rFonts w:hint="eastAsia" w:ascii="宋体" w:hAnsi="宋体" w:eastAsia="宋体" w:cs="宋体"/>
          <w:color w:val="333333"/>
          <w:kern w:val="0"/>
          <w:sz w:val="24"/>
          <w:szCs w:val="24"/>
          <w:highlight w:val="none"/>
        </w:rPr>
        <w:t>8</w:t>
      </w:r>
      <w:r>
        <w:rPr>
          <w:rFonts w:hint="eastAsia" w:ascii="宋体" w:hAnsi="宋体" w:eastAsia="宋体" w:cs="宋体"/>
          <w:color w:val="333333"/>
          <w:kern w:val="0"/>
          <w:sz w:val="24"/>
          <w:szCs w:val="24"/>
          <w:highlight w:val="none"/>
          <w:lang w:eastAsia="zh-CN"/>
        </w:rPr>
        <w:t>、</w:t>
      </w:r>
      <w:r>
        <w:rPr>
          <w:rFonts w:hint="eastAsia" w:ascii="宋体" w:hAnsi="宋体" w:eastAsia="宋体" w:cs="宋体"/>
          <w:color w:val="333333"/>
          <w:kern w:val="0"/>
          <w:sz w:val="24"/>
          <w:szCs w:val="24"/>
          <w:highlight w:val="none"/>
        </w:rPr>
        <w:t>《财政部农业农村部国家乡村振兴局关于运用政府采购政策支持乡村产业振兴的通知》（财库〔2021〕19号）</w:t>
      </w:r>
      <w:r>
        <w:rPr>
          <w:rFonts w:hint="eastAsia" w:ascii="宋体" w:hAnsi="宋体" w:eastAsia="宋体" w:cs="宋体"/>
          <w:color w:val="333333"/>
          <w:kern w:val="0"/>
          <w:sz w:val="24"/>
          <w:szCs w:val="24"/>
          <w:highlight w:val="none"/>
        </w:rPr>
        <w:br w:type="textWrapping"/>
      </w:r>
      <w:r>
        <w:rPr>
          <w:rFonts w:hint="eastAsia" w:ascii="宋体" w:hAnsi="宋体" w:eastAsia="宋体" w:cs="宋体"/>
          <w:color w:val="333333"/>
          <w:kern w:val="0"/>
          <w:sz w:val="24"/>
          <w:szCs w:val="24"/>
          <w:highlight w:val="none"/>
        </w:rPr>
        <w:t>9</w:t>
      </w:r>
      <w:r>
        <w:rPr>
          <w:rFonts w:hint="eastAsia" w:ascii="宋体" w:hAnsi="宋体" w:eastAsia="宋体" w:cs="宋体"/>
          <w:color w:val="333333"/>
          <w:kern w:val="0"/>
          <w:sz w:val="24"/>
          <w:szCs w:val="24"/>
          <w:highlight w:val="none"/>
          <w:lang w:eastAsia="zh-CN"/>
        </w:rPr>
        <w:t>、</w:t>
      </w:r>
      <w:r>
        <w:rPr>
          <w:rFonts w:hint="eastAsia" w:ascii="宋体" w:hAnsi="宋体" w:eastAsia="宋体" w:cs="宋体"/>
          <w:color w:val="333333"/>
          <w:kern w:val="0"/>
          <w:sz w:val="24"/>
          <w:szCs w:val="24"/>
          <w:highlight w:val="none"/>
        </w:rPr>
        <w:t>《陕西省财政厅关于进一步优化政府采购营商环境有关事项的通知》(陕财办采(2023)4号)</w:t>
      </w:r>
      <w:r>
        <w:rPr>
          <w:rFonts w:hint="eastAsia" w:ascii="宋体" w:hAnsi="宋体" w:eastAsia="宋体" w:cs="宋体"/>
          <w:color w:val="333333"/>
          <w:kern w:val="0"/>
          <w:sz w:val="24"/>
          <w:szCs w:val="24"/>
          <w:highlight w:val="none"/>
        </w:rPr>
        <w:br w:type="textWrapping"/>
      </w:r>
      <w:r>
        <w:rPr>
          <w:rFonts w:hint="eastAsia" w:ascii="宋体" w:hAnsi="宋体" w:eastAsia="宋体" w:cs="宋体"/>
          <w:color w:val="333333"/>
          <w:kern w:val="0"/>
          <w:sz w:val="24"/>
          <w:szCs w:val="24"/>
          <w:highlight w:val="none"/>
        </w:rPr>
        <w:t>10</w:t>
      </w:r>
      <w:r>
        <w:rPr>
          <w:rFonts w:hint="eastAsia" w:ascii="宋体" w:hAnsi="宋体" w:eastAsia="宋体" w:cs="宋体"/>
          <w:color w:val="333333"/>
          <w:kern w:val="0"/>
          <w:sz w:val="24"/>
          <w:szCs w:val="24"/>
          <w:highlight w:val="none"/>
          <w:lang w:eastAsia="zh-CN"/>
        </w:rPr>
        <w:t>、</w:t>
      </w:r>
      <w:r>
        <w:rPr>
          <w:rFonts w:hint="eastAsia" w:ascii="宋体" w:hAnsi="宋体" w:eastAsia="宋体" w:cs="宋体"/>
          <w:color w:val="333333"/>
          <w:kern w:val="0"/>
          <w:sz w:val="24"/>
          <w:szCs w:val="24"/>
          <w:highlight w:val="none"/>
        </w:rPr>
        <w:t>其他需要落实的政府采购政策；如有最新颁布的政府采购政策，按最新的文件执行。</w:t>
      </w:r>
    </w:p>
    <w:p w14:paraId="43685A6A">
      <w:pPr>
        <w:keepNext w:val="0"/>
        <w:keepLines w:val="0"/>
        <w:pageBreakBefore w:val="0"/>
        <w:widowControl/>
        <w:shd w:val="clear" w:color="auto" w:fill="FFFFFF"/>
        <w:kinsoku/>
        <w:wordWrap w:val="0"/>
        <w:overflowPunct/>
        <w:topLinePunct w:val="0"/>
        <w:autoSpaceDE/>
        <w:autoSpaceDN/>
        <w:bidi w:val="0"/>
        <w:adjustRightInd/>
        <w:snapToGrid/>
        <w:spacing w:line="356" w:lineRule="auto"/>
        <w:ind w:firstLine="401"/>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3.本项目的特定资格要求：</w:t>
      </w:r>
    </w:p>
    <w:p w14:paraId="4F31FF56">
      <w:pPr>
        <w:keepNext w:val="0"/>
        <w:keepLines w:val="0"/>
        <w:pageBreakBefore w:val="0"/>
        <w:widowControl/>
        <w:shd w:val="clear" w:color="auto" w:fill="FFFFFF"/>
        <w:kinsoku/>
        <w:wordWrap w:val="0"/>
        <w:overflowPunct/>
        <w:topLinePunct w:val="0"/>
        <w:autoSpaceDE/>
        <w:autoSpaceDN/>
        <w:bidi w:val="0"/>
        <w:adjustRightInd/>
        <w:snapToGrid/>
        <w:spacing w:line="356" w:lineRule="auto"/>
        <w:ind w:firstLine="401"/>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合同包1(</w:t>
      </w:r>
      <w:r>
        <w:rPr>
          <w:rFonts w:hint="eastAsia" w:ascii="宋体" w:hAnsi="宋体" w:eastAsia="宋体" w:cs="宋体"/>
          <w:color w:val="333333"/>
          <w:kern w:val="0"/>
          <w:sz w:val="24"/>
          <w:szCs w:val="24"/>
          <w:highlight w:val="none"/>
          <w:lang w:eastAsia="zh-CN"/>
        </w:rPr>
        <w:t>宜川县云岩中心卫生院县域医疗次中心建设项目（三次）</w:t>
      </w:r>
      <w:r>
        <w:rPr>
          <w:rFonts w:hint="eastAsia" w:ascii="宋体" w:hAnsi="宋体" w:eastAsia="宋体" w:cs="宋体"/>
          <w:color w:val="333333"/>
          <w:kern w:val="0"/>
          <w:sz w:val="24"/>
          <w:szCs w:val="24"/>
          <w:highlight w:val="none"/>
        </w:rPr>
        <w:t>)特定资格要求如下:</w:t>
      </w:r>
    </w:p>
    <w:p w14:paraId="7084B2D8">
      <w:pPr>
        <w:keepNext w:val="0"/>
        <w:keepLines w:val="0"/>
        <w:pageBreakBefore w:val="0"/>
        <w:widowControl/>
        <w:numPr>
          <w:ilvl w:val="0"/>
          <w:numId w:val="0"/>
        </w:numPr>
        <w:shd w:val="clear" w:color="auto" w:fill="FFFFFF"/>
        <w:kinsoku/>
        <w:wordWrap w:val="0"/>
        <w:overflowPunct/>
        <w:topLinePunct w:val="0"/>
        <w:autoSpaceDE/>
        <w:autoSpaceDN/>
        <w:bidi w:val="0"/>
        <w:adjustRightInd/>
        <w:snapToGrid/>
        <w:spacing w:line="356" w:lineRule="auto"/>
        <w:textAlignment w:val="auto"/>
        <w:rPr>
          <w:rFonts w:hint="eastAsia" w:ascii="宋体" w:hAnsi="宋体" w:eastAsia="宋体" w:cs="宋体"/>
          <w:color w:val="333333"/>
          <w:kern w:val="0"/>
          <w:sz w:val="24"/>
          <w:szCs w:val="24"/>
          <w:highlight w:val="none"/>
        </w:rPr>
      </w:pPr>
      <w:bookmarkStart w:id="6" w:name="OLE_LINK31"/>
      <w:r>
        <w:rPr>
          <w:rFonts w:hint="eastAsia" w:ascii="宋体" w:hAnsi="宋体" w:eastAsia="宋体" w:cs="宋体"/>
          <w:color w:val="333333"/>
          <w:kern w:val="0"/>
          <w:sz w:val="24"/>
          <w:szCs w:val="24"/>
          <w:highlight w:val="none"/>
          <w:lang w:val="en-US" w:eastAsia="zh-CN" w:bidi="ar-SA"/>
        </w:rPr>
        <w:t>1、</w:t>
      </w:r>
      <w:r>
        <w:rPr>
          <w:rFonts w:hint="eastAsia" w:ascii="宋体" w:hAnsi="宋体" w:eastAsia="宋体" w:cs="宋体"/>
          <w:color w:val="333333"/>
          <w:kern w:val="0"/>
          <w:sz w:val="24"/>
          <w:szCs w:val="24"/>
          <w:highlight w:val="none"/>
        </w:rPr>
        <w:t>具有独立承担民事责任能力的法人或其他组织，提供合法有效的统一社会信用代码的营业执照或事业单位法人证书等国家规定的相关证明，自然人参与的提供其身份证明； </w:t>
      </w:r>
      <w:r>
        <w:rPr>
          <w:rFonts w:hint="eastAsia" w:ascii="宋体" w:hAnsi="宋体" w:eastAsia="宋体" w:cs="宋体"/>
          <w:color w:val="333333"/>
          <w:kern w:val="0"/>
          <w:sz w:val="24"/>
          <w:szCs w:val="24"/>
          <w:highlight w:val="none"/>
        </w:rPr>
        <w:br w:type="textWrapping"/>
      </w:r>
      <w:r>
        <w:rPr>
          <w:rFonts w:hint="eastAsia" w:ascii="宋体" w:hAnsi="宋体" w:eastAsia="宋体" w:cs="宋体"/>
          <w:color w:val="333333"/>
          <w:kern w:val="0"/>
          <w:sz w:val="24"/>
          <w:szCs w:val="24"/>
          <w:highlight w:val="none"/>
        </w:rPr>
        <w:t>2、法定代表人授权书（附法定代表人身份证复印件）及被授权人身份证（法定代表人直接参加只须提供法定代表人身份证）；</w:t>
      </w:r>
      <w:r>
        <w:rPr>
          <w:rFonts w:hint="eastAsia" w:ascii="宋体" w:hAnsi="宋体" w:eastAsia="宋体" w:cs="宋体"/>
          <w:color w:val="333333"/>
          <w:kern w:val="0"/>
          <w:sz w:val="24"/>
          <w:szCs w:val="24"/>
          <w:highlight w:val="none"/>
        </w:rPr>
        <w:br w:type="textWrapping"/>
      </w:r>
      <w:r>
        <w:rPr>
          <w:rFonts w:hint="eastAsia" w:ascii="宋体" w:hAnsi="宋体" w:eastAsia="宋体" w:cs="宋体"/>
          <w:color w:val="333333"/>
          <w:kern w:val="0"/>
          <w:sz w:val="24"/>
          <w:szCs w:val="24"/>
          <w:highlight w:val="none"/>
        </w:rPr>
        <w:t>3、供应商提供202</w:t>
      </w:r>
      <w:r>
        <w:rPr>
          <w:rFonts w:hint="eastAsia" w:ascii="宋体" w:hAnsi="宋体" w:eastAsia="宋体" w:cs="宋体"/>
          <w:color w:val="333333"/>
          <w:kern w:val="0"/>
          <w:sz w:val="24"/>
          <w:szCs w:val="24"/>
          <w:highlight w:val="none"/>
          <w:lang w:val="en-US" w:eastAsia="zh-CN"/>
        </w:rPr>
        <w:t>4</w:t>
      </w:r>
      <w:r>
        <w:rPr>
          <w:rFonts w:hint="eastAsia" w:ascii="宋体" w:hAnsi="宋体" w:eastAsia="宋体" w:cs="宋体"/>
          <w:color w:val="333333"/>
          <w:kern w:val="0"/>
          <w:sz w:val="24"/>
          <w:szCs w:val="24"/>
          <w:highlight w:val="none"/>
        </w:rPr>
        <w:t>年度或202</w:t>
      </w:r>
      <w:r>
        <w:rPr>
          <w:rFonts w:hint="eastAsia" w:ascii="宋体" w:hAnsi="宋体" w:eastAsia="宋体" w:cs="宋体"/>
          <w:color w:val="333333"/>
          <w:kern w:val="0"/>
          <w:sz w:val="24"/>
          <w:szCs w:val="24"/>
          <w:highlight w:val="none"/>
          <w:lang w:val="en-US" w:eastAsia="zh-CN"/>
        </w:rPr>
        <w:t>5</w:t>
      </w:r>
      <w:r>
        <w:rPr>
          <w:rFonts w:hint="eastAsia" w:ascii="宋体" w:hAnsi="宋体" w:eastAsia="宋体" w:cs="宋体"/>
          <w:color w:val="333333"/>
          <w:kern w:val="0"/>
          <w:sz w:val="24"/>
          <w:szCs w:val="24"/>
          <w:highlight w:val="none"/>
        </w:rPr>
        <w:t>年度的财务审计报告(成立时间至提交响应文件截止时间不足一年的可提供成立后任意时段的资产负债表)或其基本存款账户开户银行出具的资信证明及基本存款账户开户信息；</w:t>
      </w:r>
      <w:r>
        <w:rPr>
          <w:rFonts w:hint="eastAsia" w:ascii="宋体" w:hAnsi="宋体" w:eastAsia="宋体" w:cs="宋体"/>
          <w:color w:val="333333"/>
          <w:kern w:val="0"/>
          <w:sz w:val="24"/>
          <w:szCs w:val="24"/>
          <w:highlight w:val="none"/>
        </w:rPr>
        <w:br w:type="textWrapping"/>
      </w:r>
      <w:r>
        <w:rPr>
          <w:rFonts w:hint="eastAsia" w:ascii="宋体" w:hAnsi="宋体" w:eastAsia="宋体" w:cs="宋体"/>
          <w:color w:val="333333"/>
          <w:kern w:val="0"/>
          <w:sz w:val="24"/>
          <w:szCs w:val="24"/>
          <w:highlight w:val="none"/>
        </w:rPr>
        <w:t>4、税收缴纳证明：提供已缴纳的202</w:t>
      </w:r>
      <w:r>
        <w:rPr>
          <w:rFonts w:hint="eastAsia" w:ascii="宋体" w:hAnsi="宋体" w:eastAsia="宋体" w:cs="宋体"/>
          <w:color w:val="333333"/>
          <w:kern w:val="0"/>
          <w:sz w:val="24"/>
          <w:szCs w:val="24"/>
          <w:highlight w:val="none"/>
          <w:lang w:val="en-US" w:eastAsia="zh-CN"/>
        </w:rPr>
        <w:t>5</w:t>
      </w:r>
      <w:r>
        <w:rPr>
          <w:rFonts w:hint="eastAsia" w:ascii="宋体" w:hAnsi="宋体" w:eastAsia="宋体" w:cs="宋体"/>
          <w:color w:val="333333"/>
          <w:kern w:val="0"/>
          <w:sz w:val="24"/>
          <w:szCs w:val="24"/>
          <w:highlight w:val="none"/>
        </w:rPr>
        <w:t>年至今任</w:t>
      </w:r>
      <w:r>
        <w:rPr>
          <w:rFonts w:hint="eastAsia" w:ascii="宋体" w:hAnsi="宋体" w:eastAsia="宋体" w:cs="宋体"/>
          <w:color w:val="333333"/>
          <w:kern w:val="0"/>
          <w:sz w:val="24"/>
          <w:szCs w:val="24"/>
          <w:highlight w:val="none"/>
          <w:lang w:val="en-US" w:eastAsia="zh-CN"/>
        </w:rPr>
        <w:t>意</w:t>
      </w:r>
      <w:r>
        <w:rPr>
          <w:rFonts w:hint="eastAsia" w:ascii="宋体" w:hAnsi="宋体" w:eastAsia="宋体" w:cs="宋体"/>
          <w:color w:val="333333"/>
          <w:kern w:val="0"/>
          <w:sz w:val="24"/>
          <w:szCs w:val="24"/>
          <w:highlight w:val="none"/>
          <w:lang w:eastAsia="zh-CN"/>
        </w:rPr>
        <w:t>一个</w:t>
      </w:r>
      <w:r>
        <w:rPr>
          <w:rFonts w:hint="eastAsia" w:ascii="宋体" w:hAnsi="宋体" w:eastAsia="宋体" w:cs="宋体"/>
          <w:color w:val="333333"/>
          <w:kern w:val="0"/>
          <w:sz w:val="24"/>
          <w:szCs w:val="24"/>
          <w:highlight w:val="none"/>
        </w:rPr>
        <w:t>月份的缴税凭证；依法免税的供应商应提供相关文件证明；</w:t>
      </w:r>
      <w:r>
        <w:rPr>
          <w:rFonts w:hint="eastAsia" w:ascii="宋体" w:hAnsi="宋体" w:eastAsia="宋体" w:cs="宋体"/>
          <w:color w:val="333333"/>
          <w:kern w:val="0"/>
          <w:sz w:val="24"/>
          <w:szCs w:val="24"/>
          <w:highlight w:val="none"/>
        </w:rPr>
        <w:br w:type="textWrapping"/>
      </w:r>
      <w:r>
        <w:rPr>
          <w:rFonts w:hint="eastAsia" w:ascii="宋体" w:hAnsi="宋体" w:eastAsia="宋体" w:cs="宋体"/>
          <w:color w:val="333333"/>
          <w:kern w:val="0"/>
          <w:sz w:val="24"/>
          <w:szCs w:val="24"/>
          <w:highlight w:val="none"/>
        </w:rPr>
        <w:t>5、社会保障资金缴纳证明：提供202</w:t>
      </w:r>
      <w:r>
        <w:rPr>
          <w:rFonts w:hint="eastAsia" w:ascii="宋体" w:hAnsi="宋体" w:eastAsia="宋体" w:cs="宋体"/>
          <w:color w:val="333333"/>
          <w:kern w:val="0"/>
          <w:sz w:val="24"/>
          <w:szCs w:val="24"/>
          <w:highlight w:val="none"/>
          <w:lang w:val="en-US" w:eastAsia="zh-CN"/>
        </w:rPr>
        <w:t>5</w:t>
      </w:r>
      <w:r>
        <w:rPr>
          <w:rFonts w:hint="eastAsia" w:ascii="宋体" w:hAnsi="宋体" w:eastAsia="宋体" w:cs="宋体"/>
          <w:color w:val="333333"/>
          <w:kern w:val="0"/>
          <w:sz w:val="24"/>
          <w:szCs w:val="24"/>
          <w:highlight w:val="none"/>
        </w:rPr>
        <w:t>年至今任意一个月</w:t>
      </w:r>
      <w:r>
        <w:rPr>
          <w:rFonts w:hint="eastAsia" w:ascii="宋体" w:hAnsi="宋体" w:eastAsia="宋体" w:cs="宋体"/>
          <w:color w:val="333333"/>
          <w:kern w:val="0"/>
          <w:sz w:val="24"/>
          <w:szCs w:val="24"/>
          <w:highlight w:val="none"/>
          <w:lang w:val="en-US" w:eastAsia="zh-CN"/>
        </w:rPr>
        <w:t>份</w:t>
      </w:r>
      <w:r>
        <w:rPr>
          <w:rFonts w:hint="eastAsia" w:ascii="宋体" w:hAnsi="宋体" w:eastAsia="宋体" w:cs="宋体"/>
          <w:color w:val="333333"/>
          <w:kern w:val="0"/>
          <w:sz w:val="24"/>
          <w:szCs w:val="24"/>
          <w:highlight w:val="none"/>
        </w:rPr>
        <w:t>的社会保障资金缴存证明或社保机构开具的社会保险参保缴费情况证明；依法不需要缴纳社会保障资金的应提供相关文件证明；</w:t>
      </w:r>
    </w:p>
    <w:p w14:paraId="15E54949">
      <w:pPr>
        <w:keepNext w:val="0"/>
        <w:keepLines w:val="0"/>
        <w:pageBreakBefore w:val="0"/>
        <w:widowControl/>
        <w:numPr>
          <w:ilvl w:val="0"/>
          <w:numId w:val="0"/>
        </w:numPr>
        <w:shd w:val="clear" w:color="auto" w:fill="FFFFFF"/>
        <w:kinsoku/>
        <w:wordWrap w:val="0"/>
        <w:overflowPunct/>
        <w:topLinePunct w:val="0"/>
        <w:autoSpaceDE/>
        <w:autoSpaceDN/>
        <w:bidi w:val="0"/>
        <w:adjustRightInd/>
        <w:snapToGrid/>
        <w:spacing w:line="356" w:lineRule="auto"/>
        <w:textAlignment w:val="auto"/>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6、所投产品属于医疗器械管理的，供应商为生产厂家的须提供《医疗器械生产许可证》；供应商为代理商的须提供《医疗器械经营许可证》或《医疗器械经营备案凭证》及生产厂家的《医疗器械生产许可证》；纳入医疗器械注册管理的，提供医疗器械注册证；</w:t>
      </w:r>
    </w:p>
    <w:p w14:paraId="48E114BF">
      <w:pPr>
        <w:keepNext w:val="0"/>
        <w:keepLines w:val="0"/>
        <w:pageBreakBefore w:val="0"/>
        <w:widowControl/>
        <w:numPr>
          <w:ilvl w:val="0"/>
          <w:numId w:val="0"/>
        </w:numPr>
        <w:shd w:val="clear" w:color="auto" w:fill="FFFFFF"/>
        <w:kinsoku/>
        <w:wordWrap w:val="0"/>
        <w:overflowPunct/>
        <w:topLinePunct w:val="0"/>
        <w:autoSpaceDE/>
        <w:autoSpaceDN/>
        <w:bidi w:val="0"/>
        <w:adjustRightInd/>
        <w:snapToGrid/>
        <w:spacing w:line="356" w:lineRule="auto"/>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lang w:val="en-US" w:eastAsia="zh-CN"/>
        </w:rPr>
        <w:t>7</w:t>
      </w:r>
      <w:r>
        <w:rPr>
          <w:rFonts w:hint="eastAsia" w:ascii="宋体" w:hAnsi="宋体" w:eastAsia="宋体" w:cs="宋体"/>
          <w:color w:val="333333"/>
          <w:kern w:val="0"/>
          <w:sz w:val="24"/>
          <w:szCs w:val="24"/>
          <w:highlight w:val="none"/>
        </w:rPr>
        <w:t>、供应商不得为“信用中国”网站中列入严重失信主体及重大税收违法失信主体，不得为中国政府采购网政府采购严重违法失信行为记录名单中被财政部门禁止参加政府采购活动的供应商（提供查询结果网页截图并加盖供应商公章）； </w:t>
      </w:r>
      <w:r>
        <w:rPr>
          <w:rFonts w:hint="eastAsia" w:ascii="宋体" w:hAnsi="宋体" w:eastAsia="宋体" w:cs="宋体"/>
          <w:color w:val="333333"/>
          <w:kern w:val="0"/>
          <w:sz w:val="24"/>
          <w:szCs w:val="24"/>
          <w:highlight w:val="none"/>
        </w:rPr>
        <w:br w:type="textWrapping"/>
      </w:r>
      <w:r>
        <w:rPr>
          <w:rFonts w:hint="eastAsia" w:ascii="宋体" w:hAnsi="宋体" w:eastAsia="宋体" w:cs="宋体"/>
          <w:color w:val="333333"/>
          <w:kern w:val="0"/>
          <w:sz w:val="24"/>
          <w:szCs w:val="24"/>
          <w:highlight w:val="none"/>
          <w:lang w:val="en-US" w:eastAsia="zh-CN"/>
        </w:rPr>
        <w:t>8</w:t>
      </w:r>
      <w:r>
        <w:rPr>
          <w:rFonts w:hint="eastAsia" w:ascii="宋体" w:hAnsi="宋体" w:eastAsia="宋体" w:cs="宋体"/>
          <w:color w:val="333333"/>
          <w:kern w:val="0"/>
          <w:sz w:val="24"/>
          <w:szCs w:val="24"/>
          <w:highlight w:val="none"/>
        </w:rPr>
        <w:t>、参加政府采购活动近三年内，在经营活动中没有重大违法记录声明函；</w:t>
      </w:r>
      <w:r>
        <w:rPr>
          <w:rFonts w:hint="eastAsia" w:ascii="宋体" w:hAnsi="宋体" w:eastAsia="宋体" w:cs="宋体"/>
          <w:color w:val="333333"/>
          <w:kern w:val="0"/>
          <w:sz w:val="24"/>
          <w:szCs w:val="24"/>
          <w:highlight w:val="none"/>
        </w:rPr>
        <w:br w:type="textWrapping"/>
      </w:r>
      <w:r>
        <w:rPr>
          <w:rFonts w:hint="eastAsia" w:ascii="宋体" w:hAnsi="宋体" w:eastAsia="宋体" w:cs="宋体"/>
          <w:color w:val="333333"/>
          <w:kern w:val="0"/>
          <w:sz w:val="24"/>
          <w:szCs w:val="24"/>
          <w:highlight w:val="none"/>
          <w:lang w:val="en-US" w:eastAsia="zh-CN"/>
        </w:rPr>
        <w:t>9</w:t>
      </w:r>
      <w:r>
        <w:rPr>
          <w:rFonts w:hint="eastAsia" w:ascii="宋体" w:hAnsi="宋体" w:eastAsia="宋体" w:cs="宋体"/>
          <w:color w:val="333333"/>
          <w:kern w:val="0"/>
          <w:sz w:val="24"/>
          <w:szCs w:val="24"/>
          <w:highlight w:val="none"/>
        </w:rPr>
        <w:t>、具备履行合同</w:t>
      </w:r>
      <w:r>
        <w:rPr>
          <w:rFonts w:hint="eastAsia" w:ascii="宋体" w:hAnsi="宋体" w:eastAsia="宋体" w:cs="宋体"/>
          <w:color w:val="333333"/>
          <w:kern w:val="0"/>
          <w:sz w:val="24"/>
          <w:szCs w:val="24"/>
          <w:highlight w:val="none"/>
          <w:lang w:eastAsia="zh-CN"/>
        </w:rPr>
        <w:t>所必需的</w:t>
      </w:r>
      <w:r>
        <w:rPr>
          <w:rFonts w:hint="eastAsia" w:ascii="宋体" w:hAnsi="宋体" w:eastAsia="宋体" w:cs="宋体"/>
          <w:color w:val="333333"/>
          <w:kern w:val="0"/>
          <w:sz w:val="24"/>
          <w:szCs w:val="24"/>
          <w:highlight w:val="none"/>
        </w:rPr>
        <w:t>设备和专业技术能力的书面声明；</w:t>
      </w:r>
    </w:p>
    <w:p w14:paraId="0A2A0F61">
      <w:pPr>
        <w:keepNext w:val="0"/>
        <w:keepLines w:val="0"/>
        <w:pageBreakBefore w:val="0"/>
        <w:widowControl/>
        <w:numPr>
          <w:ilvl w:val="0"/>
          <w:numId w:val="0"/>
        </w:numPr>
        <w:shd w:val="clear" w:color="auto" w:fill="FFFFFF"/>
        <w:kinsoku/>
        <w:wordWrap w:val="0"/>
        <w:overflowPunct/>
        <w:topLinePunct w:val="0"/>
        <w:autoSpaceDE/>
        <w:autoSpaceDN/>
        <w:bidi w:val="0"/>
        <w:adjustRightInd/>
        <w:snapToGrid/>
        <w:spacing w:line="356" w:lineRule="auto"/>
        <w:textAlignment w:val="auto"/>
        <w:rPr>
          <w:rFonts w:hint="eastAsia" w:ascii="宋体" w:hAnsi="宋体" w:eastAsia="宋体" w:cs="宋体"/>
          <w:color w:val="333333"/>
          <w:kern w:val="0"/>
          <w:sz w:val="24"/>
          <w:szCs w:val="24"/>
          <w:highlight w:val="none"/>
          <w:lang w:eastAsia="zh-CN"/>
        </w:rPr>
      </w:pPr>
      <w:r>
        <w:rPr>
          <w:rFonts w:hint="eastAsia" w:ascii="宋体" w:hAnsi="宋体" w:eastAsia="宋体" w:cs="宋体"/>
          <w:color w:val="333333"/>
          <w:kern w:val="0"/>
          <w:sz w:val="24"/>
          <w:szCs w:val="24"/>
          <w:highlight w:val="none"/>
          <w:lang w:val="en-US" w:eastAsia="zh-CN"/>
        </w:rPr>
        <w:t>10、供应商按谈判文件要求提交谈判保证金，并提供缴费凭证，确保在响应文件递交截止时间前到达指定账户；</w:t>
      </w:r>
      <w:r>
        <w:rPr>
          <w:rFonts w:hint="eastAsia" w:ascii="宋体" w:hAnsi="宋体" w:eastAsia="宋体" w:cs="宋体"/>
          <w:color w:val="333333"/>
          <w:kern w:val="0"/>
          <w:sz w:val="24"/>
          <w:szCs w:val="24"/>
          <w:highlight w:val="none"/>
          <w:lang w:val="en-US" w:eastAsia="zh-CN"/>
        </w:rPr>
        <w:br w:type="textWrapping"/>
      </w:r>
      <w:r>
        <w:rPr>
          <w:rFonts w:hint="eastAsia" w:ascii="宋体" w:hAnsi="宋体" w:eastAsia="宋体" w:cs="宋体"/>
          <w:color w:val="333333"/>
          <w:kern w:val="0"/>
          <w:sz w:val="24"/>
          <w:szCs w:val="24"/>
          <w:highlight w:val="none"/>
          <w:lang w:val="en-US" w:eastAsia="zh-CN"/>
        </w:rPr>
        <w:t>11</w:t>
      </w:r>
      <w:r>
        <w:rPr>
          <w:rFonts w:hint="eastAsia" w:ascii="宋体" w:hAnsi="宋体" w:eastAsia="宋体" w:cs="宋体"/>
          <w:color w:val="333333"/>
          <w:kern w:val="0"/>
          <w:sz w:val="24"/>
          <w:szCs w:val="24"/>
          <w:highlight w:val="none"/>
        </w:rPr>
        <w:t>、本项目不接受联合体谈判</w:t>
      </w:r>
      <w:r>
        <w:rPr>
          <w:rFonts w:hint="eastAsia" w:ascii="宋体" w:hAnsi="宋体" w:eastAsia="宋体" w:cs="宋体"/>
          <w:color w:val="333333"/>
          <w:kern w:val="0"/>
          <w:sz w:val="24"/>
          <w:szCs w:val="24"/>
          <w:highlight w:val="none"/>
          <w:lang w:eastAsia="zh-CN"/>
        </w:rPr>
        <w:t>。</w:t>
      </w:r>
    </w:p>
    <w:bookmarkEnd w:id="6"/>
    <w:p w14:paraId="371A201C">
      <w:pPr>
        <w:keepNext w:val="0"/>
        <w:keepLines w:val="0"/>
        <w:pageBreakBefore w:val="0"/>
        <w:widowControl/>
        <w:shd w:val="clear" w:color="auto" w:fill="FFFFFF"/>
        <w:kinsoku/>
        <w:wordWrap w:val="0"/>
        <w:overflowPunct/>
        <w:topLinePunct w:val="0"/>
        <w:autoSpaceDE/>
        <w:autoSpaceDN/>
        <w:bidi w:val="0"/>
        <w:adjustRightInd/>
        <w:snapToGrid/>
        <w:spacing w:line="356" w:lineRule="auto"/>
        <w:jc w:val="left"/>
        <w:textAlignment w:val="auto"/>
        <w:outlineLvl w:val="3"/>
        <w:rPr>
          <w:rFonts w:hint="eastAsia" w:ascii="宋体" w:hAnsi="宋体" w:eastAsia="宋体" w:cs="宋体"/>
          <w:color w:val="333333"/>
          <w:kern w:val="0"/>
          <w:sz w:val="24"/>
          <w:szCs w:val="24"/>
          <w:highlight w:val="none"/>
        </w:rPr>
      </w:pPr>
      <w:r>
        <w:rPr>
          <w:rFonts w:hint="eastAsia" w:ascii="宋体" w:hAnsi="宋体" w:eastAsia="宋体" w:cs="宋体"/>
          <w:b/>
          <w:bCs/>
          <w:color w:val="333333"/>
          <w:kern w:val="0"/>
          <w:sz w:val="24"/>
          <w:szCs w:val="24"/>
          <w:highlight w:val="none"/>
        </w:rPr>
        <w:t>三、获取采购文件</w:t>
      </w:r>
    </w:p>
    <w:p w14:paraId="560CA8BB">
      <w:pPr>
        <w:keepNext w:val="0"/>
        <w:keepLines w:val="0"/>
        <w:pageBreakBefore w:val="0"/>
        <w:widowControl/>
        <w:shd w:val="clear" w:color="auto" w:fill="FFFFFF"/>
        <w:kinsoku/>
        <w:wordWrap w:val="0"/>
        <w:overflowPunct/>
        <w:topLinePunct w:val="0"/>
        <w:autoSpaceDE/>
        <w:autoSpaceDN/>
        <w:bidi w:val="0"/>
        <w:adjustRightInd/>
        <w:snapToGrid/>
        <w:spacing w:line="356" w:lineRule="auto"/>
        <w:ind w:firstLine="401"/>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时间：</w:t>
      </w:r>
      <w:r>
        <w:rPr>
          <w:rFonts w:hint="eastAsia" w:ascii="宋体" w:hAnsi="宋体" w:eastAsia="宋体" w:cs="宋体"/>
          <w:color w:val="333333"/>
          <w:kern w:val="0"/>
          <w:sz w:val="24"/>
          <w:szCs w:val="24"/>
          <w:highlight w:val="none"/>
          <w:lang w:eastAsia="zh-CN"/>
        </w:rPr>
        <w:t>2026年0</w:t>
      </w:r>
      <w:r>
        <w:rPr>
          <w:rFonts w:hint="eastAsia" w:ascii="宋体" w:hAnsi="宋体" w:eastAsia="宋体" w:cs="宋体"/>
          <w:color w:val="333333"/>
          <w:kern w:val="0"/>
          <w:sz w:val="24"/>
          <w:szCs w:val="24"/>
          <w:highlight w:val="none"/>
          <w:lang w:val="en-US" w:eastAsia="zh-CN"/>
        </w:rPr>
        <w:t>8</w:t>
      </w:r>
      <w:r>
        <w:rPr>
          <w:rFonts w:hint="eastAsia" w:ascii="宋体" w:hAnsi="宋体" w:eastAsia="宋体" w:cs="宋体"/>
          <w:color w:val="333333"/>
          <w:kern w:val="0"/>
          <w:sz w:val="24"/>
          <w:szCs w:val="24"/>
          <w:highlight w:val="none"/>
          <w:lang w:eastAsia="zh-CN"/>
        </w:rPr>
        <w:t>月</w:t>
      </w:r>
      <w:r>
        <w:rPr>
          <w:rFonts w:hint="eastAsia" w:ascii="宋体" w:hAnsi="宋体" w:eastAsia="宋体" w:cs="宋体"/>
          <w:color w:val="333333"/>
          <w:kern w:val="0"/>
          <w:sz w:val="24"/>
          <w:szCs w:val="24"/>
          <w:highlight w:val="none"/>
          <w:lang w:val="en-US" w:eastAsia="zh-CN"/>
        </w:rPr>
        <w:t>14</w:t>
      </w:r>
      <w:r>
        <w:rPr>
          <w:rFonts w:hint="eastAsia" w:ascii="宋体" w:hAnsi="宋体" w:eastAsia="宋体" w:cs="宋体"/>
          <w:color w:val="333333"/>
          <w:kern w:val="0"/>
          <w:sz w:val="24"/>
          <w:szCs w:val="24"/>
          <w:highlight w:val="none"/>
          <w:lang w:eastAsia="zh-CN"/>
        </w:rPr>
        <w:t>日至2026年0</w:t>
      </w:r>
      <w:r>
        <w:rPr>
          <w:rFonts w:hint="eastAsia" w:ascii="宋体" w:hAnsi="宋体" w:eastAsia="宋体" w:cs="宋体"/>
          <w:color w:val="333333"/>
          <w:kern w:val="0"/>
          <w:sz w:val="24"/>
          <w:szCs w:val="24"/>
          <w:highlight w:val="none"/>
          <w:lang w:val="en-US" w:eastAsia="zh-CN"/>
        </w:rPr>
        <w:t>8</w:t>
      </w:r>
      <w:r>
        <w:rPr>
          <w:rFonts w:hint="eastAsia" w:ascii="宋体" w:hAnsi="宋体" w:eastAsia="宋体" w:cs="宋体"/>
          <w:color w:val="333333"/>
          <w:kern w:val="0"/>
          <w:sz w:val="24"/>
          <w:szCs w:val="24"/>
          <w:highlight w:val="none"/>
          <w:lang w:eastAsia="zh-CN"/>
        </w:rPr>
        <w:t>月</w:t>
      </w:r>
      <w:r>
        <w:rPr>
          <w:rFonts w:hint="eastAsia" w:ascii="宋体" w:hAnsi="宋体" w:eastAsia="宋体" w:cs="宋体"/>
          <w:color w:val="333333"/>
          <w:kern w:val="0"/>
          <w:sz w:val="24"/>
          <w:szCs w:val="24"/>
          <w:highlight w:val="none"/>
          <w:lang w:val="en-US" w:eastAsia="zh-CN"/>
        </w:rPr>
        <w:t>18</w:t>
      </w:r>
      <w:r>
        <w:rPr>
          <w:rFonts w:hint="eastAsia" w:ascii="宋体" w:hAnsi="宋体" w:eastAsia="宋体" w:cs="宋体"/>
          <w:color w:val="333333"/>
          <w:kern w:val="0"/>
          <w:sz w:val="24"/>
          <w:szCs w:val="24"/>
          <w:highlight w:val="none"/>
          <w:lang w:eastAsia="zh-CN"/>
        </w:rPr>
        <w:t>日</w:t>
      </w:r>
      <w:r>
        <w:rPr>
          <w:rFonts w:hint="eastAsia" w:ascii="宋体" w:hAnsi="宋体" w:eastAsia="宋体" w:cs="宋体"/>
          <w:color w:val="333333"/>
          <w:kern w:val="0"/>
          <w:sz w:val="24"/>
          <w:szCs w:val="24"/>
          <w:highlight w:val="none"/>
        </w:rPr>
        <w:t>，每天上午0</w:t>
      </w:r>
      <w:r>
        <w:rPr>
          <w:rFonts w:hint="eastAsia" w:ascii="宋体" w:hAnsi="宋体" w:eastAsia="宋体" w:cs="宋体"/>
          <w:color w:val="333333"/>
          <w:kern w:val="0"/>
          <w:sz w:val="24"/>
          <w:szCs w:val="24"/>
          <w:highlight w:val="none"/>
          <w:lang w:val="en-US" w:eastAsia="zh-CN"/>
        </w:rPr>
        <w:t>9</w:t>
      </w:r>
      <w:r>
        <w:rPr>
          <w:rFonts w:hint="eastAsia" w:ascii="宋体" w:hAnsi="宋体" w:eastAsia="宋体" w:cs="宋体"/>
          <w:color w:val="333333"/>
          <w:kern w:val="0"/>
          <w:sz w:val="24"/>
          <w:szCs w:val="24"/>
          <w:highlight w:val="none"/>
        </w:rPr>
        <w:t>:00:00至1</w:t>
      </w:r>
      <w:r>
        <w:rPr>
          <w:rFonts w:hint="eastAsia" w:ascii="宋体" w:hAnsi="宋体" w:eastAsia="宋体" w:cs="宋体"/>
          <w:color w:val="333333"/>
          <w:kern w:val="0"/>
          <w:sz w:val="24"/>
          <w:szCs w:val="24"/>
          <w:highlight w:val="none"/>
          <w:lang w:val="en-US" w:eastAsia="zh-CN"/>
        </w:rPr>
        <w:t>2</w:t>
      </w:r>
      <w:r>
        <w:rPr>
          <w:rFonts w:hint="eastAsia" w:ascii="宋体" w:hAnsi="宋体" w:eastAsia="宋体" w:cs="宋体"/>
          <w:color w:val="333333"/>
          <w:kern w:val="0"/>
          <w:sz w:val="24"/>
          <w:szCs w:val="24"/>
          <w:highlight w:val="none"/>
        </w:rPr>
        <w:t>:00:00，下午1</w:t>
      </w:r>
      <w:r>
        <w:rPr>
          <w:rFonts w:hint="eastAsia" w:ascii="宋体" w:hAnsi="宋体" w:eastAsia="宋体" w:cs="宋体"/>
          <w:color w:val="333333"/>
          <w:kern w:val="0"/>
          <w:sz w:val="24"/>
          <w:szCs w:val="24"/>
          <w:highlight w:val="none"/>
          <w:lang w:val="en-US" w:eastAsia="zh-CN"/>
        </w:rPr>
        <w:t>4</w:t>
      </w:r>
      <w:r>
        <w:rPr>
          <w:rFonts w:hint="eastAsia" w:ascii="宋体" w:hAnsi="宋体" w:eastAsia="宋体" w:cs="宋体"/>
          <w:color w:val="333333"/>
          <w:kern w:val="0"/>
          <w:sz w:val="24"/>
          <w:szCs w:val="24"/>
          <w:highlight w:val="none"/>
        </w:rPr>
        <w:t>:00:00至1</w:t>
      </w:r>
      <w:r>
        <w:rPr>
          <w:rFonts w:hint="eastAsia" w:ascii="宋体" w:hAnsi="宋体" w:eastAsia="宋体" w:cs="宋体"/>
          <w:color w:val="333333"/>
          <w:kern w:val="0"/>
          <w:sz w:val="24"/>
          <w:szCs w:val="24"/>
          <w:highlight w:val="none"/>
          <w:lang w:val="en-US" w:eastAsia="zh-CN"/>
        </w:rPr>
        <w:t>7</w:t>
      </w:r>
      <w:r>
        <w:rPr>
          <w:rFonts w:hint="eastAsia" w:ascii="宋体" w:hAnsi="宋体" w:eastAsia="宋体" w:cs="宋体"/>
          <w:color w:val="333333"/>
          <w:kern w:val="0"/>
          <w:sz w:val="24"/>
          <w:szCs w:val="24"/>
          <w:highlight w:val="none"/>
        </w:rPr>
        <w:t>:00:00（北京时间）</w:t>
      </w:r>
    </w:p>
    <w:p w14:paraId="2CF519B2">
      <w:pPr>
        <w:keepNext w:val="0"/>
        <w:keepLines w:val="0"/>
        <w:pageBreakBefore w:val="0"/>
        <w:widowControl/>
        <w:shd w:val="clear" w:color="auto" w:fill="FFFFFF"/>
        <w:kinsoku/>
        <w:wordWrap w:val="0"/>
        <w:overflowPunct/>
        <w:topLinePunct w:val="0"/>
        <w:autoSpaceDE/>
        <w:autoSpaceDN/>
        <w:bidi w:val="0"/>
        <w:adjustRightInd/>
        <w:snapToGrid/>
        <w:spacing w:line="356" w:lineRule="auto"/>
        <w:ind w:firstLine="401"/>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途径：全国公共资源交易中心平台（陕西省•延安市）</w:t>
      </w:r>
    </w:p>
    <w:p w14:paraId="31043135">
      <w:pPr>
        <w:keepNext w:val="0"/>
        <w:keepLines w:val="0"/>
        <w:pageBreakBefore w:val="0"/>
        <w:widowControl/>
        <w:shd w:val="clear" w:color="auto" w:fill="FFFFFF"/>
        <w:kinsoku/>
        <w:wordWrap w:val="0"/>
        <w:overflowPunct/>
        <w:topLinePunct w:val="0"/>
        <w:autoSpaceDE/>
        <w:autoSpaceDN/>
        <w:bidi w:val="0"/>
        <w:adjustRightInd/>
        <w:snapToGrid/>
        <w:spacing w:line="356" w:lineRule="auto"/>
        <w:ind w:firstLine="401"/>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方式：在线获取</w:t>
      </w:r>
    </w:p>
    <w:p w14:paraId="1E28B2F7">
      <w:pPr>
        <w:keepNext w:val="0"/>
        <w:keepLines w:val="0"/>
        <w:pageBreakBefore w:val="0"/>
        <w:widowControl/>
        <w:shd w:val="clear" w:color="auto" w:fill="FFFFFF"/>
        <w:kinsoku/>
        <w:wordWrap w:val="0"/>
        <w:overflowPunct/>
        <w:topLinePunct w:val="0"/>
        <w:autoSpaceDE/>
        <w:autoSpaceDN/>
        <w:bidi w:val="0"/>
        <w:adjustRightInd/>
        <w:snapToGrid/>
        <w:spacing w:line="356" w:lineRule="auto"/>
        <w:ind w:firstLine="401"/>
        <w:textAlignment w:val="auto"/>
        <w:rPr>
          <w:rFonts w:hint="default"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rPr>
        <w:t>售价：0元</w:t>
      </w:r>
    </w:p>
    <w:p w14:paraId="36EE1506">
      <w:pPr>
        <w:keepNext w:val="0"/>
        <w:keepLines w:val="0"/>
        <w:pageBreakBefore w:val="0"/>
        <w:widowControl/>
        <w:shd w:val="clear" w:color="auto" w:fill="FFFFFF"/>
        <w:kinsoku/>
        <w:wordWrap w:val="0"/>
        <w:overflowPunct/>
        <w:topLinePunct w:val="0"/>
        <w:autoSpaceDE/>
        <w:autoSpaceDN/>
        <w:bidi w:val="0"/>
        <w:adjustRightInd/>
        <w:snapToGrid/>
        <w:spacing w:line="356" w:lineRule="auto"/>
        <w:jc w:val="left"/>
        <w:textAlignment w:val="auto"/>
        <w:outlineLvl w:val="3"/>
        <w:rPr>
          <w:rFonts w:hint="eastAsia" w:ascii="宋体" w:hAnsi="宋体" w:eastAsia="宋体" w:cs="宋体"/>
          <w:color w:val="333333"/>
          <w:kern w:val="0"/>
          <w:sz w:val="24"/>
          <w:szCs w:val="24"/>
          <w:highlight w:val="none"/>
        </w:rPr>
      </w:pPr>
      <w:r>
        <w:rPr>
          <w:rFonts w:hint="eastAsia" w:ascii="宋体" w:hAnsi="宋体" w:eastAsia="宋体" w:cs="宋体"/>
          <w:b/>
          <w:bCs/>
          <w:color w:val="333333"/>
          <w:kern w:val="0"/>
          <w:sz w:val="24"/>
          <w:szCs w:val="24"/>
          <w:highlight w:val="none"/>
        </w:rPr>
        <w:t>四、响应文件提交</w:t>
      </w:r>
    </w:p>
    <w:p w14:paraId="64A11326">
      <w:pPr>
        <w:keepNext w:val="0"/>
        <w:keepLines w:val="0"/>
        <w:pageBreakBefore w:val="0"/>
        <w:widowControl/>
        <w:shd w:val="clear" w:color="auto" w:fill="FFFFFF"/>
        <w:kinsoku/>
        <w:wordWrap w:val="0"/>
        <w:overflowPunct/>
        <w:topLinePunct w:val="0"/>
        <w:autoSpaceDE/>
        <w:autoSpaceDN/>
        <w:bidi w:val="0"/>
        <w:adjustRightInd/>
        <w:snapToGrid/>
        <w:spacing w:line="356" w:lineRule="auto"/>
        <w:ind w:firstLine="401"/>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截止时间：</w:t>
      </w:r>
      <w:bookmarkStart w:id="7" w:name="OLE_LINK79"/>
      <w:r>
        <w:rPr>
          <w:rFonts w:hint="eastAsia" w:ascii="宋体" w:hAnsi="宋体" w:eastAsia="宋体" w:cs="宋体"/>
          <w:color w:val="333333"/>
          <w:kern w:val="0"/>
          <w:sz w:val="24"/>
          <w:szCs w:val="24"/>
          <w:highlight w:val="none"/>
        </w:rPr>
        <w:t>202</w:t>
      </w:r>
      <w:r>
        <w:rPr>
          <w:rFonts w:hint="eastAsia" w:ascii="宋体" w:hAnsi="宋体" w:eastAsia="宋体" w:cs="宋体"/>
          <w:color w:val="333333"/>
          <w:kern w:val="0"/>
          <w:sz w:val="24"/>
          <w:szCs w:val="24"/>
          <w:highlight w:val="none"/>
          <w:lang w:val="en-US" w:eastAsia="zh-CN"/>
        </w:rPr>
        <w:t>6</w:t>
      </w:r>
      <w:r>
        <w:rPr>
          <w:rFonts w:hint="eastAsia" w:ascii="宋体" w:hAnsi="宋体" w:eastAsia="宋体" w:cs="宋体"/>
          <w:color w:val="333333"/>
          <w:kern w:val="0"/>
          <w:sz w:val="24"/>
          <w:szCs w:val="24"/>
          <w:highlight w:val="none"/>
        </w:rPr>
        <w:t>年</w:t>
      </w:r>
      <w:r>
        <w:rPr>
          <w:rFonts w:hint="eastAsia" w:ascii="宋体" w:hAnsi="宋体" w:eastAsia="宋体" w:cs="宋体"/>
          <w:color w:val="333333"/>
          <w:kern w:val="0"/>
          <w:sz w:val="24"/>
          <w:szCs w:val="24"/>
          <w:highlight w:val="none"/>
          <w:lang w:val="en-US" w:eastAsia="zh-CN"/>
        </w:rPr>
        <w:t>08月21日10</w:t>
      </w:r>
      <w:r>
        <w:rPr>
          <w:rFonts w:hint="eastAsia" w:ascii="宋体" w:hAnsi="宋体" w:eastAsia="宋体" w:cs="宋体"/>
          <w:color w:val="333333"/>
          <w:kern w:val="0"/>
          <w:sz w:val="24"/>
          <w:szCs w:val="24"/>
          <w:highlight w:val="none"/>
        </w:rPr>
        <w:t>时</w:t>
      </w:r>
      <w:r>
        <w:rPr>
          <w:rFonts w:hint="eastAsia" w:ascii="宋体" w:hAnsi="宋体" w:eastAsia="宋体" w:cs="宋体"/>
          <w:color w:val="333333"/>
          <w:kern w:val="0"/>
          <w:sz w:val="24"/>
          <w:szCs w:val="24"/>
          <w:highlight w:val="none"/>
          <w:lang w:val="en-US" w:eastAsia="zh-CN"/>
        </w:rPr>
        <w:t>00</w:t>
      </w:r>
      <w:r>
        <w:rPr>
          <w:rFonts w:hint="eastAsia" w:ascii="宋体" w:hAnsi="宋体" w:eastAsia="宋体" w:cs="宋体"/>
          <w:color w:val="333333"/>
          <w:kern w:val="0"/>
          <w:sz w:val="24"/>
          <w:szCs w:val="24"/>
          <w:highlight w:val="none"/>
        </w:rPr>
        <w:t>分</w:t>
      </w:r>
      <w:r>
        <w:rPr>
          <w:rFonts w:hint="eastAsia" w:ascii="宋体" w:hAnsi="宋体" w:eastAsia="宋体" w:cs="宋体"/>
          <w:color w:val="333333"/>
          <w:kern w:val="0"/>
          <w:sz w:val="24"/>
          <w:szCs w:val="24"/>
          <w:highlight w:val="none"/>
          <w:lang w:val="en-US" w:eastAsia="zh-CN"/>
        </w:rPr>
        <w:t>00</w:t>
      </w:r>
      <w:r>
        <w:rPr>
          <w:rFonts w:hint="eastAsia" w:ascii="宋体" w:hAnsi="宋体" w:eastAsia="宋体" w:cs="宋体"/>
          <w:color w:val="333333"/>
          <w:kern w:val="0"/>
          <w:sz w:val="24"/>
          <w:szCs w:val="24"/>
          <w:highlight w:val="none"/>
        </w:rPr>
        <w:t>秒</w:t>
      </w:r>
      <w:bookmarkEnd w:id="7"/>
      <w:r>
        <w:rPr>
          <w:rFonts w:hint="eastAsia" w:ascii="宋体" w:hAnsi="宋体" w:eastAsia="宋体" w:cs="宋体"/>
          <w:color w:val="333333"/>
          <w:kern w:val="0"/>
          <w:sz w:val="24"/>
          <w:szCs w:val="24"/>
          <w:highlight w:val="none"/>
        </w:rPr>
        <w:t>（北京时间）</w:t>
      </w:r>
    </w:p>
    <w:p w14:paraId="168EE837">
      <w:pPr>
        <w:keepNext w:val="0"/>
        <w:keepLines w:val="0"/>
        <w:pageBreakBefore w:val="0"/>
        <w:widowControl/>
        <w:shd w:val="clear" w:color="auto" w:fill="FFFFFF"/>
        <w:kinsoku/>
        <w:wordWrap w:val="0"/>
        <w:overflowPunct/>
        <w:topLinePunct w:val="0"/>
        <w:autoSpaceDE/>
        <w:autoSpaceDN/>
        <w:bidi w:val="0"/>
        <w:adjustRightInd/>
        <w:snapToGrid/>
        <w:spacing w:line="356" w:lineRule="auto"/>
        <w:ind w:firstLine="401"/>
        <w:textAlignment w:val="auto"/>
        <w:rPr>
          <w:rFonts w:hint="default"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rPr>
        <w:t>地</w:t>
      </w:r>
      <w:r>
        <w:rPr>
          <w:rFonts w:hint="eastAsia" w:ascii="宋体" w:hAnsi="宋体" w:eastAsia="宋体" w:cs="宋体"/>
          <w:color w:val="333333"/>
          <w:kern w:val="0"/>
          <w:sz w:val="24"/>
          <w:szCs w:val="24"/>
          <w:highlight w:val="none"/>
          <w:lang w:val="en-US" w:eastAsia="zh-CN"/>
        </w:rPr>
        <w:t xml:space="preserve">    </w:t>
      </w:r>
      <w:r>
        <w:rPr>
          <w:rFonts w:hint="eastAsia" w:ascii="宋体" w:hAnsi="宋体" w:eastAsia="宋体" w:cs="宋体"/>
          <w:color w:val="333333"/>
          <w:kern w:val="0"/>
          <w:sz w:val="24"/>
          <w:szCs w:val="24"/>
          <w:highlight w:val="none"/>
        </w:rPr>
        <w:t>点：</w:t>
      </w:r>
      <w:bookmarkStart w:id="8" w:name="OLE_LINK35"/>
      <w:r>
        <w:rPr>
          <w:rFonts w:hint="eastAsia" w:ascii="宋体" w:hAnsi="宋体" w:eastAsia="宋体" w:cs="宋体"/>
          <w:color w:val="333333"/>
          <w:kern w:val="0"/>
          <w:sz w:val="24"/>
          <w:szCs w:val="24"/>
          <w:highlight w:val="none"/>
        </w:rPr>
        <w:t>延安市公共资源交易中心</w:t>
      </w:r>
      <w:bookmarkEnd w:id="8"/>
      <w:r>
        <w:rPr>
          <w:rFonts w:hint="eastAsia" w:ascii="宋体" w:hAnsi="宋体" w:eastAsia="宋体" w:cs="宋体"/>
          <w:color w:val="333333"/>
          <w:kern w:val="0"/>
          <w:sz w:val="24"/>
          <w:szCs w:val="24"/>
          <w:highlight w:val="none"/>
          <w:lang w:val="en-US" w:eastAsia="zh-CN"/>
        </w:rPr>
        <w:t>开标5室</w:t>
      </w:r>
    </w:p>
    <w:p w14:paraId="7AF66E9A">
      <w:pPr>
        <w:keepNext w:val="0"/>
        <w:keepLines w:val="0"/>
        <w:pageBreakBefore w:val="0"/>
        <w:widowControl/>
        <w:shd w:val="clear" w:color="auto" w:fill="FFFFFF"/>
        <w:kinsoku/>
        <w:wordWrap w:val="0"/>
        <w:overflowPunct/>
        <w:topLinePunct w:val="0"/>
        <w:autoSpaceDE/>
        <w:autoSpaceDN/>
        <w:bidi w:val="0"/>
        <w:adjustRightInd/>
        <w:snapToGrid/>
        <w:spacing w:line="356" w:lineRule="auto"/>
        <w:jc w:val="left"/>
        <w:textAlignment w:val="auto"/>
        <w:outlineLvl w:val="3"/>
        <w:rPr>
          <w:rFonts w:hint="eastAsia" w:ascii="宋体" w:hAnsi="宋体" w:eastAsia="宋体" w:cs="宋体"/>
          <w:color w:val="333333"/>
          <w:kern w:val="0"/>
          <w:sz w:val="24"/>
          <w:szCs w:val="24"/>
          <w:highlight w:val="none"/>
        </w:rPr>
      </w:pPr>
      <w:r>
        <w:rPr>
          <w:rFonts w:hint="eastAsia" w:ascii="宋体" w:hAnsi="宋体" w:eastAsia="宋体" w:cs="宋体"/>
          <w:b/>
          <w:bCs/>
          <w:color w:val="333333"/>
          <w:kern w:val="0"/>
          <w:sz w:val="24"/>
          <w:szCs w:val="24"/>
          <w:highlight w:val="none"/>
        </w:rPr>
        <w:t>五、开启</w:t>
      </w:r>
    </w:p>
    <w:p w14:paraId="62DC7E8A">
      <w:pPr>
        <w:keepNext w:val="0"/>
        <w:keepLines w:val="0"/>
        <w:pageBreakBefore w:val="0"/>
        <w:widowControl/>
        <w:shd w:val="clear" w:color="auto" w:fill="FFFFFF"/>
        <w:kinsoku/>
        <w:wordWrap w:val="0"/>
        <w:overflowPunct/>
        <w:topLinePunct w:val="0"/>
        <w:autoSpaceDE/>
        <w:autoSpaceDN/>
        <w:bidi w:val="0"/>
        <w:adjustRightInd/>
        <w:snapToGrid/>
        <w:spacing w:line="356" w:lineRule="auto"/>
        <w:ind w:firstLine="401"/>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时间：202</w:t>
      </w:r>
      <w:r>
        <w:rPr>
          <w:rFonts w:hint="eastAsia" w:ascii="宋体" w:hAnsi="宋体" w:eastAsia="宋体" w:cs="宋体"/>
          <w:color w:val="333333"/>
          <w:kern w:val="0"/>
          <w:sz w:val="24"/>
          <w:szCs w:val="24"/>
          <w:highlight w:val="none"/>
          <w:lang w:val="en-US" w:eastAsia="zh-CN"/>
        </w:rPr>
        <w:t>6</w:t>
      </w:r>
      <w:r>
        <w:rPr>
          <w:rFonts w:hint="eastAsia" w:ascii="宋体" w:hAnsi="宋体" w:eastAsia="宋体" w:cs="宋体"/>
          <w:color w:val="333333"/>
          <w:kern w:val="0"/>
          <w:sz w:val="24"/>
          <w:szCs w:val="24"/>
          <w:highlight w:val="none"/>
        </w:rPr>
        <w:t>年</w:t>
      </w:r>
      <w:r>
        <w:rPr>
          <w:rFonts w:hint="eastAsia" w:ascii="宋体" w:hAnsi="宋体" w:eastAsia="宋体" w:cs="宋体"/>
          <w:color w:val="333333"/>
          <w:kern w:val="0"/>
          <w:sz w:val="24"/>
          <w:szCs w:val="24"/>
          <w:highlight w:val="none"/>
          <w:lang w:val="en-US" w:eastAsia="zh-CN"/>
        </w:rPr>
        <w:t>08月21日10</w:t>
      </w:r>
      <w:r>
        <w:rPr>
          <w:rFonts w:hint="eastAsia" w:ascii="宋体" w:hAnsi="宋体" w:eastAsia="宋体" w:cs="宋体"/>
          <w:color w:val="333333"/>
          <w:kern w:val="0"/>
          <w:sz w:val="24"/>
          <w:szCs w:val="24"/>
          <w:highlight w:val="none"/>
        </w:rPr>
        <w:t>时</w:t>
      </w:r>
      <w:r>
        <w:rPr>
          <w:rFonts w:hint="eastAsia" w:ascii="宋体" w:hAnsi="宋体" w:eastAsia="宋体" w:cs="宋体"/>
          <w:color w:val="333333"/>
          <w:kern w:val="0"/>
          <w:sz w:val="24"/>
          <w:szCs w:val="24"/>
          <w:highlight w:val="none"/>
          <w:lang w:val="en-US" w:eastAsia="zh-CN"/>
        </w:rPr>
        <w:t>00</w:t>
      </w:r>
      <w:r>
        <w:rPr>
          <w:rFonts w:hint="eastAsia" w:ascii="宋体" w:hAnsi="宋体" w:eastAsia="宋体" w:cs="宋体"/>
          <w:color w:val="333333"/>
          <w:kern w:val="0"/>
          <w:sz w:val="24"/>
          <w:szCs w:val="24"/>
          <w:highlight w:val="none"/>
        </w:rPr>
        <w:t>分</w:t>
      </w:r>
      <w:r>
        <w:rPr>
          <w:rFonts w:hint="eastAsia" w:ascii="宋体" w:hAnsi="宋体" w:eastAsia="宋体" w:cs="宋体"/>
          <w:color w:val="333333"/>
          <w:kern w:val="0"/>
          <w:sz w:val="24"/>
          <w:szCs w:val="24"/>
          <w:highlight w:val="none"/>
          <w:lang w:val="en-US" w:eastAsia="zh-CN"/>
        </w:rPr>
        <w:t>0</w:t>
      </w:r>
      <w:r>
        <w:rPr>
          <w:rFonts w:hint="eastAsia" w:ascii="宋体" w:hAnsi="宋体" w:eastAsia="宋体" w:cs="宋体"/>
          <w:color w:val="333333"/>
          <w:kern w:val="0"/>
          <w:sz w:val="24"/>
          <w:szCs w:val="24"/>
          <w:highlight w:val="none"/>
        </w:rPr>
        <w:t>0秒（北京时间）</w:t>
      </w:r>
    </w:p>
    <w:p w14:paraId="65D38391">
      <w:pPr>
        <w:keepNext w:val="0"/>
        <w:keepLines w:val="0"/>
        <w:pageBreakBefore w:val="0"/>
        <w:widowControl/>
        <w:shd w:val="clear" w:color="auto" w:fill="FFFFFF"/>
        <w:kinsoku/>
        <w:wordWrap w:val="0"/>
        <w:overflowPunct/>
        <w:topLinePunct w:val="0"/>
        <w:autoSpaceDE/>
        <w:autoSpaceDN/>
        <w:bidi w:val="0"/>
        <w:adjustRightInd/>
        <w:snapToGrid/>
        <w:spacing w:line="356" w:lineRule="auto"/>
        <w:ind w:firstLine="401"/>
        <w:textAlignment w:val="auto"/>
        <w:rPr>
          <w:rFonts w:hint="eastAsia" w:ascii="宋体" w:hAnsi="宋体" w:eastAsia="宋体" w:cs="宋体"/>
          <w:color w:val="333333"/>
          <w:kern w:val="0"/>
          <w:sz w:val="24"/>
          <w:szCs w:val="24"/>
          <w:highlight w:val="none"/>
          <w:lang w:eastAsia="zh-CN"/>
        </w:rPr>
      </w:pPr>
      <w:r>
        <w:rPr>
          <w:rFonts w:hint="eastAsia" w:ascii="宋体" w:hAnsi="宋体" w:eastAsia="宋体" w:cs="宋体"/>
          <w:color w:val="333333"/>
          <w:kern w:val="0"/>
          <w:sz w:val="24"/>
          <w:szCs w:val="24"/>
          <w:highlight w:val="none"/>
        </w:rPr>
        <w:t>地点：延安市公共资源交易中心</w:t>
      </w:r>
      <w:r>
        <w:rPr>
          <w:rFonts w:hint="eastAsia" w:ascii="宋体" w:hAnsi="宋体" w:eastAsia="宋体" w:cs="宋体"/>
          <w:color w:val="333333"/>
          <w:kern w:val="0"/>
          <w:sz w:val="24"/>
          <w:szCs w:val="24"/>
          <w:highlight w:val="none"/>
          <w:lang w:val="en-US" w:eastAsia="zh-CN"/>
        </w:rPr>
        <w:t>开标5室</w:t>
      </w:r>
    </w:p>
    <w:p w14:paraId="01785297">
      <w:pPr>
        <w:keepNext w:val="0"/>
        <w:keepLines w:val="0"/>
        <w:pageBreakBefore w:val="0"/>
        <w:widowControl/>
        <w:shd w:val="clear" w:color="auto" w:fill="FFFFFF"/>
        <w:kinsoku/>
        <w:wordWrap w:val="0"/>
        <w:overflowPunct/>
        <w:topLinePunct w:val="0"/>
        <w:autoSpaceDE/>
        <w:autoSpaceDN/>
        <w:bidi w:val="0"/>
        <w:adjustRightInd/>
        <w:snapToGrid/>
        <w:spacing w:line="356" w:lineRule="auto"/>
        <w:jc w:val="left"/>
        <w:textAlignment w:val="auto"/>
        <w:outlineLvl w:val="3"/>
        <w:rPr>
          <w:rFonts w:hint="eastAsia" w:ascii="宋体" w:hAnsi="宋体" w:eastAsia="宋体" w:cs="宋体"/>
          <w:color w:val="333333"/>
          <w:kern w:val="0"/>
          <w:sz w:val="24"/>
          <w:szCs w:val="24"/>
          <w:highlight w:val="none"/>
        </w:rPr>
      </w:pPr>
      <w:r>
        <w:rPr>
          <w:rFonts w:hint="eastAsia" w:ascii="宋体" w:hAnsi="宋体" w:eastAsia="宋体" w:cs="宋体"/>
          <w:b/>
          <w:bCs/>
          <w:color w:val="333333"/>
          <w:kern w:val="0"/>
          <w:sz w:val="24"/>
          <w:szCs w:val="24"/>
          <w:highlight w:val="none"/>
        </w:rPr>
        <w:t>六、公告期限</w:t>
      </w:r>
    </w:p>
    <w:p w14:paraId="4EFF0E10">
      <w:pPr>
        <w:keepNext w:val="0"/>
        <w:keepLines w:val="0"/>
        <w:pageBreakBefore w:val="0"/>
        <w:widowControl/>
        <w:shd w:val="clear" w:color="auto" w:fill="FFFFFF"/>
        <w:kinsoku/>
        <w:wordWrap w:val="0"/>
        <w:overflowPunct/>
        <w:topLinePunct w:val="0"/>
        <w:autoSpaceDE/>
        <w:autoSpaceDN/>
        <w:bidi w:val="0"/>
        <w:adjustRightInd/>
        <w:snapToGrid/>
        <w:spacing w:line="356" w:lineRule="auto"/>
        <w:ind w:firstLine="401"/>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自本公告发布之日起3个工作日。</w:t>
      </w:r>
    </w:p>
    <w:p w14:paraId="0144184E">
      <w:pPr>
        <w:keepNext w:val="0"/>
        <w:keepLines w:val="0"/>
        <w:pageBreakBefore w:val="0"/>
        <w:widowControl/>
        <w:shd w:val="clear" w:color="auto" w:fill="FFFFFF"/>
        <w:kinsoku/>
        <w:wordWrap w:val="0"/>
        <w:overflowPunct/>
        <w:topLinePunct w:val="0"/>
        <w:autoSpaceDE/>
        <w:autoSpaceDN/>
        <w:bidi w:val="0"/>
        <w:adjustRightInd/>
        <w:snapToGrid/>
        <w:spacing w:line="356" w:lineRule="auto"/>
        <w:jc w:val="left"/>
        <w:textAlignment w:val="auto"/>
        <w:outlineLvl w:val="3"/>
        <w:rPr>
          <w:rFonts w:hint="eastAsia" w:ascii="宋体" w:hAnsi="宋体" w:eastAsia="宋体" w:cs="宋体"/>
          <w:color w:val="333333"/>
          <w:kern w:val="0"/>
          <w:sz w:val="24"/>
          <w:szCs w:val="24"/>
          <w:highlight w:val="none"/>
        </w:rPr>
      </w:pPr>
      <w:r>
        <w:rPr>
          <w:rFonts w:hint="eastAsia" w:ascii="宋体" w:hAnsi="宋体" w:eastAsia="宋体" w:cs="宋体"/>
          <w:b/>
          <w:bCs/>
          <w:color w:val="333333"/>
          <w:kern w:val="0"/>
          <w:sz w:val="24"/>
          <w:szCs w:val="24"/>
          <w:highlight w:val="none"/>
        </w:rPr>
        <w:t>七、其他补充事宜</w:t>
      </w:r>
    </w:p>
    <w:p w14:paraId="58B2E26C">
      <w:pPr>
        <w:keepNext w:val="0"/>
        <w:keepLines w:val="0"/>
        <w:pageBreakBefore w:val="0"/>
        <w:widowControl/>
        <w:shd w:val="clear" w:color="auto" w:fill="FFFFFF"/>
        <w:kinsoku/>
        <w:wordWrap w:val="0"/>
        <w:overflowPunct/>
        <w:topLinePunct w:val="0"/>
        <w:autoSpaceDE/>
        <w:autoSpaceDN/>
        <w:bidi w:val="0"/>
        <w:adjustRightInd/>
        <w:snapToGrid/>
        <w:spacing w:line="356" w:lineRule="auto"/>
        <w:ind w:firstLine="480"/>
        <w:textAlignment w:val="auto"/>
        <w:rPr>
          <w:rFonts w:hint="eastAsia" w:ascii="宋体" w:hAnsi="宋体" w:eastAsia="宋体" w:cs="宋体"/>
          <w:color w:val="333333"/>
          <w:kern w:val="0"/>
          <w:sz w:val="24"/>
          <w:szCs w:val="24"/>
          <w:highlight w:val="none"/>
        </w:rPr>
      </w:pPr>
      <w:bookmarkStart w:id="9" w:name="OLE_LINK36"/>
      <w:r>
        <w:rPr>
          <w:rFonts w:hint="eastAsia" w:ascii="宋体" w:hAnsi="宋体" w:eastAsia="宋体" w:cs="宋体"/>
          <w:color w:val="000000"/>
          <w:kern w:val="0"/>
          <w:sz w:val="24"/>
          <w:szCs w:val="24"/>
          <w:highlight w:val="none"/>
          <w:shd w:val="clear" w:color="auto" w:fill="FFFFFF"/>
        </w:rPr>
        <w:t>1.报名登记：供应商使用捆绑CA证书登录全国公共资源交易平台（陕西省·延安市）延安市公共资源交易中心 ，选择电子交易平台中的陕西政府采购交易系统 进行登录，登录后选择“交易乙方”身份进入供应商界面进行报名。</w:t>
      </w:r>
    </w:p>
    <w:p w14:paraId="52440D52">
      <w:pPr>
        <w:keepNext w:val="0"/>
        <w:keepLines w:val="0"/>
        <w:pageBreakBefore w:val="0"/>
        <w:widowControl/>
        <w:shd w:val="clear" w:color="auto" w:fill="FFFFFF"/>
        <w:kinsoku/>
        <w:wordWrap w:val="0"/>
        <w:overflowPunct/>
        <w:topLinePunct w:val="0"/>
        <w:autoSpaceDE/>
        <w:autoSpaceDN/>
        <w:bidi w:val="0"/>
        <w:adjustRightInd/>
        <w:snapToGrid/>
        <w:spacing w:line="356" w:lineRule="auto"/>
        <w:ind w:firstLine="480"/>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000000"/>
          <w:kern w:val="0"/>
          <w:sz w:val="24"/>
          <w:szCs w:val="24"/>
          <w:highlight w:val="none"/>
          <w:shd w:val="clear" w:color="auto" w:fill="FFFFFF"/>
        </w:rPr>
        <w:t>2.下载文件：供应商登录延安市公共资源交易中心，选择“交易乙方”身份进入供应商界面下载采购文件。</w:t>
      </w:r>
    </w:p>
    <w:p w14:paraId="31FAAB8B">
      <w:pPr>
        <w:keepNext w:val="0"/>
        <w:keepLines w:val="0"/>
        <w:pageBreakBefore w:val="0"/>
        <w:widowControl/>
        <w:shd w:val="clear" w:color="auto" w:fill="FFFFFF"/>
        <w:kinsoku/>
        <w:wordWrap w:val="0"/>
        <w:overflowPunct/>
        <w:topLinePunct w:val="0"/>
        <w:autoSpaceDE/>
        <w:autoSpaceDN/>
        <w:bidi w:val="0"/>
        <w:adjustRightInd/>
        <w:snapToGrid/>
        <w:spacing w:line="356" w:lineRule="auto"/>
        <w:ind w:firstLine="480"/>
        <w:textAlignment w:val="auto"/>
        <w:rPr>
          <w:rFonts w:hint="eastAsia" w:ascii="宋体" w:hAnsi="宋体" w:eastAsia="宋体" w:cs="宋体"/>
          <w:color w:val="000000"/>
          <w:kern w:val="0"/>
          <w:sz w:val="24"/>
          <w:szCs w:val="24"/>
          <w:highlight w:val="none"/>
          <w:shd w:val="clear" w:color="auto" w:fill="FFFFFF"/>
        </w:rPr>
      </w:pPr>
      <w:r>
        <w:rPr>
          <w:rFonts w:hint="eastAsia" w:ascii="宋体" w:hAnsi="宋体" w:eastAsia="宋体" w:cs="宋体"/>
          <w:color w:val="000000"/>
          <w:kern w:val="0"/>
          <w:sz w:val="24"/>
          <w:szCs w:val="24"/>
          <w:highlight w:val="none"/>
          <w:shd w:val="clear" w:color="auto" w:fill="FFFFFF"/>
        </w:rPr>
        <w:t>3.请供应商按照陕西省财政厅关于政府采购供应商注册登记有关事项的通知中的要求，通过陕西省政府采购网注册登记加入陕西省政府采购供应商库。</w:t>
      </w:r>
    </w:p>
    <w:p w14:paraId="2B1F76E0">
      <w:pPr>
        <w:keepNext w:val="0"/>
        <w:keepLines w:val="0"/>
        <w:pageBreakBefore w:val="0"/>
        <w:widowControl/>
        <w:shd w:val="clear" w:color="auto" w:fill="FFFFFF"/>
        <w:kinsoku/>
        <w:wordWrap w:val="0"/>
        <w:overflowPunct/>
        <w:topLinePunct w:val="0"/>
        <w:autoSpaceDE/>
        <w:autoSpaceDN/>
        <w:bidi w:val="0"/>
        <w:adjustRightInd/>
        <w:snapToGrid/>
        <w:spacing w:line="356" w:lineRule="auto"/>
        <w:ind w:firstLine="480"/>
        <w:textAlignment w:val="auto"/>
        <w:rPr>
          <w:rFonts w:hint="eastAsia" w:ascii="宋体" w:hAnsi="宋体" w:eastAsia="宋体" w:cs="宋体"/>
          <w:color w:val="000000"/>
          <w:kern w:val="0"/>
          <w:sz w:val="24"/>
          <w:szCs w:val="24"/>
          <w:highlight w:val="none"/>
          <w:shd w:val="clear" w:color="auto" w:fill="FFFFFF"/>
          <w:lang w:eastAsia="zh-CN"/>
        </w:rPr>
      </w:pPr>
      <w:r>
        <w:rPr>
          <w:rFonts w:hint="eastAsia" w:ascii="宋体" w:hAnsi="宋体" w:eastAsia="宋体" w:cs="宋体"/>
          <w:color w:val="000000"/>
          <w:kern w:val="0"/>
          <w:sz w:val="24"/>
          <w:szCs w:val="24"/>
          <w:highlight w:val="none"/>
          <w:shd w:val="clear" w:color="auto" w:fill="FFFFFF"/>
          <w:lang w:val="en-US" w:eastAsia="zh-CN"/>
        </w:rPr>
        <w:t>4.</w:t>
      </w:r>
      <w:r>
        <w:rPr>
          <w:rFonts w:hint="eastAsia" w:ascii="宋体" w:hAnsi="宋体" w:eastAsia="宋体" w:cs="宋体"/>
          <w:color w:val="000000"/>
          <w:kern w:val="0"/>
          <w:sz w:val="24"/>
          <w:szCs w:val="24"/>
          <w:highlight w:val="none"/>
          <w:shd w:val="clear" w:color="auto" w:fill="FFFFFF"/>
          <w:lang w:eastAsia="zh-CN"/>
        </w:rPr>
        <w:t>本项目不专门面向中小企业采购，对小微企业给予10%价格扣除，用扣除后的价格参加评审；本次开标采用线上不见面开标模式，电子文件上传递交；供应商需在开标前登录政府采购不见面开标大厅进行签到、解密。</w:t>
      </w:r>
    </w:p>
    <w:p w14:paraId="2105B8E8">
      <w:pPr>
        <w:keepNext w:val="0"/>
        <w:keepLines w:val="0"/>
        <w:pageBreakBefore w:val="0"/>
        <w:widowControl/>
        <w:shd w:val="clear" w:color="auto" w:fill="FFFFFF"/>
        <w:kinsoku/>
        <w:wordWrap w:val="0"/>
        <w:overflowPunct/>
        <w:topLinePunct w:val="0"/>
        <w:autoSpaceDE/>
        <w:autoSpaceDN/>
        <w:bidi w:val="0"/>
        <w:adjustRightInd/>
        <w:snapToGrid/>
        <w:spacing w:line="356" w:lineRule="auto"/>
        <w:ind w:firstLine="480"/>
        <w:textAlignment w:val="auto"/>
        <w:rPr>
          <w:rFonts w:hint="eastAsia" w:ascii="宋体" w:hAnsi="宋体" w:eastAsia="宋体" w:cs="宋体"/>
          <w:color w:val="000000"/>
          <w:kern w:val="0"/>
          <w:sz w:val="24"/>
          <w:szCs w:val="24"/>
          <w:highlight w:val="none"/>
          <w:shd w:val="clear" w:color="auto" w:fill="FFFFFF"/>
          <w:lang w:eastAsia="zh-CN"/>
        </w:rPr>
      </w:pPr>
      <w:r>
        <w:rPr>
          <w:rFonts w:hint="eastAsia" w:ascii="宋体" w:hAnsi="宋体" w:eastAsia="宋体" w:cs="宋体"/>
          <w:color w:val="000000"/>
          <w:kern w:val="0"/>
          <w:sz w:val="24"/>
          <w:szCs w:val="24"/>
          <w:highlight w:val="none"/>
          <w:shd w:val="clear" w:color="auto" w:fill="FFFFFF"/>
          <w:lang w:val="en-US" w:eastAsia="zh-CN"/>
        </w:rPr>
        <w:t>5.</w:t>
      </w:r>
      <w:r>
        <w:rPr>
          <w:rFonts w:hint="eastAsia" w:ascii="宋体" w:hAnsi="宋体" w:eastAsia="宋体" w:cs="宋体"/>
          <w:color w:val="000000"/>
          <w:kern w:val="0"/>
          <w:sz w:val="24"/>
          <w:szCs w:val="24"/>
          <w:highlight w:val="none"/>
          <w:shd w:val="clear" w:color="auto" w:fill="FFFFFF"/>
          <w:lang w:eastAsia="zh-CN"/>
        </w:rPr>
        <w:t>发布公告的媒介:本次招标公告在《陕西省政府采购网》、《全国公共资源交易平台(陕西省·延安市)》上同时发布。</w:t>
      </w:r>
    </w:p>
    <w:bookmarkEnd w:id="9"/>
    <w:p w14:paraId="2135A51B">
      <w:pPr>
        <w:keepNext w:val="0"/>
        <w:keepLines w:val="0"/>
        <w:pageBreakBefore w:val="0"/>
        <w:widowControl/>
        <w:shd w:val="clear" w:color="auto" w:fill="FFFFFF"/>
        <w:kinsoku/>
        <w:wordWrap w:val="0"/>
        <w:overflowPunct/>
        <w:topLinePunct w:val="0"/>
        <w:autoSpaceDE/>
        <w:autoSpaceDN/>
        <w:bidi w:val="0"/>
        <w:adjustRightInd/>
        <w:snapToGrid/>
        <w:spacing w:line="356" w:lineRule="auto"/>
        <w:jc w:val="left"/>
        <w:textAlignment w:val="auto"/>
        <w:outlineLvl w:val="3"/>
        <w:rPr>
          <w:rFonts w:hint="eastAsia" w:ascii="宋体" w:hAnsi="宋体" w:eastAsia="宋体" w:cs="宋体"/>
          <w:color w:val="333333"/>
          <w:kern w:val="0"/>
          <w:sz w:val="24"/>
          <w:szCs w:val="24"/>
          <w:highlight w:val="none"/>
        </w:rPr>
      </w:pPr>
      <w:r>
        <w:rPr>
          <w:rFonts w:hint="eastAsia" w:ascii="宋体" w:hAnsi="宋体" w:eastAsia="宋体" w:cs="宋体"/>
          <w:b/>
          <w:bCs/>
          <w:color w:val="333333"/>
          <w:kern w:val="0"/>
          <w:sz w:val="24"/>
          <w:szCs w:val="24"/>
          <w:highlight w:val="none"/>
        </w:rPr>
        <w:t>八、对本次招标提出询问，请按以下方式联系</w:t>
      </w:r>
    </w:p>
    <w:p w14:paraId="50CC457B">
      <w:pPr>
        <w:keepNext w:val="0"/>
        <w:keepLines w:val="0"/>
        <w:pageBreakBefore w:val="0"/>
        <w:widowControl/>
        <w:shd w:val="clear" w:color="auto" w:fill="FFFFFF"/>
        <w:kinsoku/>
        <w:wordWrap w:val="0"/>
        <w:overflowPunct/>
        <w:topLinePunct w:val="0"/>
        <w:autoSpaceDE/>
        <w:autoSpaceDN/>
        <w:bidi w:val="0"/>
        <w:adjustRightInd/>
        <w:snapToGrid/>
        <w:spacing w:line="356" w:lineRule="auto"/>
        <w:jc w:val="left"/>
        <w:textAlignment w:val="auto"/>
        <w:outlineLvl w:val="5"/>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1.采购人信息</w:t>
      </w:r>
    </w:p>
    <w:p w14:paraId="27063DC5">
      <w:pPr>
        <w:keepNext w:val="0"/>
        <w:keepLines w:val="0"/>
        <w:pageBreakBefore w:val="0"/>
        <w:widowControl/>
        <w:shd w:val="clear" w:color="auto" w:fill="FFFFFF"/>
        <w:kinsoku/>
        <w:wordWrap w:val="0"/>
        <w:overflowPunct/>
        <w:topLinePunct w:val="0"/>
        <w:autoSpaceDE/>
        <w:autoSpaceDN/>
        <w:bidi w:val="0"/>
        <w:adjustRightInd/>
        <w:snapToGrid/>
        <w:spacing w:line="356" w:lineRule="auto"/>
        <w:ind w:firstLine="401"/>
        <w:textAlignment w:val="auto"/>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rPr>
        <w:t>名称：</w:t>
      </w:r>
      <w:r>
        <w:rPr>
          <w:rFonts w:hint="eastAsia" w:ascii="宋体" w:hAnsi="宋体" w:eastAsia="宋体" w:cs="宋体"/>
          <w:color w:val="333333"/>
          <w:kern w:val="0"/>
          <w:sz w:val="24"/>
          <w:szCs w:val="24"/>
          <w:highlight w:val="none"/>
          <w:lang w:val="en-US" w:eastAsia="zh-CN"/>
        </w:rPr>
        <w:t>宜川县云岩中心卫生院</w:t>
      </w:r>
    </w:p>
    <w:p w14:paraId="06D51E4E">
      <w:pPr>
        <w:keepNext w:val="0"/>
        <w:keepLines w:val="0"/>
        <w:pageBreakBefore w:val="0"/>
        <w:widowControl/>
        <w:shd w:val="clear" w:color="auto" w:fill="FFFFFF"/>
        <w:kinsoku/>
        <w:wordWrap w:val="0"/>
        <w:overflowPunct/>
        <w:topLinePunct w:val="0"/>
        <w:autoSpaceDE/>
        <w:autoSpaceDN/>
        <w:bidi w:val="0"/>
        <w:adjustRightInd/>
        <w:snapToGrid/>
        <w:spacing w:line="356" w:lineRule="auto"/>
        <w:ind w:firstLine="401"/>
        <w:textAlignment w:val="auto"/>
        <w:rPr>
          <w:rFonts w:hint="eastAsia" w:ascii="宋体" w:hAnsi="宋体" w:eastAsia="宋体" w:cs="宋体"/>
          <w:color w:val="333333"/>
          <w:kern w:val="0"/>
          <w:sz w:val="24"/>
          <w:szCs w:val="24"/>
          <w:highlight w:val="none"/>
          <w:lang w:eastAsia="zh-CN"/>
        </w:rPr>
      </w:pPr>
      <w:r>
        <w:rPr>
          <w:rFonts w:hint="eastAsia" w:ascii="宋体" w:hAnsi="宋体" w:eastAsia="宋体" w:cs="宋体"/>
          <w:color w:val="333333"/>
          <w:kern w:val="0"/>
          <w:sz w:val="24"/>
          <w:szCs w:val="24"/>
          <w:highlight w:val="none"/>
        </w:rPr>
        <w:t>地址：</w:t>
      </w:r>
      <w:r>
        <w:rPr>
          <w:rFonts w:hint="eastAsia" w:ascii="宋体" w:hAnsi="宋体" w:eastAsia="宋体" w:cs="宋体"/>
          <w:color w:val="333333"/>
          <w:kern w:val="0"/>
          <w:sz w:val="24"/>
          <w:szCs w:val="24"/>
          <w:highlight w:val="none"/>
          <w:lang w:eastAsia="zh-CN"/>
        </w:rPr>
        <w:t>陕西省延安市宜川县云岩镇云岩街72号</w:t>
      </w:r>
    </w:p>
    <w:p w14:paraId="3BA1FBBB">
      <w:pPr>
        <w:keepNext w:val="0"/>
        <w:keepLines w:val="0"/>
        <w:pageBreakBefore w:val="0"/>
        <w:widowControl/>
        <w:shd w:val="clear" w:color="auto" w:fill="FFFFFF"/>
        <w:kinsoku/>
        <w:wordWrap w:val="0"/>
        <w:overflowPunct/>
        <w:topLinePunct w:val="0"/>
        <w:autoSpaceDE/>
        <w:autoSpaceDN/>
        <w:bidi w:val="0"/>
        <w:adjustRightInd/>
        <w:snapToGrid/>
        <w:spacing w:line="356" w:lineRule="auto"/>
        <w:ind w:firstLine="401"/>
        <w:textAlignment w:val="auto"/>
        <w:rPr>
          <w:rFonts w:hint="eastAsia" w:ascii="宋体" w:hAnsi="宋体" w:eastAsia="宋体" w:cs="宋体"/>
          <w:color w:val="333333"/>
          <w:kern w:val="0"/>
          <w:sz w:val="24"/>
          <w:szCs w:val="24"/>
          <w:highlight w:val="none"/>
          <w:lang w:eastAsia="zh-CN"/>
        </w:rPr>
      </w:pPr>
      <w:r>
        <w:rPr>
          <w:rFonts w:hint="eastAsia" w:ascii="宋体" w:hAnsi="宋体" w:eastAsia="宋体" w:cs="宋体"/>
          <w:color w:val="333333"/>
          <w:kern w:val="0"/>
          <w:sz w:val="24"/>
          <w:szCs w:val="24"/>
          <w:highlight w:val="none"/>
        </w:rPr>
        <w:t>联系方式</w:t>
      </w:r>
      <w:r>
        <w:rPr>
          <w:rFonts w:hint="eastAsia" w:ascii="宋体" w:hAnsi="宋体" w:eastAsia="宋体" w:cs="宋体"/>
          <w:color w:val="333333"/>
          <w:kern w:val="0"/>
          <w:sz w:val="24"/>
          <w:szCs w:val="24"/>
          <w:highlight w:val="none"/>
          <w:lang w:eastAsia="zh-CN"/>
        </w:rPr>
        <w:t>：18700101231</w:t>
      </w:r>
    </w:p>
    <w:p w14:paraId="03935EA2">
      <w:pPr>
        <w:keepNext w:val="0"/>
        <w:keepLines w:val="0"/>
        <w:pageBreakBefore w:val="0"/>
        <w:widowControl/>
        <w:shd w:val="clear" w:color="auto" w:fill="FFFFFF"/>
        <w:kinsoku/>
        <w:wordWrap w:val="0"/>
        <w:overflowPunct/>
        <w:topLinePunct w:val="0"/>
        <w:autoSpaceDE/>
        <w:autoSpaceDN/>
        <w:bidi w:val="0"/>
        <w:adjustRightInd/>
        <w:snapToGrid/>
        <w:spacing w:line="356" w:lineRule="auto"/>
        <w:jc w:val="left"/>
        <w:textAlignment w:val="auto"/>
        <w:outlineLvl w:val="5"/>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lang w:val="en-US" w:eastAsia="zh-CN"/>
        </w:rPr>
        <w:t>2.</w:t>
      </w:r>
      <w:r>
        <w:rPr>
          <w:rFonts w:hint="eastAsia" w:ascii="宋体" w:hAnsi="宋体" w:eastAsia="宋体" w:cs="宋体"/>
          <w:color w:val="333333"/>
          <w:kern w:val="0"/>
          <w:sz w:val="24"/>
          <w:szCs w:val="24"/>
          <w:highlight w:val="none"/>
        </w:rPr>
        <w:t>采购代理机构信息</w:t>
      </w:r>
    </w:p>
    <w:p w14:paraId="0719B508">
      <w:pPr>
        <w:keepNext w:val="0"/>
        <w:keepLines w:val="0"/>
        <w:pageBreakBefore w:val="0"/>
        <w:widowControl/>
        <w:shd w:val="clear" w:color="auto" w:fill="FFFFFF"/>
        <w:kinsoku/>
        <w:wordWrap w:val="0"/>
        <w:overflowPunct/>
        <w:topLinePunct w:val="0"/>
        <w:autoSpaceDE/>
        <w:autoSpaceDN/>
        <w:bidi w:val="0"/>
        <w:adjustRightInd/>
        <w:snapToGrid/>
        <w:spacing w:line="356" w:lineRule="auto"/>
        <w:ind w:firstLine="401"/>
        <w:textAlignment w:val="auto"/>
        <w:rPr>
          <w:rFonts w:hint="eastAsia" w:ascii="宋体" w:hAnsi="宋体" w:eastAsia="宋体" w:cs="宋体"/>
          <w:color w:val="333333"/>
          <w:kern w:val="0"/>
          <w:sz w:val="24"/>
          <w:szCs w:val="24"/>
          <w:highlight w:val="none"/>
          <w:lang w:eastAsia="zh-CN"/>
        </w:rPr>
      </w:pPr>
      <w:r>
        <w:rPr>
          <w:rFonts w:hint="eastAsia" w:ascii="宋体" w:hAnsi="宋体" w:eastAsia="宋体" w:cs="宋体"/>
          <w:color w:val="333333"/>
          <w:kern w:val="0"/>
          <w:sz w:val="24"/>
          <w:szCs w:val="24"/>
          <w:highlight w:val="none"/>
        </w:rPr>
        <w:t>名称：</w:t>
      </w:r>
      <w:r>
        <w:rPr>
          <w:rFonts w:hint="eastAsia" w:ascii="宋体" w:hAnsi="宋体" w:eastAsia="宋体" w:cs="宋体"/>
          <w:color w:val="333333"/>
          <w:kern w:val="0"/>
          <w:sz w:val="24"/>
          <w:szCs w:val="24"/>
          <w:highlight w:val="none"/>
          <w:lang w:eastAsia="zh-CN"/>
        </w:rPr>
        <w:t xml:space="preserve">华睿诚项目管理有限公司 </w:t>
      </w:r>
    </w:p>
    <w:p w14:paraId="1FB8DF2C">
      <w:pPr>
        <w:keepNext w:val="0"/>
        <w:keepLines w:val="0"/>
        <w:pageBreakBefore w:val="0"/>
        <w:widowControl/>
        <w:shd w:val="clear" w:color="auto" w:fill="FFFFFF"/>
        <w:kinsoku/>
        <w:wordWrap w:val="0"/>
        <w:overflowPunct/>
        <w:topLinePunct w:val="0"/>
        <w:autoSpaceDE/>
        <w:autoSpaceDN/>
        <w:bidi w:val="0"/>
        <w:adjustRightInd/>
        <w:snapToGrid/>
        <w:spacing w:line="356" w:lineRule="auto"/>
        <w:ind w:firstLine="401"/>
        <w:textAlignment w:val="auto"/>
        <w:rPr>
          <w:rFonts w:hint="eastAsia" w:ascii="宋体" w:hAnsi="宋体" w:eastAsia="宋体" w:cs="宋体"/>
          <w:color w:val="333333"/>
          <w:kern w:val="0"/>
          <w:sz w:val="24"/>
          <w:szCs w:val="24"/>
          <w:highlight w:val="none"/>
          <w:lang w:eastAsia="zh-CN"/>
        </w:rPr>
      </w:pPr>
      <w:r>
        <w:rPr>
          <w:rFonts w:hint="eastAsia" w:ascii="宋体" w:hAnsi="宋体" w:eastAsia="宋体" w:cs="宋体"/>
          <w:color w:val="333333"/>
          <w:kern w:val="0"/>
          <w:sz w:val="24"/>
          <w:szCs w:val="24"/>
          <w:highlight w:val="none"/>
        </w:rPr>
        <w:t>地址：</w:t>
      </w:r>
      <w:r>
        <w:rPr>
          <w:rFonts w:hint="eastAsia" w:ascii="宋体" w:hAnsi="宋体" w:eastAsia="宋体" w:cs="宋体"/>
          <w:color w:val="333333"/>
          <w:kern w:val="0"/>
          <w:sz w:val="24"/>
          <w:szCs w:val="24"/>
          <w:highlight w:val="none"/>
          <w:lang w:eastAsia="zh-CN"/>
        </w:rPr>
        <w:t xml:space="preserve">西安市曲江新区雁翔路旺座曲江 E 座 29 层 2901 号 </w:t>
      </w:r>
    </w:p>
    <w:p w14:paraId="158B031E">
      <w:pPr>
        <w:keepNext w:val="0"/>
        <w:keepLines w:val="0"/>
        <w:pageBreakBefore w:val="0"/>
        <w:widowControl/>
        <w:shd w:val="clear" w:color="auto" w:fill="FFFFFF"/>
        <w:kinsoku/>
        <w:wordWrap w:val="0"/>
        <w:overflowPunct/>
        <w:topLinePunct w:val="0"/>
        <w:autoSpaceDE/>
        <w:autoSpaceDN/>
        <w:bidi w:val="0"/>
        <w:adjustRightInd/>
        <w:snapToGrid/>
        <w:spacing w:line="356" w:lineRule="auto"/>
        <w:ind w:firstLine="401"/>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联系方式：</w:t>
      </w:r>
      <w:bookmarkStart w:id="10" w:name="OLE_LINK37"/>
      <w:r>
        <w:rPr>
          <w:rFonts w:hint="eastAsia" w:ascii="宋体" w:hAnsi="宋体" w:eastAsia="宋体" w:cs="宋体"/>
          <w:color w:val="333333"/>
          <w:kern w:val="0"/>
          <w:sz w:val="24"/>
          <w:szCs w:val="24"/>
          <w:highlight w:val="none"/>
        </w:rPr>
        <w:t>029-88618179</w:t>
      </w:r>
    </w:p>
    <w:bookmarkEnd w:id="10"/>
    <w:p w14:paraId="243FBBED">
      <w:pPr>
        <w:keepNext w:val="0"/>
        <w:keepLines w:val="0"/>
        <w:pageBreakBefore w:val="0"/>
        <w:widowControl/>
        <w:shd w:val="clear" w:color="auto" w:fill="FFFFFF"/>
        <w:kinsoku/>
        <w:wordWrap w:val="0"/>
        <w:overflowPunct/>
        <w:topLinePunct w:val="0"/>
        <w:autoSpaceDE/>
        <w:autoSpaceDN/>
        <w:bidi w:val="0"/>
        <w:adjustRightInd/>
        <w:snapToGrid/>
        <w:spacing w:line="356" w:lineRule="auto"/>
        <w:jc w:val="left"/>
        <w:textAlignment w:val="auto"/>
        <w:outlineLvl w:val="5"/>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3.项目联系方式</w:t>
      </w:r>
    </w:p>
    <w:p w14:paraId="0B16C461">
      <w:pPr>
        <w:keepNext w:val="0"/>
        <w:keepLines w:val="0"/>
        <w:pageBreakBefore w:val="0"/>
        <w:widowControl/>
        <w:shd w:val="clear" w:color="auto" w:fill="FFFFFF"/>
        <w:kinsoku/>
        <w:wordWrap w:val="0"/>
        <w:overflowPunct/>
        <w:topLinePunct w:val="0"/>
        <w:autoSpaceDE/>
        <w:autoSpaceDN/>
        <w:bidi w:val="0"/>
        <w:adjustRightInd/>
        <w:snapToGrid/>
        <w:spacing w:line="356" w:lineRule="auto"/>
        <w:ind w:firstLine="401"/>
        <w:textAlignment w:val="auto"/>
        <w:rPr>
          <w:rFonts w:hint="default"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rPr>
        <w:t>项目联系人：</w:t>
      </w:r>
      <w:r>
        <w:rPr>
          <w:rFonts w:hint="eastAsia" w:ascii="宋体" w:hAnsi="宋体" w:eastAsia="宋体" w:cs="宋体"/>
          <w:color w:val="333333"/>
          <w:kern w:val="0"/>
          <w:sz w:val="24"/>
          <w:szCs w:val="24"/>
          <w:highlight w:val="none"/>
          <w:lang w:val="en-US" w:eastAsia="zh-CN"/>
        </w:rPr>
        <w:t>刘亚娟</w:t>
      </w:r>
    </w:p>
    <w:p w14:paraId="3442822D">
      <w:pPr>
        <w:keepNext w:val="0"/>
        <w:keepLines w:val="0"/>
        <w:pageBreakBefore w:val="0"/>
        <w:widowControl/>
        <w:shd w:val="clear" w:color="auto" w:fill="FFFFFF"/>
        <w:kinsoku/>
        <w:wordWrap w:val="0"/>
        <w:overflowPunct/>
        <w:topLinePunct w:val="0"/>
        <w:autoSpaceDE/>
        <w:autoSpaceDN/>
        <w:bidi w:val="0"/>
        <w:adjustRightInd/>
        <w:snapToGrid/>
        <w:spacing w:line="356" w:lineRule="auto"/>
        <w:ind w:firstLine="401"/>
        <w:textAlignment w:val="auto"/>
        <w:rPr>
          <w:rFonts w:hint="default"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rPr>
        <w:t>电话：</w:t>
      </w:r>
      <w:bookmarkStart w:id="11" w:name="OLE_LINK38"/>
      <w:r>
        <w:rPr>
          <w:rFonts w:hint="eastAsia" w:ascii="宋体" w:hAnsi="宋体" w:eastAsia="宋体" w:cs="宋体"/>
          <w:color w:val="333333"/>
          <w:kern w:val="0"/>
          <w:sz w:val="24"/>
          <w:szCs w:val="24"/>
          <w:highlight w:val="none"/>
          <w:lang w:val="en-US" w:eastAsia="zh-CN"/>
        </w:rPr>
        <w:t>17899196953</w:t>
      </w:r>
    </w:p>
    <w:bookmarkEnd w:id="2"/>
    <w:bookmarkEnd w:id="11"/>
    <w:p w14:paraId="12B84193">
      <w:pPr>
        <w:pageBreakBefore w:val="0"/>
        <w:bidi w:val="0"/>
        <w:spacing w:line="360" w:lineRule="auto"/>
        <w:jc w:val="center"/>
        <w:rPr>
          <w:rFonts w:hint="eastAsia" w:ascii="宋体" w:hAnsi="宋体" w:eastAsia="宋体" w:cs="宋体"/>
          <w:b/>
          <w:bCs/>
          <w:kern w:val="2"/>
          <w:sz w:val="32"/>
          <w:szCs w:val="32"/>
          <w:highlight w:val="none"/>
        </w:rPr>
      </w:pPr>
      <w:r>
        <w:rPr>
          <w:rFonts w:hint="eastAsia" w:ascii="宋体" w:hAnsi="宋体" w:eastAsia="宋体" w:cs="宋体"/>
          <w:b/>
          <w:kern w:val="44"/>
          <w:sz w:val="44"/>
          <w:szCs w:val="44"/>
          <w:highlight w:val="none"/>
        </w:rPr>
        <w:br w:type="page"/>
      </w:r>
      <w:bookmarkEnd w:id="3"/>
      <w:bookmarkStart w:id="12" w:name="_Toc23854"/>
      <w:r>
        <w:rPr>
          <w:rFonts w:hint="eastAsia" w:ascii="宋体" w:hAnsi="宋体" w:eastAsia="宋体" w:cs="宋体"/>
          <w:b/>
          <w:bCs/>
          <w:kern w:val="2"/>
          <w:sz w:val="32"/>
          <w:szCs w:val="32"/>
          <w:highlight w:val="none"/>
        </w:rPr>
        <w:t>第二部分  谈判供应商须知</w:t>
      </w:r>
      <w:bookmarkEnd w:id="12"/>
      <w:bookmarkStart w:id="13" w:name="_Toc184283909"/>
      <w:bookmarkStart w:id="14" w:name="_Toc184274915"/>
    </w:p>
    <w:p w14:paraId="41B86A76">
      <w:pPr>
        <w:pStyle w:val="3"/>
        <w:pageBreakBefore w:val="0"/>
        <w:bidi w:val="0"/>
        <w:spacing w:before="360" w:beforeLines="150" w:after="0" w:line="360" w:lineRule="auto"/>
        <w:rPr>
          <w:rFonts w:hint="eastAsia" w:ascii="宋体" w:hAnsi="宋体" w:eastAsia="宋体" w:cs="宋体"/>
          <w:sz w:val="32"/>
          <w:highlight w:val="none"/>
        </w:rPr>
      </w:pPr>
      <w:bookmarkStart w:id="15" w:name="_Toc217446032"/>
      <w:bookmarkStart w:id="16" w:name="_Toc213396946"/>
      <w:bookmarkStart w:id="17" w:name="_Toc189727030"/>
      <w:bookmarkStart w:id="18" w:name="_Toc213496268"/>
      <w:bookmarkStart w:id="19" w:name="_Toc213397010"/>
      <w:bookmarkStart w:id="20" w:name="_Toc213396760"/>
      <w:r>
        <w:rPr>
          <w:rFonts w:hint="eastAsia" w:ascii="宋体" w:hAnsi="宋体" w:eastAsia="宋体" w:cs="宋体"/>
          <w:sz w:val="32"/>
          <w:highlight w:val="none"/>
        </w:rPr>
        <w:t>供应商须知前列表</w:t>
      </w:r>
      <w:bookmarkEnd w:id="13"/>
      <w:bookmarkEnd w:id="14"/>
      <w:bookmarkEnd w:id="15"/>
      <w:bookmarkEnd w:id="16"/>
      <w:bookmarkEnd w:id="17"/>
      <w:bookmarkEnd w:id="18"/>
      <w:bookmarkEnd w:id="19"/>
      <w:bookmarkEnd w:id="20"/>
    </w:p>
    <w:tbl>
      <w:tblPr>
        <w:tblStyle w:val="21"/>
        <w:tblW w:w="91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30"/>
        <w:gridCol w:w="1929"/>
        <w:gridCol w:w="6580"/>
      </w:tblGrid>
      <w:tr w14:paraId="63A03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34" w:hRule="atLeast"/>
          <w:tblHeader/>
        </w:trPr>
        <w:tc>
          <w:tcPr>
            <w:tcW w:w="630" w:type="dxa"/>
            <w:shd w:val="clear" w:color="auto" w:fill="auto"/>
            <w:vAlign w:val="center"/>
          </w:tcPr>
          <w:p w14:paraId="5AD90456">
            <w:pPr>
              <w:pageBreakBefore w:val="0"/>
              <w:bidi w:val="0"/>
              <w:spacing w:before="12" w:beforeLines="5" w:after="12" w:afterLines="5" w:line="36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1929" w:type="dxa"/>
            <w:shd w:val="clear" w:color="auto" w:fill="auto"/>
            <w:vAlign w:val="center"/>
          </w:tcPr>
          <w:p w14:paraId="52883E6B">
            <w:pPr>
              <w:pageBreakBefore w:val="0"/>
              <w:bidi w:val="0"/>
              <w:spacing w:before="12" w:beforeLines="5" w:after="12" w:afterLines="5" w:line="360" w:lineRule="auto"/>
              <w:ind w:firstLine="56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内容</w:t>
            </w:r>
          </w:p>
        </w:tc>
        <w:tc>
          <w:tcPr>
            <w:tcW w:w="6580" w:type="dxa"/>
            <w:shd w:val="clear" w:color="auto" w:fill="auto"/>
            <w:vAlign w:val="center"/>
          </w:tcPr>
          <w:p w14:paraId="4FCF6D48">
            <w:pPr>
              <w:pageBreakBefore w:val="0"/>
              <w:bidi w:val="0"/>
              <w:spacing w:before="12" w:beforeLines="5" w:after="12" w:afterLines="5" w:line="36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说明与要求</w:t>
            </w:r>
          </w:p>
        </w:tc>
      </w:tr>
      <w:tr w14:paraId="4B002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630" w:type="dxa"/>
            <w:shd w:val="clear" w:color="auto" w:fill="auto"/>
            <w:vAlign w:val="center"/>
          </w:tcPr>
          <w:p w14:paraId="148D5D1B">
            <w:pPr>
              <w:pageBreakBefore w:val="0"/>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929" w:type="dxa"/>
            <w:shd w:val="clear" w:color="auto" w:fill="auto"/>
            <w:vAlign w:val="center"/>
          </w:tcPr>
          <w:p w14:paraId="0E399387">
            <w:pPr>
              <w:keepNext/>
              <w:keepLines/>
              <w:pageBreakBefore w:val="0"/>
              <w:bidi w:val="0"/>
              <w:snapToGrid w:val="0"/>
              <w:spacing w:line="360" w:lineRule="auto"/>
              <w:ind w:right="560" w:firstLine="240" w:firstLineChars="100"/>
              <w:jc w:val="center"/>
              <w:outlineLvl w:val="6"/>
              <w:rPr>
                <w:rFonts w:hint="eastAsia" w:ascii="宋体" w:hAnsi="宋体" w:eastAsia="宋体" w:cs="宋体"/>
                <w:sz w:val="24"/>
                <w:szCs w:val="24"/>
                <w:highlight w:val="none"/>
              </w:rPr>
            </w:pPr>
            <w:r>
              <w:rPr>
                <w:rFonts w:hint="eastAsia" w:ascii="宋体" w:hAnsi="宋体" w:eastAsia="宋体" w:cs="宋体"/>
                <w:sz w:val="24"/>
                <w:szCs w:val="24"/>
                <w:highlight w:val="none"/>
              </w:rPr>
              <w:t>采购人</w:t>
            </w:r>
          </w:p>
        </w:tc>
        <w:tc>
          <w:tcPr>
            <w:tcW w:w="6580" w:type="dxa"/>
            <w:shd w:val="clear" w:color="auto" w:fill="auto"/>
            <w:vAlign w:val="center"/>
          </w:tcPr>
          <w:p w14:paraId="5E450061">
            <w:pPr>
              <w:pageBreakBefore w:val="0"/>
              <w:bidi w:val="0"/>
              <w:spacing w:line="360" w:lineRule="auto"/>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采购人：</w:t>
            </w:r>
            <w:r>
              <w:rPr>
                <w:rFonts w:hint="eastAsia" w:ascii="宋体" w:hAnsi="宋体" w:eastAsia="宋体" w:cs="宋体"/>
                <w:sz w:val="24"/>
                <w:szCs w:val="24"/>
                <w:highlight w:val="none"/>
                <w:lang w:eastAsia="zh-CN"/>
              </w:rPr>
              <w:t>宜川县云岩中心卫生院</w:t>
            </w:r>
          </w:p>
          <w:p w14:paraId="6A1A3298">
            <w:pPr>
              <w:pageBreakBefore w:val="0"/>
              <w:bidi w:val="0"/>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地  址：</w:t>
            </w:r>
            <w:r>
              <w:rPr>
                <w:rFonts w:hint="eastAsia" w:ascii="宋体" w:hAnsi="宋体" w:eastAsia="宋体" w:cs="宋体"/>
                <w:sz w:val="24"/>
                <w:szCs w:val="24"/>
                <w:highlight w:val="none"/>
                <w:lang w:val="en-US" w:eastAsia="zh-CN"/>
              </w:rPr>
              <w:t>陕西省延安市宜川县云岩镇云岩街72号</w:t>
            </w:r>
          </w:p>
          <w:p w14:paraId="3D1B8BC1">
            <w:pPr>
              <w:pageBreakBefore w:val="0"/>
              <w:bidi w:val="0"/>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联系人</w:t>
            </w:r>
            <w:r>
              <w:rPr>
                <w:rFonts w:hint="eastAsia" w:ascii="宋体" w:hAnsi="宋体" w:eastAsia="宋体" w:cs="宋体"/>
                <w:sz w:val="24"/>
                <w:szCs w:val="24"/>
                <w:highlight w:val="none"/>
                <w:lang w:eastAsia="zh-CN"/>
              </w:rPr>
              <w:t>：白雄伟</w:t>
            </w:r>
          </w:p>
          <w:p w14:paraId="3EA7EB71">
            <w:pPr>
              <w:pageBreakBefore w:val="0"/>
              <w:bidi w:val="0"/>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联系方式：</w:t>
            </w:r>
            <w:r>
              <w:rPr>
                <w:rFonts w:hint="eastAsia" w:ascii="宋体" w:hAnsi="宋体" w:eastAsia="宋体" w:cs="宋体"/>
                <w:sz w:val="24"/>
                <w:szCs w:val="24"/>
                <w:highlight w:val="none"/>
                <w:lang w:eastAsia="zh-CN"/>
              </w:rPr>
              <w:t>18700101231</w:t>
            </w:r>
          </w:p>
        </w:tc>
      </w:tr>
      <w:tr w14:paraId="6107A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18" w:hRule="atLeast"/>
        </w:trPr>
        <w:tc>
          <w:tcPr>
            <w:tcW w:w="630" w:type="dxa"/>
            <w:shd w:val="clear" w:color="auto" w:fill="auto"/>
            <w:vAlign w:val="center"/>
          </w:tcPr>
          <w:p w14:paraId="5F3DF08D">
            <w:pPr>
              <w:pageBreakBefore w:val="0"/>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929" w:type="dxa"/>
            <w:shd w:val="clear" w:color="auto" w:fill="auto"/>
            <w:vAlign w:val="center"/>
          </w:tcPr>
          <w:p w14:paraId="66423E8B">
            <w:pPr>
              <w:pageBreakBefore w:val="0"/>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谈判组织机构</w:t>
            </w:r>
          </w:p>
        </w:tc>
        <w:tc>
          <w:tcPr>
            <w:tcW w:w="6580" w:type="dxa"/>
            <w:shd w:val="clear" w:color="auto" w:fill="auto"/>
            <w:vAlign w:val="center"/>
          </w:tcPr>
          <w:p w14:paraId="166634DD">
            <w:pPr>
              <w:pageBreakBefore w:val="0"/>
              <w:bidi w:val="0"/>
              <w:spacing w:line="360" w:lineRule="auto"/>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采购代理机构：</w:t>
            </w:r>
            <w:r>
              <w:rPr>
                <w:rFonts w:hint="eastAsia" w:ascii="宋体" w:hAnsi="宋体" w:eastAsia="宋体" w:cs="宋体"/>
                <w:sz w:val="24"/>
                <w:szCs w:val="24"/>
                <w:highlight w:val="none"/>
                <w:lang w:eastAsia="zh-CN"/>
              </w:rPr>
              <w:t xml:space="preserve">华睿诚项目管理有限公司 </w:t>
            </w:r>
          </w:p>
          <w:p w14:paraId="063CE750">
            <w:pPr>
              <w:pageBreakBefore w:val="0"/>
              <w:bidi w:val="0"/>
              <w:spacing w:line="360" w:lineRule="auto"/>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地址：</w:t>
            </w:r>
            <w:r>
              <w:rPr>
                <w:rFonts w:hint="eastAsia" w:ascii="宋体" w:hAnsi="宋体" w:eastAsia="宋体" w:cs="宋体"/>
                <w:sz w:val="24"/>
                <w:szCs w:val="24"/>
                <w:highlight w:val="none"/>
                <w:lang w:eastAsia="zh-CN"/>
              </w:rPr>
              <w:t xml:space="preserve">西安市曲江新区雁翔路旺座曲江 E 座 29 层 2901 号 </w:t>
            </w:r>
          </w:p>
          <w:p w14:paraId="174C3398">
            <w:pPr>
              <w:pageBreakBefore w:val="0"/>
              <w:bidi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联系人：</w:t>
            </w:r>
            <w:r>
              <w:rPr>
                <w:rFonts w:hint="eastAsia" w:ascii="宋体" w:hAnsi="宋体" w:eastAsia="宋体" w:cs="宋体"/>
                <w:sz w:val="24"/>
                <w:szCs w:val="24"/>
                <w:highlight w:val="none"/>
                <w:lang w:eastAsia="zh-CN"/>
              </w:rPr>
              <w:t>刘亚娟</w:t>
            </w:r>
            <w:r>
              <w:rPr>
                <w:rFonts w:hint="eastAsia" w:ascii="宋体" w:hAnsi="宋体" w:eastAsia="宋体" w:cs="宋体"/>
                <w:sz w:val="24"/>
                <w:szCs w:val="24"/>
                <w:highlight w:val="none"/>
              </w:rPr>
              <w:t xml:space="preserve">  </w:t>
            </w:r>
          </w:p>
          <w:p w14:paraId="1ECE07A2">
            <w:pPr>
              <w:pageBreakBefore w:val="0"/>
              <w:bidi w:val="0"/>
              <w:spacing w:line="360" w:lineRule="auto"/>
              <w:jc w:val="lef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lang w:val="en-US" w:eastAsia="zh-CN"/>
              </w:rPr>
              <w:t>17899196953</w:t>
            </w:r>
          </w:p>
        </w:tc>
      </w:tr>
      <w:tr w14:paraId="38E99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630" w:type="dxa"/>
            <w:shd w:val="clear" w:color="auto" w:fill="auto"/>
            <w:vAlign w:val="center"/>
          </w:tcPr>
          <w:p w14:paraId="7CF9867D">
            <w:pPr>
              <w:pageBreakBefore w:val="0"/>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929" w:type="dxa"/>
            <w:shd w:val="clear" w:color="auto" w:fill="auto"/>
            <w:vAlign w:val="center"/>
          </w:tcPr>
          <w:p w14:paraId="0BA964F8">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采购内容</w:t>
            </w:r>
          </w:p>
        </w:tc>
        <w:tc>
          <w:tcPr>
            <w:tcW w:w="6580" w:type="dxa"/>
            <w:shd w:val="clear" w:color="auto" w:fill="auto"/>
            <w:vAlign w:val="center"/>
          </w:tcPr>
          <w:p w14:paraId="607517A0">
            <w:pPr>
              <w:pStyle w:val="17"/>
              <w:pageBreakBefore w:val="0"/>
              <w:bidi w:val="0"/>
              <w:spacing w:beforeAutospacing="0" w:afterAutospacing="0" w:line="360" w:lineRule="auto"/>
              <w:rPr>
                <w:rFonts w:hint="eastAsia" w:ascii="宋体" w:hAnsi="宋体" w:eastAsia="宋体" w:cs="宋体"/>
                <w:kern w:val="2"/>
                <w:sz w:val="24"/>
                <w:szCs w:val="24"/>
                <w:highlight w:val="none"/>
              </w:rPr>
            </w:pPr>
            <w:r>
              <w:rPr>
                <w:rFonts w:hint="eastAsia" w:eastAsia="宋体" w:cs="宋体"/>
                <w:kern w:val="2"/>
                <w:sz w:val="24"/>
                <w:szCs w:val="24"/>
                <w:highlight w:val="none"/>
                <w:lang w:eastAsia="zh-CN"/>
              </w:rPr>
              <w:t>宜川县云岩中心卫生院县域医疗次中心建设项目（三次）</w:t>
            </w:r>
          </w:p>
        </w:tc>
      </w:tr>
      <w:tr w14:paraId="33C5D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trPr>
        <w:tc>
          <w:tcPr>
            <w:tcW w:w="630" w:type="dxa"/>
            <w:shd w:val="clear" w:color="auto" w:fill="auto"/>
            <w:vAlign w:val="center"/>
          </w:tcPr>
          <w:p w14:paraId="7530F0FC">
            <w:pPr>
              <w:pageBreakBefore w:val="0"/>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1929" w:type="dxa"/>
            <w:shd w:val="clear" w:color="auto" w:fill="auto"/>
            <w:vAlign w:val="center"/>
          </w:tcPr>
          <w:p w14:paraId="7199DA32">
            <w:pPr>
              <w:pageBreakBefore w:val="0"/>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项目名称及编号</w:t>
            </w:r>
          </w:p>
        </w:tc>
        <w:tc>
          <w:tcPr>
            <w:tcW w:w="6580" w:type="dxa"/>
            <w:shd w:val="clear" w:color="auto" w:fill="auto"/>
            <w:vAlign w:val="center"/>
          </w:tcPr>
          <w:p w14:paraId="1E73BCDA">
            <w:pPr>
              <w:pageBreakBefore w:val="0"/>
              <w:numPr>
                <w:ilvl w:val="0"/>
                <w:numId w:val="1"/>
              </w:numPr>
              <w:bidi w:val="0"/>
              <w:spacing w:line="360" w:lineRule="auto"/>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项目名称：</w:t>
            </w:r>
            <w:r>
              <w:rPr>
                <w:rFonts w:hint="eastAsia" w:ascii="宋体" w:hAnsi="宋体" w:eastAsia="宋体" w:cs="宋体"/>
                <w:sz w:val="24"/>
                <w:szCs w:val="24"/>
                <w:highlight w:val="none"/>
                <w:lang w:eastAsia="zh-CN"/>
              </w:rPr>
              <w:t>宜川县云岩中心卫生院县域医疗次中心建设项目（三次）</w:t>
            </w:r>
          </w:p>
          <w:p w14:paraId="194CA39C">
            <w:pPr>
              <w:pageBreakBefore w:val="0"/>
              <w:numPr>
                <w:ilvl w:val="0"/>
                <w:numId w:val="1"/>
              </w:numPr>
              <w:bidi w:val="0"/>
              <w:spacing w:line="360" w:lineRule="auto"/>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项目编号：HRC-ZBDL-2026-00708.1B2</w:t>
            </w:r>
          </w:p>
        </w:tc>
      </w:tr>
      <w:tr w14:paraId="1077D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630" w:type="dxa"/>
            <w:shd w:val="clear" w:color="auto" w:fill="auto"/>
            <w:vAlign w:val="center"/>
          </w:tcPr>
          <w:p w14:paraId="48B6B7EB">
            <w:pPr>
              <w:pageBreakBefore w:val="0"/>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1929" w:type="dxa"/>
            <w:shd w:val="clear" w:color="auto" w:fill="auto"/>
            <w:vAlign w:val="center"/>
          </w:tcPr>
          <w:p w14:paraId="24BA7D9A">
            <w:pPr>
              <w:pageBreakBefore w:val="0"/>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采购预算价</w:t>
            </w:r>
          </w:p>
        </w:tc>
        <w:tc>
          <w:tcPr>
            <w:tcW w:w="6580" w:type="dxa"/>
            <w:shd w:val="clear" w:color="auto" w:fill="auto"/>
            <w:vAlign w:val="center"/>
          </w:tcPr>
          <w:p w14:paraId="21713E82">
            <w:pPr>
              <w:pStyle w:val="17"/>
              <w:pageBreakBefore w:val="0"/>
              <w:wordWrap w:val="0"/>
              <w:bidi w:val="0"/>
              <w:spacing w:before="0" w:beforeAutospacing="0" w:after="0" w:afterAutospacing="0" w:line="360" w:lineRule="auto"/>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采购预算：</w:t>
            </w:r>
            <w:r>
              <w:rPr>
                <w:rFonts w:hint="eastAsia" w:eastAsia="宋体" w:cs="宋体"/>
                <w:kern w:val="2"/>
                <w:sz w:val="24"/>
                <w:szCs w:val="24"/>
                <w:highlight w:val="none"/>
                <w:lang w:val="en-US" w:eastAsia="zh-CN" w:bidi="ar-SA"/>
              </w:rPr>
              <w:t>404,700.00</w:t>
            </w:r>
            <w:r>
              <w:rPr>
                <w:rFonts w:hint="eastAsia" w:ascii="宋体" w:hAnsi="宋体" w:eastAsia="宋体" w:cs="宋体"/>
                <w:kern w:val="2"/>
                <w:sz w:val="24"/>
                <w:szCs w:val="24"/>
                <w:highlight w:val="none"/>
                <w:lang w:val="en-US" w:eastAsia="zh-CN" w:bidi="ar-SA"/>
              </w:rPr>
              <w:t xml:space="preserve">元 </w:t>
            </w:r>
          </w:p>
        </w:tc>
      </w:tr>
      <w:tr w14:paraId="73363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1" w:hRule="atLeast"/>
        </w:trPr>
        <w:tc>
          <w:tcPr>
            <w:tcW w:w="630" w:type="dxa"/>
            <w:shd w:val="clear" w:color="auto" w:fill="auto"/>
            <w:vAlign w:val="center"/>
          </w:tcPr>
          <w:p w14:paraId="60BD111D">
            <w:pPr>
              <w:pageBreakBefore w:val="0"/>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c>
          <w:tcPr>
            <w:tcW w:w="1929" w:type="dxa"/>
            <w:shd w:val="clear" w:color="auto" w:fill="auto"/>
            <w:vAlign w:val="center"/>
          </w:tcPr>
          <w:p w14:paraId="504673D4">
            <w:pPr>
              <w:pageBreakBefore w:val="0"/>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采购方式</w:t>
            </w:r>
          </w:p>
        </w:tc>
        <w:tc>
          <w:tcPr>
            <w:tcW w:w="6580" w:type="dxa"/>
            <w:shd w:val="clear" w:color="auto" w:fill="auto"/>
            <w:vAlign w:val="center"/>
          </w:tcPr>
          <w:p w14:paraId="39D6743E">
            <w:pPr>
              <w:pageBreakBefore w:val="0"/>
              <w:bidi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竞争性谈判</w:t>
            </w:r>
          </w:p>
        </w:tc>
      </w:tr>
      <w:tr w14:paraId="499AD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1" w:hRule="atLeast"/>
        </w:trPr>
        <w:tc>
          <w:tcPr>
            <w:tcW w:w="630" w:type="dxa"/>
            <w:shd w:val="clear" w:color="auto" w:fill="auto"/>
            <w:vAlign w:val="center"/>
          </w:tcPr>
          <w:p w14:paraId="02919FD6">
            <w:pPr>
              <w:pageBreakBefore w:val="0"/>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7</w:t>
            </w:r>
          </w:p>
        </w:tc>
        <w:tc>
          <w:tcPr>
            <w:tcW w:w="1929" w:type="dxa"/>
            <w:shd w:val="clear" w:color="auto" w:fill="auto"/>
            <w:vAlign w:val="center"/>
          </w:tcPr>
          <w:p w14:paraId="27AD77E3">
            <w:pPr>
              <w:pageBreakBefore w:val="0"/>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响应周期</w:t>
            </w:r>
          </w:p>
        </w:tc>
        <w:tc>
          <w:tcPr>
            <w:tcW w:w="6580" w:type="dxa"/>
            <w:shd w:val="clear" w:color="auto" w:fill="auto"/>
            <w:vAlign w:val="center"/>
          </w:tcPr>
          <w:p w14:paraId="5A30D4CC">
            <w:pPr>
              <w:pageBreakBefore w:val="0"/>
              <w:bidi w:val="0"/>
              <w:spacing w:line="360" w:lineRule="auto"/>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1.发售时间:202</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年</w:t>
            </w:r>
            <w:r>
              <w:rPr>
                <w:rFonts w:hint="eastAsia" w:ascii="宋体" w:hAnsi="宋体" w:eastAsia="宋体" w:cs="宋体"/>
                <w:sz w:val="24"/>
                <w:szCs w:val="24"/>
                <w:highlight w:val="none"/>
                <w:lang w:val="en-US" w:eastAsia="zh-CN"/>
              </w:rPr>
              <w:t>08</w:t>
            </w:r>
            <w:r>
              <w:rPr>
                <w:rFonts w:hint="eastAsia" w:ascii="宋体" w:hAnsi="宋体" w:eastAsia="宋体" w:cs="宋体"/>
                <w:sz w:val="24"/>
                <w:szCs w:val="24"/>
                <w:highlight w:val="none"/>
                <w:lang w:eastAsia="zh-CN"/>
              </w:rPr>
              <w:t>月</w:t>
            </w:r>
            <w:r>
              <w:rPr>
                <w:rFonts w:hint="eastAsia" w:ascii="宋体" w:hAnsi="宋体" w:eastAsia="宋体" w:cs="宋体"/>
                <w:sz w:val="24"/>
                <w:szCs w:val="24"/>
                <w:highlight w:val="none"/>
                <w:lang w:val="en-US" w:eastAsia="zh-CN"/>
              </w:rPr>
              <w:t>14日09</w:t>
            </w:r>
            <w:r>
              <w:rPr>
                <w:rFonts w:hint="eastAsia" w:ascii="宋体" w:hAnsi="宋体" w:eastAsia="宋体" w:cs="宋体"/>
                <w:sz w:val="24"/>
                <w:szCs w:val="24"/>
                <w:highlight w:val="none"/>
                <w:lang w:eastAsia="zh-CN"/>
              </w:rPr>
              <w:t>时</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lang w:eastAsia="zh-CN"/>
              </w:rPr>
              <w:t>0分至202</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年</w:t>
            </w:r>
            <w:r>
              <w:rPr>
                <w:rFonts w:hint="eastAsia" w:ascii="宋体" w:hAnsi="宋体" w:eastAsia="宋体" w:cs="宋体"/>
                <w:sz w:val="24"/>
                <w:szCs w:val="24"/>
                <w:highlight w:val="none"/>
                <w:lang w:val="en-US" w:eastAsia="zh-CN"/>
              </w:rPr>
              <w:t>08</w:t>
            </w:r>
            <w:r>
              <w:rPr>
                <w:rFonts w:hint="eastAsia" w:ascii="宋体" w:hAnsi="宋体" w:eastAsia="宋体" w:cs="宋体"/>
                <w:sz w:val="24"/>
                <w:szCs w:val="24"/>
                <w:highlight w:val="none"/>
                <w:lang w:eastAsia="zh-CN"/>
              </w:rPr>
              <w:t>月</w:t>
            </w:r>
            <w:r>
              <w:rPr>
                <w:rFonts w:hint="eastAsia" w:ascii="宋体" w:hAnsi="宋体" w:eastAsia="宋体" w:cs="宋体"/>
                <w:sz w:val="24"/>
                <w:szCs w:val="24"/>
                <w:highlight w:val="none"/>
                <w:lang w:val="en-US" w:eastAsia="zh-CN"/>
              </w:rPr>
              <w:t>18日17</w:t>
            </w:r>
            <w:r>
              <w:rPr>
                <w:rFonts w:hint="eastAsia" w:ascii="宋体" w:hAnsi="宋体" w:eastAsia="宋体" w:cs="宋体"/>
                <w:sz w:val="24"/>
                <w:szCs w:val="24"/>
                <w:highlight w:val="none"/>
                <w:lang w:eastAsia="zh-CN"/>
              </w:rPr>
              <w:t>时0</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lang w:eastAsia="zh-CN"/>
              </w:rPr>
              <w:t>分(北京时间)持CA锁在《全国公共资源交易平台(陕西省·延安市)》电子招投标系统报名，报名成功后在《全国公共资源交易平台(陕西省·延安市)》下载</w:t>
            </w:r>
            <w:r>
              <w:rPr>
                <w:rFonts w:hint="eastAsia" w:ascii="宋体" w:hAnsi="宋体" w:eastAsia="宋体" w:cs="宋体"/>
                <w:sz w:val="24"/>
                <w:szCs w:val="24"/>
                <w:highlight w:val="none"/>
                <w:lang w:val="en-US" w:eastAsia="zh-CN"/>
              </w:rPr>
              <w:t>竞争性谈判</w:t>
            </w:r>
            <w:r>
              <w:rPr>
                <w:rFonts w:hint="eastAsia" w:ascii="宋体" w:hAnsi="宋体" w:eastAsia="宋体" w:cs="宋体"/>
                <w:sz w:val="24"/>
                <w:szCs w:val="24"/>
                <w:highlight w:val="none"/>
                <w:lang w:eastAsia="zh-CN"/>
              </w:rPr>
              <w:t>文件。</w:t>
            </w:r>
          </w:p>
          <w:p w14:paraId="6C77C3AE">
            <w:pPr>
              <w:pageBreakBefore w:val="0"/>
              <w:bidi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2.响应文件递交截止时间及开标时间:</w:t>
            </w:r>
            <w:r>
              <w:rPr>
                <w:rFonts w:hint="eastAsia" w:ascii="宋体" w:hAnsi="宋体" w:eastAsia="宋体" w:cs="宋体"/>
                <w:color w:val="333333"/>
                <w:kern w:val="0"/>
                <w:sz w:val="24"/>
                <w:szCs w:val="24"/>
                <w:highlight w:val="none"/>
              </w:rPr>
              <w:t>202</w:t>
            </w:r>
            <w:r>
              <w:rPr>
                <w:rFonts w:hint="eastAsia" w:ascii="宋体" w:hAnsi="宋体" w:eastAsia="宋体" w:cs="宋体"/>
                <w:color w:val="333333"/>
                <w:kern w:val="0"/>
                <w:sz w:val="24"/>
                <w:szCs w:val="24"/>
                <w:highlight w:val="none"/>
                <w:lang w:val="en-US" w:eastAsia="zh-CN"/>
              </w:rPr>
              <w:t>6</w:t>
            </w:r>
            <w:r>
              <w:rPr>
                <w:rFonts w:hint="eastAsia" w:ascii="宋体" w:hAnsi="宋体" w:eastAsia="宋体" w:cs="宋体"/>
                <w:color w:val="333333"/>
                <w:kern w:val="0"/>
                <w:sz w:val="24"/>
                <w:szCs w:val="24"/>
                <w:highlight w:val="none"/>
              </w:rPr>
              <w:t>年</w:t>
            </w:r>
            <w:r>
              <w:rPr>
                <w:rFonts w:hint="eastAsia" w:ascii="宋体" w:hAnsi="宋体" w:eastAsia="宋体" w:cs="宋体"/>
                <w:color w:val="333333"/>
                <w:kern w:val="0"/>
                <w:sz w:val="24"/>
                <w:szCs w:val="24"/>
                <w:highlight w:val="none"/>
                <w:lang w:val="en-US" w:eastAsia="zh-CN"/>
              </w:rPr>
              <w:t>08月21日10</w:t>
            </w:r>
            <w:r>
              <w:rPr>
                <w:rFonts w:hint="eastAsia" w:ascii="宋体" w:hAnsi="宋体" w:eastAsia="宋体" w:cs="宋体"/>
                <w:color w:val="333333"/>
                <w:kern w:val="0"/>
                <w:sz w:val="24"/>
                <w:szCs w:val="24"/>
                <w:highlight w:val="none"/>
              </w:rPr>
              <w:t xml:space="preserve"> 时</w:t>
            </w:r>
            <w:r>
              <w:rPr>
                <w:rFonts w:hint="eastAsia" w:ascii="宋体" w:hAnsi="宋体" w:eastAsia="宋体" w:cs="宋体"/>
                <w:color w:val="333333"/>
                <w:kern w:val="0"/>
                <w:sz w:val="24"/>
                <w:szCs w:val="24"/>
                <w:highlight w:val="none"/>
                <w:lang w:val="en-US" w:eastAsia="zh-CN"/>
              </w:rPr>
              <w:t>00</w:t>
            </w:r>
            <w:r>
              <w:rPr>
                <w:rFonts w:hint="eastAsia" w:ascii="宋体" w:hAnsi="宋体" w:eastAsia="宋体" w:cs="宋体"/>
                <w:color w:val="333333"/>
                <w:kern w:val="0"/>
                <w:sz w:val="24"/>
                <w:szCs w:val="24"/>
                <w:highlight w:val="none"/>
              </w:rPr>
              <w:t>分</w:t>
            </w:r>
            <w:r>
              <w:rPr>
                <w:rFonts w:hint="eastAsia" w:ascii="宋体" w:hAnsi="宋体" w:eastAsia="宋体" w:cs="宋体"/>
                <w:color w:val="333333"/>
                <w:kern w:val="0"/>
                <w:sz w:val="24"/>
                <w:szCs w:val="24"/>
                <w:highlight w:val="none"/>
                <w:lang w:val="en-US" w:eastAsia="zh-CN"/>
              </w:rPr>
              <w:t>0</w:t>
            </w:r>
            <w:r>
              <w:rPr>
                <w:rFonts w:hint="eastAsia" w:ascii="宋体" w:hAnsi="宋体" w:eastAsia="宋体" w:cs="宋体"/>
                <w:color w:val="333333"/>
                <w:kern w:val="0"/>
                <w:sz w:val="24"/>
                <w:szCs w:val="24"/>
                <w:highlight w:val="none"/>
              </w:rPr>
              <w:t>0秒</w:t>
            </w:r>
            <w:r>
              <w:rPr>
                <w:rFonts w:hint="eastAsia" w:ascii="宋体" w:hAnsi="宋体" w:eastAsia="宋体" w:cs="宋体"/>
                <w:sz w:val="24"/>
                <w:szCs w:val="24"/>
                <w:highlight w:val="none"/>
                <w:lang w:eastAsia="zh-CN"/>
              </w:rPr>
              <w:t>(北京时间)</w:t>
            </w:r>
          </w:p>
        </w:tc>
      </w:tr>
      <w:tr w14:paraId="26CAE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30" w:type="dxa"/>
            <w:vMerge w:val="restart"/>
            <w:shd w:val="clear" w:color="auto" w:fill="auto"/>
            <w:vAlign w:val="center"/>
          </w:tcPr>
          <w:p w14:paraId="5348A27C">
            <w:pPr>
              <w:pageBreakBefore w:val="0"/>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8</w:t>
            </w:r>
          </w:p>
        </w:tc>
        <w:tc>
          <w:tcPr>
            <w:tcW w:w="1929" w:type="dxa"/>
            <w:vMerge w:val="restart"/>
            <w:shd w:val="clear" w:color="auto" w:fill="auto"/>
            <w:vAlign w:val="center"/>
          </w:tcPr>
          <w:p w14:paraId="248E455E">
            <w:pPr>
              <w:pageBreakBefore w:val="0"/>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谈判供应商要求澄清竞争性谈判文件</w:t>
            </w:r>
          </w:p>
        </w:tc>
        <w:tc>
          <w:tcPr>
            <w:tcW w:w="6580" w:type="dxa"/>
            <w:shd w:val="clear" w:color="auto" w:fill="auto"/>
            <w:vAlign w:val="center"/>
          </w:tcPr>
          <w:p w14:paraId="0107E438">
            <w:pPr>
              <w:pageBreakBefore w:val="0"/>
              <w:bidi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时间：谈判截止时间三日前</w:t>
            </w:r>
          </w:p>
        </w:tc>
      </w:tr>
      <w:tr w14:paraId="21475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3" w:hRule="atLeast"/>
        </w:trPr>
        <w:tc>
          <w:tcPr>
            <w:tcW w:w="630" w:type="dxa"/>
            <w:vMerge w:val="continue"/>
            <w:shd w:val="clear" w:color="auto" w:fill="auto"/>
            <w:vAlign w:val="center"/>
          </w:tcPr>
          <w:p w14:paraId="51FC4681">
            <w:pPr>
              <w:pageBreakBefore w:val="0"/>
              <w:bidi w:val="0"/>
              <w:spacing w:line="360" w:lineRule="auto"/>
              <w:jc w:val="center"/>
              <w:rPr>
                <w:rFonts w:hint="eastAsia" w:ascii="宋体" w:hAnsi="宋体" w:eastAsia="宋体" w:cs="宋体"/>
                <w:sz w:val="24"/>
                <w:szCs w:val="24"/>
                <w:highlight w:val="none"/>
              </w:rPr>
            </w:pPr>
          </w:p>
        </w:tc>
        <w:tc>
          <w:tcPr>
            <w:tcW w:w="1929" w:type="dxa"/>
            <w:vMerge w:val="continue"/>
            <w:shd w:val="clear" w:color="auto" w:fill="auto"/>
            <w:vAlign w:val="center"/>
          </w:tcPr>
          <w:p w14:paraId="5629A62E">
            <w:pPr>
              <w:pageBreakBefore w:val="0"/>
              <w:bidi w:val="0"/>
              <w:spacing w:line="360" w:lineRule="auto"/>
              <w:jc w:val="center"/>
              <w:rPr>
                <w:rFonts w:hint="eastAsia" w:ascii="宋体" w:hAnsi="宋体" w:eastAsia="宋体" w:cs="宋体"/>
                <w:sz w:val="24"/>
                <w:szCs w:val="24"/>
                <w:highlight w:val="none"/>
              </w:rPr>
            </w:pPr>
          </w:p>
        </w:tc>
        <w:tc>
          <w:tcPr>
            <w:tcW w:w="6580" w:type="dxa"/>
            <w:shd w:val="clear" w:color="auto" w:fill="auto"/>
            <w:vAlign w:val="center"/>
          </w:tcPr>
          <w:p w14:paraId="16D916AB">
            <w:pPr>
              <w:pageBreakBefore w:val="0"/>
              <w:bidi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形式：书面形式</w:t>
            </w:r>
          </w:p>
        </w:tc>
      </w:tr>
      <w:tr w14:paraId="6C476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0" w:type="dxa"/>
            <w:shd w:val="clear" w:color="auto" w:fill="auto"/>
            <w:vAlign w:val="center"/>
          </w:tcPr>
          <w:p w14:paraId="49D857D2">
            <w:pPr>
              <w:pageBreakBefore w:val="0"/>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9</w:t>
            </w:r>
          </w:p>
        </w:tc>
        <w:tc>
          <w:tcPr>
            <w:tcW w:w="1929" w:type="dxa"/>
            <w:shd w:val="clear" w:color="auto" w:fill="auto"/>
            <w:vAlign w:val="center"/>
          </w:tcPr>
          <w:p w14:paraId="0BADEDBB">
            <w:pPr>
              <w:pageBreakBefore w:val="0"/>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采购人书面澄清的时间</w:t>
            </w:r>
          </w:p>
        </w:tc>
        <w:tc>
          <w:tcPr>
            <w:tcW w:w="6580" w:type="dxa"/>
            <w:shd w:val="clear" w:color="auto" w:fill="auto"/>
            <w:vAlign w:val="center"/>
          </w:tcPr>
          <w:p w14:paraId="2A85DBA1">
            <w:pPr>
              <w:pageBreakBefore w:val="0"/>
              <w:bidi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响应文件递交截止时间两日前</w:t>
            </w:r>
          </w:p>
        </w:tc>
      </w:tr>
      <w:tr w14:paraId="77450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0" w:type="dxa"/>
            <w:shd w:val="clear" w:color="auto" w:fill="auto"/>
            <w:vAlign w:val="center"/>
          </w:tcPr>
          <w:p w14:paraId="0A6A26DF">
            <w:pPr>
              <w:pageBreakBefore w:val="0"/>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w:t>
            </w:r>
          </w:p>
        </w:tc>
        <w:tc>
          <w:tcPr>
            <w:tcW w:w="1929" w:type="dxa"/>
            <w:shd w:val="clear" w:color="auto" w:fill="auto"/>
            <w:vAlign w:val="center"/>
          </w:tcPr>
          <w:p w14:paraId="2561E898">
            <w:pPr>
              <w:pageBreakBefore w:val="0"/>
              <w:bidi w:val="0"/>
              <w:spacing w:line="360" w:lineRule="auto"/>
              <w:ind w:left="210" w:hanging="240" w:hangingChars="100"/>
              <w:rPr>
                <w:rFonts w:hint="eastAsia" w:ascii="宋体" w:hAnsi="宋体" w:eastAsia="宋体" w:cs="宋体"/>
                <w:sz w:val="24"/>
                <w:szCs w:val="24"/>
                <w:highlight w:val="none"/>
              </w:rPr>
            </w:pPr>
            <w:r>
              <w:rPr>
                <w:rFonts w:hint="eastAsia" w:ascii="宋体" w:hAnsi="宋体" w:eastAsia="宋体" w:cs="宋体"/>
                <w:sz w:val="24"/>
                <w:szCs w:val="24"/>
                <w:highlight w:val="none"/>
              </w:rPr>
              <w:t>竞争性谈判文件澄清发出的形式</w:t>
            </w:r>
          </w:p>
        </w:tc>
        <w:tc>
          <w:tcPr>
            <w:tcW w:w="6580" w:type="dxa"/>
            <w:shd w:val="clear" w:color="auto" w:fill="auto"/>
            <w:vAlign w:val="center"/>
          </w:tcPr>
          <w:p w14:paraId="3824CFCF">
            <w:pPr>
              <w:pageBreakBefore w:val="0"/>
              <w:bidi w:val="0"/>
              <w:spacing w:line="360" w:lineRule="auto"/>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书面形式</w:t>
            </w:r>
          </w:p>
        </w:tc>
      </w:tr>
      <w:tr w14:paraId="5B42A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30" w:type="dxa"/>
            <w:shd w:val="clear" w:color="auto" w:fill="auto"/>
            <w:vAlign w:val="center"/>
          </w:tcPr>
          <w:p w14:paraId="2D5F3780">
            <w:pPr>
              <w:pageBreakBefore w:val="0"/>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w:t>
            </w:r>
          </w:p>
        </w:tc>
        <w:tc>
          <w:tcPr>
            <w:tcW w:w="1929" w:type="dxa"/>
            <w:shd w:val="clear" w:color="auto" w:fill="auto"/>
            <w:vAlign w:val="center"/>
          </w:tcPr>
          <w:p w14:paraId="38E0EC90">
            <w:pPr>
              <w:pageBreakBefore w:val="0"/>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供应商资质要求</w:t>
            </w:r>
          </w:p>
        </w:tc>
        <w:tc>
          <w:tcPr>
            <w:tcW w:w="6580" w:type="dxa"/>
            <w:shd w:val="clear" w:color="auto" w:fill="auto"/>
            <w:vAlign w:val="center"/>
          </w:tcPr>
          <w:p w14:paraId="2CABF638">
            <w:pPr>
              <w:keepNext w:val="0"/>
              <w:keepLines w:val="0"/>
              <w:pageBreakBefore w:val="0"/>
              <w:widowControl/>
              <w:numPr>
                <w:ilvl w:val="0"/>
                <w:numId w:val="0"/>
              </w:numPr>
              <w:shd w:val="clear" w:color="auto" w:fill="FFFFFF"/>
              <w:kinsoku/>
              <w:wordWrap w:val="0"/>
              <w:overflowPunct/>
              <w:topLinePunct w:val="0"/>
              <w:autoSpaceDE/>
              <w:autoSpaceDN/>
              <w:bidi w:val="0"/>
              <w:adjustRightInd/>
              <w:snapToGrid/>
              <w:spacing w:line="356" w:lineRule="auto"/>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lang w:val="en-US" w:eastAsia="zh-CN" w:bidi="ar-SA"/>
              </w:rPr>
              <w:t>1、</w:t>
            </w:r>
            <w:r>
              <w:rPr>
                <w:rFonts w:hint="eastAsia" w:ascii="宋体" w:hAnsi="宋体" w:eastAsia="宋体" w:cs="宋体"/>
                <w:color w:val="333333"/>
                <w:kern w:val="0"/>
                <w:sz w:val="24"/>
                <w:szCs w:val="24"/>
                <w:highlight w:val="none"/>
              </w:rPr>
              <w:t>具有独立承担民事责任能力的法人或其他组织，提供合法有效的统一社会信用代码的营业执照或事业单位法人证书等国家规定的相关证明，自然人参与的提供其身份证明； </w:t>
            </w:r>
            <w:r>
              <w:rPr>
                <w:rFonts w:hint="eastAsia" w:ascii="宋体" w:hAnsi="宋体" w:eastAsia="宋体" w:cs="宋体"/>
                <w:color w:val="333333"/>
                <w:kern w:val="0"/>
                <w:sz w:val="24"/>
                <w:szCs w:val="24"/>
                <w:highlight w:val="none"/>
              </w:rPr>
              <w:br w:type="textWrapping"/>
            </w:r>
            <w:r>
              <w:rPr>
                <w:rFonts w:hint="eastAsia" w:ascii="宋体" w:hAnsi="宋体" w:eastAsia="宋体" w:cs="宋体"/>
                <w:color w:val="333333"/>
                <w:kern w:val="0"/>
                <w:sz w:val="24"/>
                <w:szCs w:val="24"/>
                <w:highlight w:val="none"/>
              </w:rPr>
              <w:t>2、法定代表人授权书（附法定代表人身份证复印件）及被授权人身份证（法定代表人直接参加只须提供法定代表人身份证）；</w:t>
            </w:r>
            <w:r>
              <w:rPr>
                <w:rFonts w:hint="eastAsia" w:ascii="宋体" w:hAnsi="宋体" w:eastAsia="宋体" w:cs="宋体"/>
                <w:color w:val="333333"/>
                <w:kern w:val="0"/>
                <w:sz w:val="24"/>
                <w:szCs w:val="24"/>
                <w:highlight w:val="none"/>
              </w:rPr>
              <w:br w:type="textWrapping"/>
            </w:r>
            <w:r>
              <w:rPr>
                <w:rFonts w:hint="eastAsia" w:ascii="宋体" w:hAnsi="宋体" w:eastAsia="宋体" w:cs="宋体"/>
                <w:color w:val="333333"/>
                <w:kern w:val="0"/>
                <w:sz w:val="24"/>
                <w:szCs w:val="24"/>
                <w:highlight w:val="none"/>
              </w:rPr>
              <w:t>3、供应商提供202</w:t>
            </w:r>
            <w:r>
              <w:rPr>
                <w:rFonts w:hint="eastAsia" w:ascii="宋体" w:hAnsi="宋体" w:eastAsia="宋体" w:cs="宋体"/>
                <w:color w:val="333333"/>
                <w:kern w:val="0"/>
                <w:sz w:val="24"/>
                <w:szCs w:val="24"/>
                <w:highlight w:val="none"/>
                <w:lang w:val="en-US" w:eastAsia="zh-CN"/>
              </w:rPr>
              <w:t>4</w:t>
            </w:r>
            <w:r>
              <w:rPr>
                <w:rFonts w:hint="eastAsia" w:ascii="宋体" w:hAnsi="宋体" w:eastAsia="宋体" w:cs="宋体"/>
                <w:color w:val="333333"/>
                <w:kern w:val="0"/>
                <w:sz w:val="24"/>
                <w:szCs w:val="24"/>
                <w:highlight w:val="none"/>
              </w:rPr>
              <w:t>年度或202</w:t>
            </w:r>
            <w:r>
              <w:rPr>
                <w:rFonts w:hint="eastAsia" w:ascii="宋体" w:hAnsi="宋体" w:eastAsia="宋体" w:cs="宋体"/>
                <w:color w:val="333333"/>
                <w:kern w:val="0"/>
                <w:sz w:val="24"/>
                <w:szCs w:val="24"/>
                <w:highlight w:val="none"/>
                <w:lang w:val="en-US" w:eastAsia="zh-CN"/>
              </w:rPr>
              <w:t>5</w:t>
            </w:r>
            <w:r>
              <w:rPr>
                <w:rFonts w:hint="eastAsia" w:ascii="宋体" w:hAnsi="宋体" w:eastAsia="宋体" w:cs="宋体"/>
                <w:color w:val="333333"/>
                <w:kern w:val="0"/>
                <w:sz w:val="24"/>
                <w:szCs w:val="24"/>
                <w:highlight w:val="none"/>
              </w:rPr>
              <w:t>年度的财务审计报告(成立时间至提交响应文件截止时间不足一年的可提供成立后任意时段的资产负债表)或其基本存款账户开户银行出具的资信证明及基本存款账户开户信息；</w:t>
            </w:r>
            <w:r>
              <w:rPr>
                <w:rFonts w:hint="eastAsia" w:ascii="宋体" w:hAnsi="宋体" w:eastAsia="宋体" w:cs="宋体"/>
                <w:color w:val="333333"/>
                <w:kern w:val="0"/>
                <w:sz w:val="24"/>
                <w:szCs w:val="24"/>
                <w:highlight w:val="none"/>
              </w:rPr>
              <w:br w:type="textWrapping"/>
            </w:r>
            <w:r>
              <w:rPr>
                <w:rFonts w:hint="eastAsia" w:ascii="宋体" w:hAnsi="宋体" w:eastAsia="宋体" w:cs="宋体"/>
                <w:color w:val="333333"/>
                <w:kern w:val="0"/>
                <w:sz w:val="24"/>
                <w:szCs w:val="24"/>
                <w:highlight w:val="none"/>
              </w:rPr>
              <w:t>4、税收缴纳证明：提供已缴纳的202</w:t>
            </w:r>
            <w:r>
              <w:rPr>
                <w:rFonts w:hint="eastAsia" w:ascii="宋体" w:hAnsi="宋体" w:eastAsia="宋体" w:cs="宋体"/>
                <w:color w:val="333333"/>
                <w:kern w:val="0"/>
                <w:sz w:val="24"/>
                <w:szCs w:val="24"/>
                <w:highlight w:val="none"/>
                <w:lang w:val="en-US" w:eastAsia="zh-CN"/>
              </w:rPr>
              <w:t>5</w:t>
            </w:r>
            <w:r>
              <w:rPr>
                <w:rFonts w:hint="eastAsia" w:ascii="宋体" w:hAnsi="宋体" w:eastAsia="宋体" w:cs="宋体"/>
                <w:color w:val="333333"/>
                <w:kern w:val="0"/>
                <w:sz w:val="24"/>
                <w:szCs w:val="24"/>
                <w:highlight w:val="none"/>
              </w:rPr>
              <w:t>年至今任</w:t>
            </w:r>
            <w:r>
              <w:rPr>
                <w:rFonts w:hint="eastAsia" w:ascii="宋体" w:hAnsi="宋体" w:eastAsia="宋体" w:cs="宋体"/>
                <w:color w:val="333333"/>
                <w:kern w:val="0"/>
                <w:sz w:val="24"/>
                <w:szCs w:val="24"/>
                <w:highlight w:val="none"/>
                <w:lang w:val="en-US" w:eastAsia="zh-CN"/>
              </w:rPr>
              <w:t>意</w:t>
            </w:r>
            <w:r>
              <w:rPr>
                <w:rFonts w:hint="eastAsia" w:ascii="宋体" w:hAnsi="宋体" w:eastAsia="宋体" w:cs="宋体"/>
                <w:color w:val="333333"/>
                <w:kern w:val="0"/>
                <w:sz w:val="24"/>
                <w:szCs w:val="24"/>
                <w:highlight w:val="none"/>
              </w:rPr>
              <w:t>一</w:t>
            </w:r>
            <w:r>
              <w:rPr>
                <w:rFonts w:hint="eastAsia" w:ascii="宋体" w:hAnsi="宋体" w:eastAsia="宋体" w:cs="宋体"/>
                <w:color w:val="333333"/>
                <w:kern w:val="0"/>
                <w:sz w:val="24"/>
                <w:szCs w:val="24"/>
                <w:highlight w:val="none"/>
                <w:lang w:val="en-US" w:eastAsia="zh-CN"/>
              </w:rPr>
              <w:t>个</w:t>
            </w:r>
            <w:r>
              <w:rPr>
                <w:rFonts w:hint="eastAsia" w:ascii="宋体" w:hAnsi="宋体" w:eastAsia="宋体" w:cs="宋体"/>
                <w:color w:val="333333"/>
                <w:kern w:val="0"/>
                <w:sz w:val="24"/>
                <w:szCs w:val="24"/>
                <w:highlight w:val="none"/>
              </w:rPr>
              <w:t>月份的缴税凭证；依法免税的供应商应提供相关文件证明；</w:t>
            </w:r>
            <w:r>
              <w:rPr>
                <w:rFonts w:hint="eastAsia" w:ascii="宋体" w:hAnsi="宋体" w:eastAsia="宋体" w:cs="宋体"/>
                <w:color w:val="333333"/>
                <w:kern w:val="0"/>
                <w:sz w:val="24"/>
                <w:szCs w:val="24"/>
                <w:highlight w:val="none"/>
              </w:rPr>
              <w:br w:type="textWrapping"/>
            </w:r>
            <w:r>
              <w:rPr>
                <w:rFonts w:hint="eastAsia" w:ascii="宋体" w:hAnsi="宋体" w:eastAsia="宋体" w:cs="宋体"/>
                <w:color w:val="333333"/>
                <w:kern w:val="0"/>
                <w:sz w:val="24"/>
                <w:szCs w:val="24"/>
                <w:highlight w:val="none"/>
              </w:rPr>
              <w:t>5、社会保障资金缴纳证明：提供202</w:t>
            </w:r>
            <w:r>
              <w:rPr>
                <w:rFonts w:hint="eastAsia" w:ascii="宋体" w:hAnsi="宋体" w:eastAsia="宋体" w:cs="宋体"/>
                <w:color w:val="333333"/>
                <w:kern w:val="0"/>
                <w:sz w:val="24"/>
                <w:szCs w:val="24"/>
                <w:highlight w:val="none"/>
                <w:lang w:val="en-US" w:eastAsia="zh-CN"/>
              </w:rPr>
              <w:t>5</w:t>
            </w:r>
            <w:r>
              <w:rPr>
                <w:rFonts w:hint="eastAsia" w:ascii="宋体" w:hAnsi="宋体" w:eastAsia="宋体" w:cs="宋体"/>
                <w:color w:val="333333"/>
                <w:kern w:val="0"/>
                <w:sz w:val="24"/>
                <w:szCs w:val="24"/>
                <w:highlight w:val="none"/>
              </w:rPr>
              <w:t>年至今任意一个月</w:t>
            </w:r>
            <w:r>
              <w:rPr>
                <w:rFonts w:hint="eastAsia" w:ascii="宋体" w:hAnsi="宋体" w:eastAsia="宋体" w:cs="宋体"/>
                <w:color w:val="333333"/>
                <w:kern w:val="0"/>
                <w:sz w:val="24"/>
                <w:szCs w:val="24"/>
                <w:highlight w:val="none"/>
                <w:lang w:val="en-US" w:eastAsia="zh-CN"/>
              </w:rPr>
              <w:t>份</w:t>
            </w:r>
            <w:r>
              <w:rPr>
                <w:rFonts w:hint="eastAsia" w:ascii="宋体" w:hAnsi="宋体" w:eastAsia="宋体" w:cs="宋体"/>
                <w:color w:val="333333"/>
                <w:kern w:val="0"/>
                <w:sz w:val="24"/>
                <w:szCs w:val="24"/>
                <w:highlight w:val="none"/>
              </w:rPr>
              <w:t>的社会保障资金缴存证明或社保机构开具的社会保险参保缴费情况证明；依法不需要缴纳社会保障资金的应提供相关文件证明；</w:t>
            </w:r>
          </w:p>
          <w:p w14:paraId="49FF51F2">
            <w:pPr>
              <w:keepNext w:val="0"/>
              <w:keepLines w:val="0"/>
              <w:pageBreakBefore w:val="0"/>
              <w:widowControl/>
              <w:numPr>
                <w:ilvl w:val="0"/>
                <w:numId w:val="0"/>
              </w:numPr>
              <w:shd w:val="clear" w:color="auto" w:fill="FFFFFF"/>
              <w:kinsoku/>
              <w:wordWrap w:val="0"/>
              <w:overflowPunct/>
              <w:topLinePunct w:val="0"/>
              <w:autoSpaceDE/>
              <w:autoSpaceDN/>
              <w:bidi w:val="0"/>
              <w:adjustRightInd/>
              <w:snapToGrid/>
              <w:spacing w:line="356" w:lineRule="auto"/>
              <w:textAlignment w:val="auto"/>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6、所投产品属于医疗器械管理的，供应商为生产厂家的须提供《医疗器械生产许可证》；供应商为代理商的须提供《医疗器械经营许可证》或《医疗器械经营备案凭证》及生产厂家的《医疗器械生产许可证》；纳入医疗器械注册管理的，提供医疗器械注册证；</w:t>
            </w:r>
          </w:p>
          <w:p w14:paraId="72C55202">
            <w:pPr>
              <w:keepNext w:val="0"/>
              <w:keepLines w:val="0"/>
              <w:pageBreakBefore w:val="0"/>
              <w:widowControl/>
              <w:numPr>
                <w:ilvl w:val="0"/>
                <w:numId w:val="0"/>
              </w:numPr>
              <w:shd w:val="clear" w:color="auto" w:fill="FFFFFF"/>
              <w:kinsoku/>
              <w:wordWrap w:val="0"/>
              <w:overflowPunct/>
              <w:topLinePunct w:val="0"/>
              <w:autoSpaceDE/>
              <w:autoSpaceDN/>
              <w:bidi w:val="0"/>
              <w:adjustRightInd/>
              <w:snapToGrid/>
              <w:spacing w:line="356" w:lineRule="auto"/>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lang w:val="en-US" w:eastAsia="zh-CN"/>
              </w:rPr>
              <w:t>7</w:t>
            </w:r>
            <w:r>
              <w:rPr>
                <w:rFonts w:hint="eastAsia" w:ascii="宋体" w:hAnsi="宋体" w:eastAsia="宋体" w:cs="宋体"/>
                <w:color w:val="333333"/>
                <w:kern w:val="0"/>
                <w:sz w:val="24"/>
                <w:szCs w:val="24"/>
                <w:highlight w:val="none"/>
              </w:rPr>
              <w:t>、供应商不得为“信用中国”网站中列入严重失信主体及重大税收违法失信主体，不得为中国政府采购网政府采购严重违法失信行为记录名单中被财政部门禁止参加政府采购活动的供应商（提供查询结果网页截图并加盖供应商公章）； </w:t>
            </w:r>
            <w:r>
              <w:rPr>
                <w:rFonts w:hint="eastAsia" w:ascii="宋体" w:hAnsi="宋体" w:eastAsia="宋体" w:cs="宋体"/>
                <w:color w:val="333333"/>
                <w:kern w:val="0"/>
                <w:sz w:val="24"/>
                <w:szCs w:val="24"/>
                <w:highlight w:val="none"/>
              </w:rPr>
              <w:br w:type="textWrapping"/>
            </w:r>
            <w:r>
              <w:rPr>
                <w:rFonts w:hint="eastAsia" w:ascii="宋体" w:hAnsi="宋体" w:eastAsia="宋体" w:cs="宋体"/>
                <w:color w:val="333333"/>
                <w:kern w:val="0"/>
                <w:sz w:val="24"/>
                <w:szCs w:val="24"/>
                <w:highlight w:val="none"/>
                <w:lang w:val="en-US" w:eastAsia="zh-CN"/>
              </w:rPr>
              <w:t>8</w:t>
            </w:r>
            <w:r>
              <w:rPr>
                <w:rFonts w:hint="eastAsia" w:ascii="宋体" w:hAnsi="宋体" w:eastAsia="宋体" w:cs="宋体"/>
                <w:color w:val="333333"/>
                <w:kern w:val="0"/>
                <w:sz w:val="24"/>
                <w:szCs w:val="24"/>
                <w:highlight w:val="none"/>
              </w:rPr>
              <w:t>、参加政府采购活动近三年内，在经营活动中没有重大违法记录声明函；</w:t>
            </w:r>
            <w:r>
              <w:rPr>
                <w:rFonts w:hint="eastAsia" w:ascii="宋体" w:hAnsi="宋体" w:eastAsia="宋体" w:cs="宋体"/>
                <w:color w:val="333333"/>
                <w:kern w:val="0"/>
                <w:sz w:val="24"/>
                <w:szCs w:val="24"/>
                <w:highlight w:val="none"/>
              </w:rPr>
              <w:br w:type="textWrapping"/>
            </w:r>
            <w:r>
              <w:rPr>
                <w:rFonts w:hint="eastAsia" w:ascii="宋体" w:hAnsi="宋体" w:eastAsia="宋体" w:cs="宋体"/>
                <w:color w:val="333333"/>
                <w:kern w:val="0"/>
                <w:sz w:val="24"/>
                <w:szCs w:val="24"/>
                <w:highlight w:val="none"/>
                <w:lang w:val="en-US" w:eastAsia="zh-CN"/>
              </w:rPr>
              <w:t>9</w:t>
            </w:r>
            <w:r>
              <w:rPr>
                <w:rFonts w:hint="eastAsia" w:ascii="宋体" w:hAnsi="宋体" w:eastAsia="宋体" w:cs="宋体"/>
                <w:color w:val="333333"/>
                <w:kern w:val="0"/>
                <w:sz w:val="24"/>
                <w:szCs w:val="24"/>
                <w:highlight w:val="none"/>
              </w:rPr>
              <w:t>、具备履行合同所</w:t>
            </w:r>
            <w:r>
              <w:rPr>
                <w:rFonts w:hint="eastAsia" w:ascii="宋体" w:hAnsi="宋体" w:eastAsia="宋体" w:cs="宋体"/>
                <w:color w:val="333333"/>
                <w:kern w:val="0"/>
                <w:sz w:val="24"/>
                <w:szCs w:val="24"/>
                <w:highlight w:val="none"/>
                <w:lang w:val="en-US" w:eastAsia="zh-CN"/>
              </w:rPr>
              <w:t>必需</w:t>
            </w:r>
            <w:r>
              <w:rPr>
                <w:rFonts w:hint="eastAsia" w:ascii="宋体" w:hAnsi="宋体" w:eastAsia="宋体" w:cs="宋体"/>
                <w:color w:val="333333"/>
                <w:kern w:val="0"/>
                <w:sz w:val="24"/>
                <w:szCs w:val="24"/>
                <w:highlight w:val="none"/>
              </w:rPr>
              <w:t>的设备和专业技术能力的书面声明；</w:t>
            </w:r>
          </w:p>
          <w:p w14:paraId="2BFD2DB6">
            <w:pPr>
              <w:keepNext w:val="0"/>
              <w:keepLines w:val="0"/>
              <w:pageBreakBefore w:val="0"/>
              <w:widowControl/>
              <w:numPr>
                <w:ilvl w:val="0"/>
                <w:numId w:val="0"/>
              </w:numPr>
              <w:shd w:val="clear" w:color="auto" w:fill="FFFFFF"/>
              <w:kinsoku/>
              <w:wordWrap w:val="0"/>
              <w:overflowPunct/>
              <w:topLinePunct w:val="0"/>
              <w:autoSpaceDE/>
              <w:autoSpaceDN/>
              <w:bidi w:val="0"/>
              <w:adjustRightInd/>
              <w:snapToGrid/>
              <w:spacing w:line="356" w:lineRule="auto"/>
              <w:textAlignment w:val="auto"/>
              <w:rPr>
                <w:rFonts w:hint="eastAsia" w:ascii="宋体" w:hAnsi="宋体" w:eastAsia="宋体" w:cs="宋体"/>
                <w:sz w:val="24"/>
                <w:szCs w:val="24"/>
                <w:highlight w:val="none"/>
                <w:lang w:eastAsia="zh-CN"/>
              </w:rPr>
            </w:pPr>
            <w:r>
              <w:rPr>
                <w:rFonts w:hint="eastAsia" w:ascii="宋体" w:hAnsi="宋体" w:eastAsia="宋体" w:cs="宋体"/>
                <w:color w:val="333333"/>
                <w:kern w:val="0"/>
                <w:sz w:val="24"/>
                <w:szCs w:val="24"/>
                <w:highlight w:val="none"/>
                <w:lang w:val="en-US" w:eastAsia="zh-CN"/>
              </w:rPr>
              <w:t>10、供应商按谈判文件要求提交谈判保证金，并提供缴费凭证，确保在响应文件递交截止时间前到达指定账户；</w:t>
            </w:r>
            <w:r>
              <w:rPr>
                <w:rFonts w:hint="eastAsia" w:ascii="宋体" w:hAnsi="宋体" w:eastAsia="宋体" w:cs="宋体"/>
                <w:color w:val="333333"/>
                <w:kern w:val="0"/>
                <w:sz w:val="24"/>
                <w:szCs w:val="24"/>
                <w:highlight w:val="none"/>
              </w:rPr>
              <w:br w:type="textWrapping"/>
            </w:r>
            <w:r>
              <w:rPr>
                <w:rFonts w:hint="eastAsia" w:ascii="宋体" w:hAnsi="宋体" w:eastAsia="宋体" w:cs="宋体"/>
                <w:color w:val="333333"/>
                <w:kern w:val="0"/>
                <w:sz w:val="24"/>
                <w:szCs w:val="24"/>
                <w:highlight w:val="none"/>
                <w:lang w:val="en-US" w:eastAsia="zh-CN"/>
              </w:rPr>
              <w:t>11</w:t>
            </w:r>
            <w:r>
              <w:rPr>
                <w:rFonts w:hint="eastAsia" w:ascii="宋体" w:hAnsi="宋体" w:eastAsia="宋体" w:cs="宋体"/>
                <w:color w:val="333333"/>
                <w:kern w:val="0"/>
                <w:sz w:val="24"/>
                <w:szCs w:val="24"/>
                <w:highlight w:val="none"/>
              </w:rPr>
              <w:t>、本项目不接受联合体谈判</w:t>
            </w:r>
            <w:r>
              <w:rPr>
                <w:rFonts w:hint="eastAsia" w:ascii="宋体" w:hAnsi="宋体" w:eastAsia="宋体" w:cs="宋体"/>
                <w:color w:val="333333"/>
                <w:kern w:val="0"/>
                <w:sz w:val="24"/>
                <w:szCs w:val="24"/>
                <w:highlight w:val="none"/>
                <w:lang w:eastAsia="zh-CN"/>
              </w:rPr>
              <w:t>。</w:t>
            </w:r>
          </w:p>
        </w:tc>
      </w:tr>
      <w:tr w14:paraId="7411D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30" w:type="dxa"/>
            <w:shd w:val="clear" w:color="auto" w:fill="auto"/>
            <w:vAlign w:val="center"/>
          </w:tcPr>
          <w:p w14:paraId="274406A9">
            <w:pPr>
              <w:pageBreakBefore w:val="0"/>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12</w:t>
            </w:r>
          </w:p>
        </w:tc>
        <w:tc>
          <w:tcPr>
            <w:tcW w:w="1929" w:type="dxa"/>
            <w:shd w:val="clear" w:color="auto" w:fill="auto"/>
            <w:vAlign w:val="center"/>
          </w:tcPr>
          <w:p w14:paraId="77C0498C">
            <w:pPr>
              <w:pageBreakBefore w:val="0"/>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资格审查方式</w:t>
            </w:r>
          </w:p>
        </w:tc>
        <w:tc>
          <w:tcPr>
            <w:tcW w:w="6580" w:type="dxa"/>
            <w:shd w:val="clear" w:color="auto" w:fill="auto"/>
            <w:vAlign w:val="center"/>
          </w:tcPr>
          <w:p w14:paraId="26D27CFE">
            <w:pPr>
              <w:pageBreakBefore w:val="0"/>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资格后审</w:t>
            </w:r>
          </w:p>
        </w:tc>
      </w:tr>
      <w:tr w14:paraId="5098E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2" w:hRule="atLeast"/>
        </w:trPr>
        <w:tc>
          <w:tcPr>
            <w:tcW w:w="630" w:type="dxa"/>
            <w:shd w:val="clear" w:color="auto" w:fill="auto"/>
            <w:vAlign w:val="center"/>
          </w:tcPr>
          <w:p w14:paraId="6C55B3A8">
            <w:pPr>
              <w:pageBreakBefore w:val="0"/>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13</w:t>
            </w:r>
          </w:p>
        </w:tc>
        <w:tc>
          <w:tcPr>
            <w:tcW w:w="1929" w:type="dxa"/>
            <w:shd w:val="clear" w:color="auto" w:fill="auto"/>
            <w:vAlign w:val="center"/>
          </w:tcPr>
          <w:p w14:paraId="2EDA3788">
            <w:pPr>
              <w:pageBreakBefore w:val="0"/>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谈判预备会议</w:t>
            </w:r>
          </w:p>
        </w:tc>
        <w:tc>
          <w:tcPr>
            <w:tcW w:w="6580" w:type="dxa"/>
            <w:shd w:val="clear" w:color="auto" w:fill="auto"/>
            <w:vAlign w:val="center"/>
          </w:tcPr>
          <w:p w14:paraId="04912DDB">
            <w:pPr>
              <w:pageBreakBefore w:val="0"/>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采购人不组织谈判预备会议。</w:t>
            </w:r>
          </w:p>
        </w:tc>
      </w:tr>
      <w:tr w14:paraId="23BB7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0" w:type="dxa"/>
            <w:shd w:val="clear" w:color="auto" w:fill="auto"/>
            <w:vAlign w:val="center"/>
          </w:tcPr>
          <w:p w14:paraId="16175396">
            <w:pPr>
              <w:pageBreakBefore w:val="0"/>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14</w:t>
            </w:r>
          </w:p>
        </w:tc>
        <w:tc>
          <w:tcPr>
            <w:tcW w:w="1929" w:type="dxa"/>
            <w:shd w:val="clear" w:color="auto" w:fill="auto"/>
            <w:vAlign w:val="center"/>
          </w:tcPr>
          <w:p w14:paraId="17EE6C20">
            <w:pPr>
              <w:pageBreakBefore w:val="0"/>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澄清答疑与踏勘现场</w:t>
            </w:r>
          </w:p>
        </w:tc>
        <w:tc>
          <w:tcPr>
            <w:tcW w:w="6580" w:type="dxa"/>
            <w:shd w:val="clear" w:color="auto" w:fill="auto"/>
            <w:vAlign w:val="center"/>
          </w:tcPr>
          <w:p w14:paraId="30B6B7CE">
            <w:pPr>
              <w:pageBreakBefore w:val="0"/>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谈判供应商需以书面形式向谈判组织机构提交需澄清或答疑的问题，同时将澄清或答疑问题的电子版发至谈判组织机构电子邮箱：</w:t>
            </w:r>
            <w:r>
              <w:rPr>
                <w:rFonts w:hint="eastAsia" w:ascii="宋体" w:hAnsi="宋体" w:eastAsia="宋体" w:cs="宋体"/>
                <w:sz w:val="24"/>
                <w:szCs w:val="24"/>
                <w:highlight w:val="none"/>
                <w:lang w:val="en-US" w:eastAsia="zh-CN"/>
              </w:rPr>
              <w:t>2973349986</w:t>
            </w:r>
            <w:r>
              <w:rPr>
                <w:rFonts w:hint="eastAsia" w:ascii="宋体" w:hAnsi="宋体" w:eastAsia="宋体" w:cs="宋体"/>
                <w:sz w:val="24"/>
                <w:szCs w:val="24"/>
                <w:highlight w:val="none"/>
              </w:rPr>
              <w:t>@qq.com，采购人认为有必要答复的将以书面形式发至各供应商。</w:t>
            </w:r>
          </w:p>
          <w:p w14:paraId="6CB62BCE">
            <w:pPr>
              <w:pageBreakBefore w:val="0"/>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踏勘现场：采购人不组织现场踏勘会，若谈判供应商认为有必要时，可自行组织踏勘，但因踏勘产生的一切费用及影响由谈判供应商自行承担。</w:t>
            </w:r>
          </w:p>
        </w:tc>
      </w:tr>
      <w:tr w14:paraId="08657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30" w:type="dxa"/>
            <w:shd w:val="clear" w:color="auto" w:fill="auto"/>
            <w:vAlign w:val="center"/>
          </w:tcPr>
          <w:p w14:paraId="693B6A42">
            <w:pPr>
              <w:pageBreakBefore w:val="0"/>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15</w:t>
            </w:r>
          </w:p>
        </w:tc>
        <w:tc>
          <w:tcPr>
            <w:tcW w:w="1929" w:type="dxa"/>
            <w:shd w:val="clear" w:color="auto" w:fill="auto"/>
            <w:vAlign w:val="center"/>
          </w:tcPr>
          <w:p w14:paraId="27686090">
            <w:pPr>
              <w:pageBreakBefore w:val="0"/>
              <w:bidi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响应文件</w:t>
            </w:r>
            <w:r>
              <w:rPr>
                <w:rFonts w:hint="eastAsia" w:ascii="宋体" w:hAnsi="宋体" w:eastAsia="宋体" w:cs="宋体"/>
                <w:sz w:val="24"/>
                <w:szCs w:val="24"/>
                <w:highlight w:val="none"/>
                <w:lang w:val="en-US" w:eastAsia="zh-CN"/>
              </w:rPr>
              <w:t>递交</w:t>
            </w:r>
          </w:p>
        </w:tc>
        <w:tc>
          <w:tcPr>
            <w:tcW w:w="6580" w:type="dxa"/>
            <w:shd w:val="clear" w:color="auto" w:fill="auto"/>
            <w:vAlign w:val="center"/>
          </w:tcPr>
          <w:p w14:paraId="6A4D2E14">
            <w:pPr>
              <w:pageBreakBefore w:val="0"/>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（1）本项目采用电子化远程不见面谈判的方式远程解密，相关操作流程详见全国公共资源交易平台（陕西省）网站[服务指南-下载专区]中的《陕西省公共资源交易中心政府采购项目投标指南》；      </w:t>
            </w:r>
          </w:p>
          <w:p w14:paraId="2DEDB731">
            <w:pPr>
              <w:pageBreakBefore w:val="0"/>
              <w:bidi w:val="0"/>
              <w:spacing w:line="360" w:lineRule="auto"/>
              <w:rPr>
                <w:rFonts w:hint="eastAsia" w:ascii="宋体" w:hAnsi="宋体" w:eastAsia="宋体" w:cs="宋体"/>
                <w:sz w:val="24"/>
                <w:szCs w:val="24"/>
                <w:highlight w:val="none"/>
              </w:rPr>
            </w:pPr>
            <w:bookmarkStart w:id="21" w:name="OLE_LINK29"/>
            <w:r>
              <w:rPr>
                <w:rFonts w:hint="eastAsia" w:ascii="宋体" w:hAnsi="宋体" w:eastAsia="宋体" w:cs="宋体"/>
                <w:sz w:val="24"/>
                <w:szCs w:val="24"/>
                <w:highlight w:val="none"/>
              </w:rPr>
              <w:t>（2）</w:t>
            </w:r>
            <w:bookmarkEnd w:id="21"/>
            <w:r>
              <w:rPr>
                <w:rFonts w:hint="eastAsia" w:ascii="宋体" w:hAnsi="宋体" w:eastAsia="宋体" w:cs="宋体"/>
                <w:sz w:val="24"/>
                <w:szCs w:val="24"/>
                <w:highlight w:val="none"/>
              </w:rPr>
              <w:t>电子</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文件上传递交至延安市公共资源交易中心网电子招标投标系统;电子响应文件可于提交响应文件截止时间前任意时段进行提交，逾期系统将拒绝接收。</w:t>
            </w:r>
          </w:p>
          <w:p w14:paraId="06DC1728">
            <w:pPr>
              <w:pageBreakBefore w:val="0"/>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）响应文件必须逐页加盖公章并经法定代表人或其委托代理人在指定页面签字或盖章。由委托代理人签字或盖章的在响应文件中须同时提交响应文件签署授权委托书。</w:t>
            </w:r>
          </w:p>
          <w:p w14:paraId="41B64442">
            <w:pPr>
              <w:pageBreakBefore w:val="0"/>
              <w:bidi w:val="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）中标供应商在领取中标通知书时需提供一正两副纸质版</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文件及电子版</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含</w:t>
            </w:r>
            <w:r>
              <w:rPr>
                <w:rFonts w:hint="eastAsia" w:ascii="宋体" w:hAnsi="宋体" w:eastAsia="宋体" w:cs="宋体"/>
                <w:sz w:val="24"/>
                <w:szCs w:val="24"/>
                <w:highlight w:val="none"/>
              </w:rPr>
              <w:t>PDF</w:t>
            </w:r>
            <w:r>
              <w:rPr>
                <w:rFonts w:hint="eastAsia" w:ascii="宋体" w:hAnsi="宋体" w:eastAsia="宋体" w:cs="宋体"/>
                <w:sz w:val="24"/>
                <w:szCs w:val="24"/>
                <w:highlight w:val="none"/>
                <w:lang w:val="en-US" w:eastAsia="zh-CN"/>
              </w:rPr>
              <w:t>盖章</w:t>
            </w:r>
            <w:r>
              <w:rPr>
                <w:rFonts w:hint="eastAsia" w:ascii="宋体" w:hAnsi="宋体" w:eastAsia="宋体" w:cs="宋体"/>
                <w:sz w:val="24"/>
                <w:szCs w:val="24"/>
                <w:highlight w:val="none"/>
              </w:rPr>
              <w:t>版</w:t>
            </w:r>
            <w:r>
              <w:rPr>
                <w:rFonts w:hint="eastAsia" w:ascii="宋体" w:hAnsi="宋体" w:eastAsia="宋体" w:cs="宋体"/>
                <w:sz w:val="24"/>
                <w:szCs w:val="24"/>
                <w:highlight w:val="none"/>
                <w:lang w:val="en-US" w:eastAsia="zh-CN"/>
              </w:rPr>
              <w:t>本及word版本）</w:t>
            </w:r>
            <w:r>
              <w:rPr>
                <w:rFonts w:hint="eastAsia" w:ascii="宋体" w:hAnsi="宋体" w:eastAsia="宋体" w:cs="宋体"/>
                <w:sz w:val="24"/>
                <w:szCs w:val="24"/>
                <w:highlight w:val="none"/>
              </w:rPr>
              <w:t>拷贝U盘</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份(注:</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文件应为系统中上传参与评审的带有电子章版本，纸质标书封面处加盖实体红色公章外，均须加盖骑缝章实体红色公章)。</w:t>
            </w:r>
          </w:p>
        </w:tc>
      </w:tr>
      <w:tr w14:paraId="37780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30" w:type="dxa"/>
            <w:shd w:val="clear" w:color="auto" w:fill="auto"/>
            <w:vAlign w:val="center"/>
          </w:tcPr>
          <w:p w14:paraId="37506AA6">
            <w:pPr>
              <w:pageBreakBefore w:val="0"/>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16</w:t>
            </w:r>
          </w:p>
        </w:tc>
        <w:tc>
          <w:tcPr>
            <w:tcW w:w="1929" w:type="dxa"/>
            <w:shd w:val="clear" w:color="auto" w:fill="auto"/>
            <w:vAlign w:val="center"/>
          </w:tcPr>
          <w:p w14:paraId="23183DF2">
            <w:pPr>
              <w:pageBreakBefore w:val="0"/>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谈判特殊要求</w:t>
            </w:r>
          </w:p>
        </w:tc>
        <w:tc>
          <w:tcPr>
            <w:tcW w:w="6580" w:type="dxa"/>
            <w:shd w:val="clear" w:color="auto" w:fill="auto"/>
            <w:vAlign w:val="center"/>
          </w:tcPr>
          <w:p w14:paraId="740D2602">
            <w:pPr>
              <w:pageBreakBefore w:val="0"/>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无</w:t>
            </w:r>
          </w:p>
        </w:tc>
      </w:tr>
      <w:tr w14:paraId="12864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30" w:type="dxa"/>
            <w:shd w:val="clear" w:color="auto" w:fill="auto"/>
            <w:vAlign w:val="center"/>
          </w:tcPr>
          <w:p w14:paraId="1249D544">
            <w:pPr>
              <w:pageBreakBefore w:val="0"/>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17</w:t>
            </w:r>
          </w:p>
        </w:tc>
        <w:tc>
          <w:tcPr>
            <w:tcW w:w="1929" w:type="dxa"/>
            <w:shd w:val="clear" w:color="auto" w:fill="auto"/>
            <w:vAlign w:val="center"/>
          </w:tcPr>
          <w:p w14:paraId="35875CA2">
            <w:pPr>
              <w:pageBreakBefore w:val="0"/>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报价采用币种</w:t>
            </w:r>
          </w:p>
        </w:tc>
        <w:tc>
          <w:tcPr>
            <w:tcW w:w="6580" w:type="dxa"/>
            <w:shd w:val="clear" w:color="auto" w:fill="auto"/>
            <w:vAlign w:val="center"/>
          </w:tcPr>
          <w:p w14:paraId="24F97EE8">
            <w:pPr>
              <w:pageBreakBefore w:val="0"/>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人民币</w:t>
            </w:r>
          </w:p>
        </w:tc>
      </w:tr>
      <w:tr w14:paraId="63831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3" w:hRule="atLeast"/>
        </w:trPr>
        <w:tc>
          <w:tcPr>
            <w:tcW w:w="630" w:type="dxa"/>
            <w:shd w:val="clear" w:color="auto" w:fill="auto"/>
            <w:vAlign w:val="center"/>
          </w:tcPr>
          <w:p w14:paraId="451594F7">
            <w:pPr>
              <w:pageBreakBefore w:val="0"/>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18</w:t>
            </w:r>
          </w:p>
        </w:tc>
        <w:tc>
          <w:tcPr>
            <w:tcW w:w="1929" w:type="dxa"/>
            <w:shd w:val="clear" w:color="auto" w:fill="auto"/>
            <w:vAlign w:val="center"/>
          </w:tcPr>
          <w:p w14:paraId="68009DBF">
            <w:pPr>
              <w:pageBreakBefore w:val="0"/>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是否允许递交备选谈判方案</w:t>
            </w:r>
          </w:p>
        </w:tc>
        <w:tc>
          <w:tcPr>
            <w:tcW w:w="6580" w:type="dxa"/>
            <w:shd w:val="clear" w:color="auto" w:fill="auto"/>
            <w:vAlign w:val="center"/>
          </w:tcPr>
          <w:p w14:paraId="7AB0964E">
            <w:pPr>
              <w:pageBreakBefore w:val="0"/>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不允许</w:t>
            </w:r>
          </w:p>
        </w:tc>
      </w:tr>
      <w:tr w14:paraId="57FBB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7" w:hRule="atLeast"/>
        </w:trPr>
        <w:tc>
          <w:tcPr>
            <w:tcW w:w="630" w:type="dxa"/>
            <w:shd w:val="clear" w:color="auto" w:fill="auto"/>
            <w:vAlign w:val="center"/>
          </w:tcPr>
          <w:p w14:paraId="378C7943">
            <w:pPr>
              <w:pageBreakBefore w:val="0"/>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19</w:t>
            </w:r>
          </w:p>
        </w:tc>
        <w:tc>
          <w:tcPr>
            <w:tcW w:w="1929" w:type="dxa"/>
            <w:shd w:val="clear" w:color="auto" w:fill="auto"/>
            <w:vAlign w:val="center"/>
          </w:tcPr>
          <w:p w14:paraId="2314CCD1">
            <w:pPr>
              <w:pageBreakBefore w:val="0"/>
              <w:bidi w:val="0"/>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签字或盖章</w:t>
            </w:r>
          </w:p>
          <w:p w14:paraId="700240B8">
            <w:pPr>
              <w:pageBreakBefore w:val="0"/>
              <w:bidi w:val="0"/>
              <w:spacing w:line="360" w:lineRule="auto"/>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要求</w:t>
            </w:r>
          </w:p>
        </w:tc>
        <w:tc>
          <w:tcPr>
            <w:tcW w:w="6580" w:type="dxa"/>
            <w:shd w:val="clear" w:color="auto" w:fill="auto"/>
            <w:vAlign w:val="center"/>
          </w:tcPr>
          <w:p w14:paraId="2179C809">
            <w:pPr>
              <w:pageBreakBefore w:val="0"/>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响应文件</w:t>
            </w:r>
            <w:r>
              <w:rPr>
                <w:rFonts w:hint="eastAsia" w:ascii="宋体" w:hAnsi="宋体" w:eastAsia="宋体" w:cs="宋体"/>
                <w:b/>
                <w:bCs/>
                <w:sz w:val="24"/>
                <w:szCs w:val="24"/>
                <w:highlight w:val="none"/>
              </w:rPr>
              <w:t>必须逐页加盖公章</w:t>
            </w:r>
            <w:r>
              <w:rPr>
                <w:rFonts w:hint="eastAsia" w:ascii="宋体" w:hAnsi="宋体" w:eastAsia="宋体" w:cs="宋体"/>
                <w:sz w:val="24"/>
                <w:szCs w:val="24"/>
                <w:highlight w:val="none"/>
              </w:rPr>
              <w:t>。由委托代理人签字或盖章的在响应文件中须同时提交响应文件签署授权委托书。除谈判供应商对错误处须修改外，全套响应文件应无涂改或行间插字和增删。如有修改，修改处应由谈判供应商加盖单位公章或由公司法人或授权代理签字或盖章。</w:t>
            </w:r>
          </w:p>
        </w:tc>
      </w:tr>
      <w:tr w14:paraId="4FDEB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229" w:hRule="atLeast"/>
        </w:trPr>
        <w:tc>
          <w:tcPr>
            <w:tcW w:w="630" w:type="dxa"/>
            <w:shd w:val="clear" w:color="auto" w:fill="auto"/>
            <w:vAlign w:val="center"/>
          </w:tcPr>
          <w:p w14:paraId="53D886EF">
            <w:pPr>
              <w:pageBreakBefore w:val="0"/>
              <w:bidi w:val="0"/>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0</w:t>
            </w:r>
          </w:p>
        </w:tc>
        <w:tc>
          <w:tcPr>
            <w:tcW w:w="1929" w:type="dxa"/>
            <w:shd w:val="clear" w:color="auto" w:fill="auto"/>
            <w:vAlign w:val="center"/>
          </w:tcPr>
          <w:p w14:paraId="34BD6421">
            <w:pPr>
              <w:pageBreakBefore w:val="0"/>
              <w:bidi w:val="0"/>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谈判保证金</w:t>
            </w:r>
          </w:p>
          <w:p w14:paraId="60B70FA4">
            <w:pPr>
              <w:pageBreakBefore w:val="0"/>
              <w:bidi w:val="0"/>
              <w:spacing w:line="360" w:lineRule="auto"/>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形式</w:t>
            </w:r>
          </w:p>
        </w:tc>
        <w:tc>
          <w:tcPr>
            <w:tcW w:w="6580" w:type="dxa"/>
            <w:shd w:val="clear" w:color="auto" w:fill="auto"/>
            <w:vAlign w:val="center"/>
          </w:tcPr>
          <w:p w14:paraId="59EE1ED1">
            <w:pPr>
              <w:pageBreakBefore w:val="0"/>
              <w:bidi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谈判保证金:</w:t>
            </w:r>
            <w:r>
              <w:rPr>
                <w:rFonts w:hint="eastAsia" w:ascii="宋体" w:hAnsi="宋体" w:eastAsia="宋体" w:cs="宋体"/>
                <w:b/>
                <w:sz w:val="24"/>
                <w:szCs w:val="24"/>
                <w:highlight w:val="none"/>
                <w:lang w:val="en-US" w:eastAsia="zh-CN"/>
              </w:rPr>
              <w:t>6</w:t>
            </w:r>
            <w:r>
              <w:rPr>
                <w:rFonts w:hint="eastAsia" w:ascii="宋体" w:hAnsi="宋体" w:eastAsia="宋体" w:cs="宋体"/>
                <w:b/>
                <w:sz w:val="24"/>
                <w:szCs w:val="24"/>
                <w:highlight w:val="none"/>
              </w:rPr>
              <w:t>000元整(</w:t>
            </w:r>
            <w:r>
              <w:rPr>
                <w:rFonts w:hint="eastAsia" w:ascii="宋体" w:hAnsi="宋体" w:eastAsia="宋体" w:cs="宋体"/>
                <w:b/>
                <w:sz w:val="24"/>
                <w:szCs w:val="24"/>
                <w:highlight w:val="none"/>
                <w:lang w:val="en-US" w:eastAsia="zh-CN"/>
              </w:rPr>
              <w:t>人民币陆仟元整</w:t>
            </w:r>
            <w:r>
              <w:rPr>
                <w:rFonts w:hint="eastAsia" w:ascii="宋体" w:hAnsi="宋体" w:eastAsia="宋体" w:cs="宋体"/>
                <w:b/>
                <w:sz w:val="24"/>
                <w:szCs w:val="24"/>
                <w:highlight w:val="none"/>
              </w:rPr>
              <w:t>)</w:t>
            </w:r>
            <w:r>
              <w:rPr>
                <w:rFonts w:hint="eastAsia" w:ascii="宋体" w:hAnsi="宋体" w:eastAsia="宋体" w:cs="宋体"/>
                <w:b/>
                <w:sz w:val="24"/>
                <w:szCs w:val="24"/>
                <w:highlight w:val="none"/>
              </w:rPr>
              <w:tab/>
            </w:r>
            <w:r>
              <w:rPr>
                <w:rFonts w:hint="eastAsia" w:ascii="宋体" w:hAnsi="宋体" w:eastAsia="宋体" w:cs="宋体"/>
                <w:b/>
                <w:sz w:val="24"/>
                <w:szCs w:val="24"/>
                <w:highlight w:val="none"/>
              </w:rPr>
              <w:tab/>
            </w:r>
          </w:p>
          <w:p w14:paraId="41B89600">
            <w:pPr>
              <w:pageBreakBefore w:val="0"/>
              <w:bidi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备注:</w:t>
            </w:r>
            <w:r>
              <w:rPr>
                <w:rFonts w:hint="eastAsia" w:ascii="宋体" w:hAnsi="宋体" w:eastAsia="宋体" w:cs="宋体"/>
                <w:b/>
                <w:sz w:val="24"/>
                <w:szCs w:val="24"/>
                <w:highlight w:val="none"/>
                <w:lang w:eastAsia="zh-CN"/>
              </w:rPr>
              <w:t>HRC-ZBDL-2026-00708.1B</w:t>
            </w:r>
            <w:r>
              <w:rPr>
                <w:rFonts w:hint="eastAsia" w:ascii="宋体" w:hAnsi="宋体" w:eastAsia="宋体" w:cs="宋体"/>
                <w:b/>
                <w:sz w:val="24"/>
                <w:szCs w:val="24"/>
                <w:highlight w:val="none"/>
                <w:lang w:val="en-US" w:eastAsia="zh-CN"/>
              </w:rPr>
              <w:t>2</w:t>
            </w:r>
            <w:r>
              <w:rPr>
                <w:rFonts w:hint="eastAsia" w:ascii="宋体" w:hAnsi="宋体" w:eastAsia="宋体" w:cs="宋体"/>
                <w:b/>
                <w:sz w:val="24"/>
                <w:szCs w:val="24"/>
                <w:highlight w:val="none"/>
              </w:rPr>
              <w:t>谈判保证金</w:t>
            </w:r>
          </w:p>
          <w:p w14:paraId="2C13E2CF">
            <w:pPr>
              <w:pageBreakBefore w:val="0"/>
              <w:bidi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谈判保证金有效期限:谈判保证金的有效期与谈判有效期一致。交款方式:谈判保证金应当以银行网银转账、支票、汇票、本票、保函等非现金形式提交。供应商未按照采购文件要求提交谈判保证金的，响应文件无效。请供应商在响应文件递交截止时间前将谈判保证金由公司账户(谈判保证金的交付单位和谈判供应商的名称必须一致)缴纳到下列账户:</w:t>
            </w:r>
          </w:p>
          <w:p w14:paraId="66BA6CEB">
            <w:pPr>
              <w:pageBreakBefore w:val="0"/>
              <w:bidi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开户单位:华睿诚项目管理有限公司</w:t>
            </w:r>
          </w:p>
          <w:p w14:paraId="43D7F843">
            <w:pPr>
              <w:pageBreakBefore w:val="0"/>
              <w:bidi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开户行名称:平安银行西安分行营业部/平安银行西安分行  </w:t>
            </w:r>
          </w:p>
          <w:p w14:paraId="69DFF59F">
            <w:pPr>
              <w:pageBreakBefore w:val="0"/>
              <w:bidi w:val="0"/>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账</w:t>
            </w:r>
            <w:r>
              <w:rPr>
                <w:rFonts w:hint="eastAsia" w:ascii="宋体" w:hAnsi="宋体" w:eastAsia="宋体" w:cs="宋体"/>
                <w:b/>
                <w:sz w:val="24"/>
                <w:szCs w:val="24"/>
                <w:highlight w:val="none"/>
              </w:rPr>
              <w:tab/>
            </w:r>
            <w:r>
              <w:rPr>
                <w:rFonts w:hint="eastAsia" w:ascii="宋体" w:hAnsi="宋体" w:eastAsia="宋体" w:cs="宋体"/>
                <w:b/>
                <w:sz w:val="24"/>
                <w:szCs w:val="24"/>
                <w:highlight w:val="none"/>
              </w:rPr>
              <w:t>号:30205868007075</w:t>
            </w:r>
          </w:p>
        </w:tc>
      </w:tr>
      <w:tr w14:paraId="54940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trPr>
        <w:tc>
          <w:tcPr>
            <w:tcW w:w="630" w:type="dxa"/>
            <w:shd w:val="clear" w:color="auto" w:fill="auto"/>
            <w:vAlign w:val="center"/>
          </w:tcPr>
          <w:p w14:paraId="2DF6CEF2">
            <w:pPr>
              <w:pageBreakBefore w:val="0"/>
              <w:bidi w:val="0"/>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1</w:t>
            </w:r>
          </w:p>
        </w:tc>
        <w:tc>
          <w:tcPr>
            <w:tcW w:w="1929" w:type="dxa"/>
            <w:shd w:val="clear" w:color="auto" w:fill="auto"/>
            <w:vAlign w:val="center"/>
          </w:tcPr>
          <w:p w14:paraId="706DDF12">
            <w:pPr>
              <w:pageBreakBefore w:val="0"/>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谈判时间和地点</w:t>
            </w:r>
          </w:p>
        </w:tc>
        <w:tc>
          <w:tcPr>
            <w:tcW w:w="6580" w:type="dxa"/>
            <w:shd w:val="clear" w:color="auto" w:fill="auto"/>
            <w:vAlign w:val="center"/>
          </w:tcPr>
          <w:p w14:paraId="4213A87B">
            <w:pPr>
              <w:pageBreakBefore w:val="0"/>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谈判时间：202</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08月21日10</w:t>
            </w:r>
            <w:r>
              <w:rPr>
                <w:rFonts w:hint="eastAsia" w:ascii="宋体" w:hAnsi="宋体" w:eastAsia="宋体" w:cs="宋体"/>
                <w:sz w:val="24"/>
                <w:szCs w:val="24"/>
                <w:highlight w:val="none"/>
              </w:rPr>
              <w:t>时</w:t>
            </w:r>
            <w:r>
              <w:rPr>
                <w:rFonts w:hint="eastAsia" w:ascii="宋体" w:hAnsi="宋体" w:eastAsia="宋体" w:cs="宋体"/>
                <w:sz w:val="24"/>
                <w:szCs w:val="24"/>
                <w:highlight w:val="none"/>
                <w:lang w:val="en-US" w:eastAsia="zh-CN"/>
              </w:rPr>
              <w:t>00</w:t>
            </w:r>
            <w:r>
              <w:rPr>
                <w:rFonts w:hint="eastAsia" w:ascii="宋体" w:hAnsi="宋体" w:eastAsia="宋体" w:cs="宋体"/>
                <w:sz w:val="24"/>
                <w:szCs w:val="24"/>
                <w:highlight w:val="none"/>
              </w:rPr>
              <w:t xml:space="preserve">分 </w:t>
            </w:r>
          </w:p>
          <w:p w14:paraId="073342BD">
            <w:pPr>
              <w:pageBreakBefore w:val="0"/>
              <w:bidi w:val="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谈判地点：延安市公共资源交易中心</w:t>
            </w:r>
            <w:r>
              <w:rPr>
                <w:rFonts w:hint="eastAsia" w:ascii="宋体" w:hAnsi="宋体" w:eastAsia="宋体" w:cs="宋体"/>
                <w:sz w:val="24"/>
                <w:szCs w:val="24"/>
                <w:highlight w:val="none"/>
                <w:lang w:val="en-US" w:eastAsia="zh-CN"/>
              </w:rPr>
              <w:t>开标5室</w:t>
            </w:r>
          </w:p>
        </w:tc>
      </w:tr>
      <w:tr w14:paraId="37F6A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trPr>
        <w:tc>
          <w:tcPr>
            <w:tcW w:w="630" w:type="dxa"/>
            <w:shd w:val="clear" w:color="auto" w:fill="auto"/>
            <w:vAlign w:val="center"/>
          </w:tcPr>
          <w:p w14:paraId="4EEF9834">
            <w:pPr>
              <w:pageBreakBefore w:val="0"/>
              <w:bidi w:val="0"/>
              <w:spacing w:line="360" w:lineRule="auto"/>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22</w:t>
            </w:r>
          </w:p>
        </w:tc>
        <w:tc>
          <w:tcPr>
            <w:tcW w:w="1929" w:type="dxa"/>
            <w:shd w:val="clear" w:color="auto" w:fill="auto"/>
            <w:vAlign w:val="center"/>
          </w:tcPr>
          <w:p w14:paraId="58AED8E8">
            <w:pPr>
              <w:pageBreakBefore w:val="0"/>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谈判小组成员的组建</w:t>
            </w:r>
          </w:p>
        </w:tc>
        <w:tc>
          <w:tcPr>
            <w:tcW w:w="6580" w:type="dxa"/>
            <w:shd w:val="clear" w:color="auto" w:fill="auto"/>
            <w:vAlign w:val="center"/>
          </w:tcPr>
          <w:p w14:paraId="46C42A33">
            <w:pPr>
              <w:pageBreakBefore w:val="0"/>
              <w:bidi w:val="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谈判小组构成：3人</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其中采购人代表1人，专家2人</w:t>
            </w:r>
          </w:p>
          <w:p w14:paraId="6E93D246">
            <w:pPr>
              <w:pageBreakBefore w:val="0"/>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谈判专家确定方式：陕西省政府采购专家库随机抽取</w:t>
            </w:r>
          </w:p>
        </w:tc>
      </w:tr>
      <w:tr w14:paraId="4C664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0" w:type="dxa"/>
            <w:shd w:val="clear" w:color="auto" w:fill="auto"/>
            <w:vAlign w:val="center"/>
          </w:tcPr>
          <w:p w14:paraId="0CBAD8A0">
            <w:pPr>
              <w:pageBreakBefore w:val="0"/>
              <w:bidi w:val="0"/>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3</w:t>
            </w:r>
          </w:p>
        </w:tc>
        <w:tc>
          <w:tcPr>
            <w:tcW w:w="1929" w:type="dxa"/>
            <w:shd w:val="clear" w:color="auto" w:fill="auto"/>
            <w:vAlign w:val="center"/>
          </w:tcPr>
          <w:p w14:paraId="77152DC4">
            <w:pPr>
              <w:pageBreakBefore w:val="0"/>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是否授权谈判小组确定成交供应商</w:t>
            </w:r>
          </w:p>
        </w:tc>
        <w:tc>
          <w:tcPr>
            <w:tcW w:w="6580" w:type="dxa"/>
            <w:shd w:val="clear" w:color="auto" w:fill="auto"/>
            <w:vAlign w:val="center"/>
          </w:tcPr>
          <w:p w14:paraId="0289A886">
            <w:pPr>
              <w:pageBreakBefore w:val="0"/>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是，推荐的成交候选人数：3人</w:t>
            </w:r>
          </w:p>
          <w:p w14:paraId="7612DAF1">
            <w:pPr>
              <w:pStyle w:val="7"/>
              <w:pageBreakBefore w:val="0"/>
              <w:bidi w:val="0"/>
              <w:spacing w:line="360" w:lineRule="auto"/>
              <w:rPr>
                <w:rFonts w:hint="eastAsia" w:ascii="宋体" w:hAnsi="宋体" w:eastAsia="宋体" w:cs="宋体"/>
                <w:sz w:val="24"/>
                <w:szCs w:val="24"/>
                <w:highlight w:val="none"/>
              </w:rPr>
            </w:pPr>
          </w:p>
        </w:tc>
      </w:tr>
      <w:tr w14:paraId="522A2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630" w:type="dxa"/>
            <w:shd w:val="clear" w:color="auto" w:fill="auto"/>
            <w:vAlign w:val="center"/>
          </w:tcPr>
          <w:p w14:paraId="0BBB2B9E">
            <w:pPr>
              <w:pageBreakBefore w:val="0"/>
              <w:bidi w:val="0"/>
              <w:spacing w:line="360" w:lineRule="auto"/>
              <w:jc w:val="center"/>
              <w:rPr>
                <w:rFonts w:hint="eastAsia" w:ascii="宋体" w:hAnsi="宋体" w:eastAsia="宋体" w:cs="宋体"/>
                <w:color w:val="FFFFFF"/>
                <w:sz w:val="24"/>
                <w:szCs w:val="24"/>
                <w:highlight w:val="none"/>
                <w:lang w:val="en-US" w:eastAsia="zh-CN"/>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4</w:t>
            </w:r>
          </w:p>
        </w:tc>
        <w:tc>
          <w:tcPr>
            <w:tcW w:w="1929" w:type="dxa"/>
            <w:shd w:val="clear" w:color="auto" w:fill="auto"/>
            <w:vAlign w:val="center"/>
          </w:tcPr>
          <w:p w14:paraId="268501C0">
            <w:pPr>
              <w:pageBreakBefore w:val="0"/>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谈判有效期</w:t>
            </w:r>
          </w:p>
        </w:tc>
        <w:tc>
          <w:tcPr>
            <w:tcW w:w="6580" w:type="dxa"/>
            <w:shd w:val="clear" w:color="auto" w:fill="auto"/>
            <w:vAlign w:val="center"/>
          </w:tcPr>
          <w:p w14:paraId="57A0E2D0">
            <w:pPr>
              <w:pageBreakBefore w:val="0"/>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90天（日历天数）</w:t>
            </w:r>
          </w:p>
        </w:tc>
      </w:tr>
      <w:tr w14:paraId="731CC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630" w:type="dxa"/>
            <w:shd w:val="clear" w:color="auto" w:fill="auto"/>
            <w:vAlign w:val="center"/>
          </w:tcPr>
          <w:p w14:paraId="36C1100C">
            <w:pPr>
              <w:pageBreakBefore w:val="0"/>
              <w:bidi w:val="0"/>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5</w:t>
            </w:r>
          </w:p>
        </w:tc>
        <w:tc>
          <w:tcPr>
            <w:tcW w:w="1929" w:type="dxa"/>
            <w:shd w:val="clear" w:color="auto" w:fill="auto"/>
            <w:vAlign w:val="center"/>
          </w:tcPr>
          <w:p w14:paraId="27915CCD">
            <w:pPr>
              <w:pageBreakBefore w:val="0"/>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供货期</w:t>
            </w:r>
          </w:p>
        </w:tc>
        <w:tc>
          <w:tcPr>
            <w:tcW w:w="6580" w:type="dxa"/>
            <w:shd w:val="clear" w:color="auto" w:fill="auto"/>
            <w:vAlign w:val="center"/>
          </w:tcPr>
          <w:p w14:paraId="0EA1E00B">
            <w:pPr>
              <w:pageBreakBefore w:val="0"/>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自合同签订之日起60日历天</w:t>
            </w:r>
          </w:p>
        </w:tc>
      </w:tr>
      <w:tr w14:paraId="375BF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02" w:hRule="atLeast"/>
        </w:trPr>
        <w:tc>
          <w:tcPr>
            <w:tcW w:w="630" w:type="dxa"/>
            <w:shd w:val="clear" w:color="auto" w:fill="auto"/>
            <w:vAlign w:val="center"/>
          </w:tcPr>
          <w:p w14:paraId="32572DDC">
            <w:pPr>
              <w:pageBreakBefore w:val="0"/>
              <w:bidi w:val="0"/>
              <w:spacing w:line="360" w:lineRule="auto"/>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26</w:t>
            </w:r>
          </w:p>
        </w:tc>
        <w:tc>
          <w:tcPr>
            <w:tcW w:w="1929" w:type="dxa"/>
            <w:shd w:val="clear" w:color="auto" w:fill="auto"/>
            <w:vAlign w:val="center"/>
          </w:tcPr>
          <w:p w14:paraId="55872152">
            <w:pPr>
              <w:pageBreakBefore w:val="0"/>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质保期</w:t>
            </w:r>
          </w:p>
        </w:tc>
        <w:tc>
          <w:tcPr>
            <w:tcW w:w="6580" w:type="dxa"/>
            <w:shd w:val="clear" w:color="auto" w:fill="auto"/>
            <w:vAlign w:val="center"/>
          </w:tcPr>
          <w:p w14:paraId="3C161CCF">
            <w:pPr>
              <w:pageBreakBefore w:val="0"/>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1年</w:t>
            </w:r>
          </w:p>
        </w:tc>
      </w:tr>
      <w:tr w14:paraId="5FDD1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0" w:type="dxa"/>
            <w:shd w:val="clear" w:color="auto" w:fill="auto"/>
            <w:vAlign w:val="center"/>
          </w:tcPr>
          <w:p w14:paraId="5E62EFDC">
            <w:pPr>
              <w:pageBreakBefore w:val="0"/>
              <w:bidi w:val="0"/>
              <w:spacing w:line="360" w:lineRule="auto"/>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27</w:t>
            </w:r>
          </w:p>
        </w:tc>
        <w:tc>
          <w:tcPr>
            <w:tcW w:w="1929" w:type="dxa"/>
            <w:shd w:val="clear" w:color="auto" w:fill="auto"/>
            <w:vAlign w:val="center"/>
          </w:tcPr>
          <w:p w14:paraId="1498AC68">
            <w:pPr>
              <w:pageBreakBefore w:val="0"/>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是否采用电子谈判及响应</w:t>
            </w:r>
          </w:p>
        </w:tc>
        <w:tc>
          <w:tcPr>
            <w:tcW w:w="6580" w:type="dxa"/>
            <w:shd w:val="clear" w:color="auto" w:fill="auto"/>
            <w:vAlign w:val="center"/>
          </w:tcPr>
          <w:p w14:paraId="401AD152">
            <w:pPr>
              <w:pageBreakBefore w:val="0"/>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是</w:t>
            </w:r>
          </w:p>
        </w:tc>
      </w:tr>
      <w:tr w14:paraId="2A0CC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30" w:type="dxa"/>
            <w:shd w:val="clear" w:color="auto" w:fill="auto"/>
            <w:vAlign w:val="center"/>
          </w:tcPr>
          <w:p w14:paraId="3F01C017">
            <w:pPr>
              <w:pageBreakBefore w:val="0"/>
              <w:bidi w:val="0"/>
              <w:spacing w:line="360" w:lineRule="auto"/>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28</w:t>
            </w:r>
          </w:p>
        </w:tc>
        <w:tc>
          <w:tcPr>
            <w:tcW w:w="1929" w:type="dxa"/>
            <w:shd w:val="clear" w:color="auto" w:fill="auto"/>
            <w:vAlign w:val="center"/>
          </w:tcPr>
          <w:p w14:paraId="41331689">
            <w:pPr>
              <w:pageBreakBefore w:val="0"/>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成交候选人公示媒介及期限</w:t>
            </w:r>
          </w:p>
        </w:tc>
        <w:tc>
          <w:tcPr>
            <w:tcW w:w="6580" w:type="dxa"/>
            <w:shd w:val="clear" w:color="auto" w:fill="auto"/>
            <w:vAlign w:val="center"/>
          </w:tcPr>
          <w:p w14:paraId="5FF459FD">
            <w:pPr>
              <w:pageBreakBefore w:val="0"/>
              <w:bidi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公示媒介：陕西省政府采购网、全国公共资源交易平台（陕西省·延安市）</w:t>
            </w:r>
          </w:p>
          <w:p w14:paraId="3C2D1F0B">
            <w:pPr>
              <w:pageBreakBefore w:val="0"/>
              <w:bidi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公示期限：1个工作日</w:t>
            </w:r>
          </w:p>
        </w:tc>
      </w:tr>
      <w:tr w14:paraId="0556D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0" w:type="dxa"/>
            <w:shd w:val="clear" w:color="auto" w:fill="auto"/>
            <w:vAlign w:val="center"/>
          </w:tcPr>
          <w:p w14:paraId="46DD7A70">
            <w:pPr>
              <w:pageBreakBefore w:val="0"/>
              <w:bidi w:val="0"/>
              <w:spacing w:line="360" w:lineRule="auto"/>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29</w:t>
            </w:r>
          </w:p>
        </w:tc>
        <w:tc>
          <w:tcPr>
            <w:tcW w:w="1929" w:type="dxa"/>
            <w:shd w:val="clear" w:color="auto" w:fill="auto"/>
            <w:vAlign w:val="center"/>
          </w:tcPr>
          <w:p w14:paraId="39AF0862">
            <w:pPr>
              <w:pageBreakBefore w:val="0"/>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未成交补偿</w:t>
            </w:r>
          </w:p>
        </w:tc>
        <w:tc>
          <w:tcPr>
            <w:tcW w:w="6580" w:type="dxa"/>
            <w:shd w:val="clear" w:color="auto" w:fill="auto"/>
            <w:vAlign w:val="center"/>
          </w:tcPr>
          <w:p w14:paraId="0AE16E72">
            <w:pPr>
              <w:pageBreakBefore w:val="0"/>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无补偿</w:t>
            </w:r>
          </w:p>
        </w:tc>
      </w:tr>
      <w:tr w14:paraId="3E4A6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0" w:type="dxa"/>
            <w:shd w:val="clear" w:color="auto" w:fill="auto"/>
            <w:vAlign w:val="center"/>
          </w:tcPr>
          <w:p w14:paraId="5B60A25F">
            <w:pPr>
              <w:pageBreakBefore w:val="0"/>
              <w:bidi w:val="0"/>
              <w:spacing w:line="360" w:lineRule="auto"/>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30</w:t>
            </w:r>
          </w:p>
        </w:tc>
        <w:tc>
          <w:tcPr>
            <w:tcW w:w="1929" w:type="dxa"/>
            <w:shd w:val="clear" w:color="auto" w:fill="auto"/>
            <w:vAlign w:val="center"/>
          </w:tcPr>
          <w:p w14:paraId="63D85197">
            <w:pPr>
              <w:pageBreakBefore w:val="0"/>
              <w:bidi w:val="0"/>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偏离</w:t>
            </w:r>
          </w:p>
        </w:tc>
        <w:tc>
          <w:tcPr>
            <w:tcW w:w="6580" w:type="dxa"/>
            <w:shd w:val="clear" w:color="auto" w:fill="auto"/>
            <w:vAlign w:val="center"/>
          </w:tcPr>
          <w:p w14:paraId="512601CF">
            <w:pPr>
              <w:pageBreakBefore w:val="0"/>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所有“*”参数不得出现负偏离</w:t>
            </w:r>
          </w:p>
        </w:tc>
      </w:tr>
      <w:tr w14:paraId="2C84B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0" w:type="dxa"/>
            <w:shd w:val="clear" w:color="auto" w:fill="auto"/>
            <w:vAlign w:val="center"/>
          </w:tcPr>
          <w:p w14:paraId="6EE57FF8">
            <w:pPr>
              <w:pageBreakBefore w:val="0"/>
              <w:bidi w:val="0"/>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1</w:t>
            </w:r>
          </w:p>
        </w:tc>
        <w:tc>
          <w:tcPr>
            <w:tcW w:w="8509" w:type="dxa"/>
            <w:gridSpan w:val="2"/>
            <w:shd w:val="clear" w:color="auto" w:fill="auto"/>
            <w:vAlign w:val="center"/>
          </w:tcPr>
          <w:p w14:paraId="756B32B2">
            <w:pPr>
              <w:pageBreakBefore w:val="0"/>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需要补充的其他内容</w:t>
            </w:r>
          </w:p>
        </w:tc>
      </w:tr>
      <w:tr w14:paraId="57A74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139" w:type="dxa"/>
            <w:gridSpan w:val="3"/>
            <w:shd w:val="clear" w:color="auto" w:fill="auto"/>
            <w:vAlign w:val="center"/>
          </w:tcPr>
          <w:p w14:paraId="4FDDD022">
            <w:pPr>
              <w:pageBreakBefore w:val="0"/>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代理服务费收费标准:采购代理机构参照国家计委关于印发《招标代理服务收费管理暂行办法》计价格[2002]1980号文和《国家发展改革委关于降低部分建设项目收费标准规范收费行为等有关问题的通知》发改价格[2011]534号规定标准收取代理服务费。</w:t>
            </w:r>
          </w:p>
        </w:tc>
      </w:tr>
      <w:tr w14:paraId="25894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139" w:type="dxa"/>
            <w:gridSpan w:val="3"/>
            <w:shd w:val="clear" w:color="auto" w:fill="auto"/>
            <w:vAlign w:val="center"/>
          </w:tcPr>
          <w:p w14:paraId="29E14871">
            <w:pPr>
              <w:pageBreakBefore w:val="0"/>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电子投标注意事项:投标人应及时下载招标文件和答疑纪要等相关文件，在投标截止时间前必须上传投标文件;本项目采用线上不见面形式，开标时各投标企业在各自公司进行解密，因投标人原因造成上传文件无法解密的，按无效处理。</w:t>
            </w:r>
          </w:p>
        </w:tc>
      </w:tr>
      <w:tr w14:paraId="51A19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139" w:type="dxa"/>
            <w:gridSpan w:val="3"/>
            <w:shd w:val="clear" w:color="auto" w:fill="auto"/>
            <w:vAlign w:val="center"/>
          </w:tcPr>
          <w:p w14:paraId="55C3BFCA">
            <w:pPr>
              <w:pageBreakBefore w:val="0"/>
              <w:bidi w:val="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竞争性谈判文件的最终解释权归谈判代理机构所有</w:t>
            </w:r>
          </w:p>
        </w:tc>
      </w:tr>
    </w:tbl>
    <w:p w14:paraId="7506F15E">
      <w:pPr>
        <w:pageBreakBefore w:val="0"/>
        <w:tabs>
          <w:tab w:val="left" w:pos="760"/>
        </w:tabs>
        <w:bidi w:val="0"/>
        <w:spacing w:line="360" w:lineRule="auto"/>
        <w:ind w:left="360"/>
        <w:rPr>
          <w:rFonts w:hint="eastAsia" w:ascii="宋体" w:hAnsi="宋体" w:eastAsia="宋体" w:cs="宋体"/>
          <w:b/>
          <w:sz w:val="32"/>
          <w:highlight w:val="none"/>
        </w:rPr>
      </w:pPr>
    </w:p>
    <w:p w14:paraId="2371B57B">
      <w:pPr>
        <w:pageBreakBefore w:val="0"/>
        <w:tabs>
          <w:tab w:val="left" w:pos="760"/>
        </w:tabs>
        <w:bidi w:val="0"/>
        <w:spacing w:line="360" w:lineRule="auto"/>
        <w:ind w:left="360"/>
        <w:rPr>
          <w:rFonts w:hint="eastAsia" w:ascii="宋体" w:hAnsi="宋体" w:eastAsia="宋体" w:cs="宋体"/>
          <w:b/>
          <w:sz w:val="32"/>
          <w:highlight w:val="none"/>
        </w:rPr>
      </w:pPr>
    </w:p>
    <w:p w14:paraId="269FE0F4">
      <w:pPr>
        <w:pageBreakBefore w:val="0"/>
        <w:tabs>
          <w:tab w:val="left" w:pos="760"/>
        </w:tabs>
        <w:bidi w:val="0"/>
        <w:spacing w:line="360" w:lineRule="auto"/>
        <w:ind w:left="360"/>
        <w:rPr>
          <w:rFonts w:hint="eastAsia" w:ascii="宋体" w:hAnsi="宋体" w:eastAsia="宋体" w:cs="宋体"/>
          <w:b/>
          <w:sz w:val="32"/>
          <w:highlight w:val="none"/>
        </w:rPr>
      </w:pPr>
    </w:p>
    <w:p w14:paraId="032B955E">
      <w:pPr>
        <w:pageBreakBefore w:val="0"/>
        <w:tabs>
          <w:tab w:val="left" w:pos="760"/>
        </w:tabs>
        <w:bidi w:val="0"/>
        <w:spacing w:line="360" w:lineRule="auto"/>
        <w:ind w:left="360"/>
        <w:rPr>
          <w:rFonts w:hint="eastAsia" w:ascii="宋体" w:hAnsi="宋体" w:eastAsia="宋体" w:cs="宋体"/>
          <w:b/>
          <w:sz w:val="32"/>
          <w:highlight w:val="none"/>
        </w:rPr>
      </w:pPr>
    </w:p>
    <w:p w14:paraId="4A5E26AC">
      <w:pPr>
        <w:pageBreakBefore w:val="0"/>
        <w:tabs>
          <w:tab w:val="left" w:pos="760"/>
        </w:tabs>
        <w:bidi w:val="0"/>
        <w:spacing w:line="360" w:lineRule="auto"/>
        <w:ind w:left="360"/>
        <w:rPr>
          <w:rFonts w:hint="eastAsia" w:ascii="宋体" w:hAnsi="宋体" w:eastAsia="宋体" w:cs="宋体"/>
          <w:b/>
          <w:sz w:val="32"/>
          <w:highlight w:val="none"/>
        </w:rPr>
      </w:pPr>
    </w:p>
    <w:p w14:paraId="7DFE21B1">
      <w:pPr>
        <w:pageBreakBefore w:val="0"/>
        <w:tabs>
          <w:tab w:val="left" w:pos="760"/>
        </w:tabs>
        <w:bidi w:val="0"/>
        <w:spacing w:line="360" w:lineRule="auto"/>
        <w:ind w:left="360"/>
        <w:rPr>
          <w:rFonts w:hint="eastAsia" w:ascii="宋体" w:hAnsi="宋体" w:eastAsia="宋体" w:cs="宋体"/>
          <w:b/>
          <w:sz w:val="32"/>
          <w:highlight w:val="none"/>
        </w:rPr>
      </w:pPr>
    </w:p>
    <w:p w14:paraId="1F87840E">
      <w:pPr>
        <w:pageBreakBefore w:val="0"/>
        <w:tabs>
          <w:tab w:val="left" w:pos="760"/>
        </w:tabs>
        <w:bidi w:val="0"/>
        <w:spacing w:line="360" w:lineRule="auto"/>
        <w:ind w:left="360"/>
        <w:rPr>
          <w:rFonts w:hint="eastAsia" w:ascii="宋体" w:hAnsi="宋体" w:eastAsia="宋体" w:cs="宋体"/>
          <w:b/>
          <w:sz w:val="32"/>
          <w:highlight w:val="none"/>
        </w:rPr>
      </w:pPr>
    </w:p>
    <w:p w14:paraId="468DAD99">
      <w:pPr>
        <w:pageBreakBefore w:val="0"/>
        <w:tabs>
          <w:tab w:val="left" w:pos="760"/>
        </w:tabs>
        <w:bidi w:val="0"/>
        <w:spacing w:line="360" w:lineRule="auto"/>
        <w:ind w:left="360"/>
        <w:rPr>
          <w:rFonts w:hint="eastAsia" w:ascii="宋体" w:hAnsi="宋体" w:eastAsia="宋体" w:cs="宋体"/>
          <w:b/>
          <w:sz w:val="32"/>
          <w:highlight w:val="none"/>
        </w:rPr>
      </w:pPr>
    </w:p>
    <w:p w14:paraId="28819442">
      <w:pPr>
        <w:pageBreakBefore w:val="0"/>
        <w:tabs>
          <w:tab w:val="left" w:pos="760"/>
        </w:tabs>
        <w:bidi w:val="0"/>
        <w:spacing w:line="360" w:lineRule="auto"/>
        <w:ind w:left="360"/>
        <w:rPr>
          <w:rFonts w:hint="eastAsia" w:ascii="宋体" w:hAnsi="宋体" w:eastAsia="宋体" w:cs="宋体"/>
          <w:b/>
          <w:sz w:val="32"/>
          <w:highlight w:val="none"/>
        </w:rPr>
      </w:pPr>
    </w:p>
    <w:p w14:paraId="69F5D443">
      <w:pPr>
        <w:pageBreakBefore w:val="0"/>
        <w:tabs>
          <w:tab w:val="left" w:pos="760"/>
        </w:tabs>
        <w:bidi w:val="0"/>
        <w:spacing w:line="360" w:lineRule="auto"/>
        <w:ind w:left="360"/>
        <w:rPr>
          <w:rFonts w:hint="eastAsia" w:ascii="宋体" w:hAnsi="宋体" w:eastAsia="宋体" w:cs="宋体"/>
          <w:b/>
          <w:sz w:val="32"/>
          <w:highlight w:val="none"/>
        </w:rPr>
      </w:pPr>
    </w:p>
    <w:p w14:paraId="3FFE88FC">
      <w:pPr>
        <w:pageBreakBefore w:val="0"/>
        <w:tabs>
          <w:tab w:val="left" w:pos="760"/>
          <w:tab w:val="left" w:pos="7353"/>
        </w:tabs>
        <w:bidi w:val="0"/>
        <w:spacing w:line="360" w:lineRule="auto"/>
        <w:ind w:left="360"/>
        <w:rPr>
          <w:rFonts w:hint="eastAsia" w:ascii="宋体" w:hAnsi="宋体" w:eastAsia="宋体" w:cs="宋体"/>
          <w:highlight w:val="none"/>
          <w:lang w:eastAsia="zh-CN"/>
        </w:rPr>
      </w:pPr>
      <w:r>
        <w:rPr>
          <w:rFonts w:hint="eastAsia" w:ascii="宋体" w:hAnsi="宋体" w:eastAsia="宋体" w:cs="宋体"/>
          <w:b/>
          <w:sz w:val="32"/>
          <w:highlight w:val="none"/>
        </w:rPr>
        <w:t>1.总则</w:t>
      </w:r>
      <w:r>
        <w:rPr>
          <w:rFonts w:hint="eastAsia" w:ascii="宋体" w:hAnsi="宋体" w:eastAsia="宋体" w:cs="宋体"/>
          <w:b/>
          <w:sz w:val="32"/>
          <w:highlight w:val="none"/>
          <w:lang w:eastAsia="zh-CN"/>
        </w:rPr>
        <w:tab/>
      </w:r>
    </w:p>
    <w:p w14:paraId="22DA1041">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1.1 谈判项目概况</w:t>
      </w:r>
    </w:p>
    <w:p w14:paraId="22AE45E3">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1.1.1 根据《中华人民共和国政府采购法》、《中华人民共和国政府采购法实施条例》等有关法律、法规和规章的规定，本谈判项目已具备谈判条件，现对</w:t>
      </w:r>
      <w:r>
        <w:rPr>
          <w:rFonts w:hint="eastAsia" w:ascii="宋体" w:hAnsi="宋体" w:eastAsia="宋体" w:cs="宋体"/>
          <w:sz w:val="24"/>
          <w:szCs w:val="24"/>
          <w:highlight w:val="none"/>
          <w:lang w:eastAsia="zh-CN"/>
        </w:rPr>
        <w:t>宜川县云岩中心卫生院县域医疗次中心建设项目（三次）</w:t>
      </w:r>
      <w:r>
        <w:rPr>
          <w:rFonts w:hint="eastAsia" w:ascii="宋体" w:hAnsi="宋体" w:eastAsia="宋体" w:cs="宋体"/>
          <w:sz w:val="24"/>
          <w:szCs w:val="24"/>
          <w:highlight w:val="none"/>
        </w:rPr>
        <w:t>进行谈判。</w:t>
      </w:r>
    </w:p>
    <w:p w14:paraId="12BBD8C1">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1.1.2 采购人：见供应商须知前附表。</w:t>
      </w:r>
    </w:p>
    <w:p w14:paraId="4B771BEF">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1.1.3 谈判组织机构：见供应商须知前附表。</w:t>
      </w:r>
    </w:p>
    <w:p w14:paraId="33778607">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1.1.4 谈判项目名称：见供应商须知前附表。</w:t>
      </w:r>
    </w:p>
    <w:p w14:paraId="0B5D8B18">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1.1.5 项目预算：见供应商须知前附表。</w:t>
      </w:r>
    </w:p>
    <w:p w14:paraId="1EADD550">
      <w:pPr>
        <w:pageBreakBefore w:val="0"/>
        <w:bidi w:val="0"/>
        <w:spacing w:line="360" w:lineRule="auto"/>
        <w:ind w:left="500"/>
        <w:rPr>
          <w:rFonts w:hint="eastAsia" w:ascii="宋体" w:hAnsi="宋体" w:eastAsia="宋体" w:cs="宋体"/>
          <w:sz w:val="24"/>
          <w:szCs w:val="24"/>
          <w:highlight w:val="none"/>
        </w:rPr>
      </w:pPr>
      <w:r>
        <w:rPr>
          <w:rFonts w:hint="eastAsia" w:ascii="宋体" w:hAnsi="宋体" w:eastAsia="宋体" w:cs="宋体"/>
          <w:sz w:val="24"/>
          <w:szCs w:val="24"/>
          <w:highlight w:val="none"/>
        </w:rPr>
        <w:t>1.2 供应商资格要求</w:t>
      </w:r>
    </w:p>
    <w:p w14:paraId="0DDD1D61">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1.2.1 供应商应具备承担本谈判项目资质条件：</w:t>
      </w:r>
    </w:p>
    <w:p w14:paraId="76BCD85E">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（1）资质要求：见供应商须知前附表；</w:t>
      </w:r>
    </w:p>
    <w:p w14:paraId="45C58EF3">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1.2.2供应商不得存在下列情形之一：</w:t>
      </w:r>
    </w:p>
    <w:p w14:paraId="4709E368">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（1）为采购人不具有独立法人资格的附属机构（单位）；</w:t>
      </w:r>
    </w:p>
    <w:p w14:paraId="6165F288">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（2）与采购人存在利害关系且可能影响谈判公正性；</w:t>
      </w:r>
    </w:p>
    <w:p w14:paraId="1F163EE0">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（3）与本谈判项目的其他供应商为同一个单位负责人；</w:t>
      </w:r>
    </w:p>
    <w:p w14:paraId="3376C755">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（4）与本谈判项目的其他供应商存在控股、管理关系；</w:t>
      </w:r>
    </w:p>
    <w:p w14:paraId="6EC9C4F1">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（5）为本谈判项目的代建人；</w:t>
      </w:r>
    </w:p>
    <w:p w14:paraId="4D95532D">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（6）为本谈判项目的谈判组织机构；</w:t>
      </w:r>
    </w:p>
    <w:p w14:paraId="74A4C87A">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（7）与本谈判项目的代建人或谈判组织机构同为一个法定代表人；</w:t>
      </w:r>
    </w:p>
    <w:p w14:paraId="70ABD612">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（8）与本谈判项目的代建人或谈判组织机构存在控股或参股关系；</w:t>
      </w:r>
    </w:p>
    <w:p w14:paraId="0B406428">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（9）被依法暂停或者取消谈判资格；</w:t>
      </w:r>
    </w:p>
    <w:p w14:paraId="404F107F">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（10）被责令停产停业、暂扣或者吊销许可证、暂扣或者吊销执照；</w:t>
      </w:r>
    </w:p>
    <w:p w14:paraId="3438BA4B">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（11）进入清算程序，或被宣告破产，或其他丧失履约能力的情形；</w:t>
      </w:r>
    </w:p>
    <w:p w14:paraId="7F4FA722">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（12）在最近三年内发生重大工程质量问题（以相关行业主管部门的行政处罚决定或司法机关出具的有关法律文书为准）；</w:t>
      </w:r>
    </w:p>
    <w:p w14:paraId="2DCBC607">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（13）被工商行政管理机关在全国企业信用信息公示系统中列入严重违法失信企业名单；</w:t>
      </w:r>
    </w:p>
    <w:p w14:paraId="7D78CBFD">
      <w:pPr>
        <w:pageBreakBefore w:val="0"/>
        <w:numPr>
          <w:ilvl w:val="0"/>
          <w:numId w:val="2"/>
        </w:numPr>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被最高人民法院在“信用中国”网站（www.creditchina.gov.cn）或各级信用信息共享平台中列入失信被执行人名单；</w:t>
      </w:r>
    </w:p>
    <w:p w14:paraId="1E3693C3">
      <w:pPr>
        <w:pageBreakBefore w:val="0"/>
        <w:numPr>
          <w:ilvl w:val="0"/>
          <w:numId w:val="3"/>
        </w:numPr>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法律法规或供应商须知前附表规定的其他情形。</w:t>
      </w:r>
    </w:p>
    <w:p w14:paraId="2ECF5437">
      <w:pPr>
        <w:pageBreakBefore w:val="0"/>
        <w:bidi w:val="0"/>
        <w:spacing w:line="360" w:lineRule="auto"/>
        <w:ind w:left="500"/>
        <w:rPr>
          <w:rFonts w:hint="eastAsia" w:ascii="宋体" w:hAnsi="宋体" w:eastAsia="宋体" w:cs="宋体"/>
          <w:sz w:val="24"/>
          <w:szCs w:val="24"/>
          <w:highlight w:val="none"/>
        </w:rPr>
      </w:pPr>
      <w:r>
        <w:rPr>
          <w:rFonts w:hint="eastAsia" w:ascii="宋体" w:hAnsi="宋体" w:eastAsia="宋体" w:cs="宋体"/>
          <w:sz w:val="24"/>
          <w:szCs w:val="24"/>
          <w:highlight w:val="none"/>
        </w:rPr>
        <w:t>1.3 费用承担</w:t>
      </w:r>
    </w:p>
    <w:p w14:paraId="62DE9A8B">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供应商准备和参加谈判活动发生的费用自理。</w:t>
      </w:r>
    </w:p>
    <w:p w14:paraId="10DBBB2A">
      <w:pPr>
        <w:pageBreakBefore w:val="0"/>
        <w:bidi w:val="0"/>
        <w:spacing w:line="360" w:lineRule="auto"/>
        <w:ind w:left="500"/>
        <w:rPr>
          <w:rFonts w:hint="eastAsia" w:ascii="宋体" w:hAnsi="宋体" w:eastAsia="宋体" w:cs="宋体"/>
          <w:sz w:val="24"/>
          <w:szCs w:val="24"/>
          <w:highlight w:val="none"/>
        </w:rPr>
      </w:pPr>
      <w:r>
        <w:rPr>
          <w:rFonts w:hint="eastAsia" w:ascii="宋体" w:hAnsi="宋体" w:eastAsia="宋体" w:cs="宋体"/>
          <w:sz w:val="24"/>
          <w:szCs w:val="24"/>
          <w:highlight w:val="none"/>
        </w:rPr>
        <w:t>1.4 保密</w:t>
      </w:r>
    </w:p>
    <w:p w14:paraId="58A7E69D">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参与谈判活动的各方应对谈判文件和响应文件中的商业和技术等秘密保密，否则应承担相应的法律责任。</w:t>
      </w:r>
    </w:p>
    <w:p w14:paraId="3C470341">
      <w:pPr>
        <w:pageBreakBefore w:val="0"/>
        <w:bidi w:val="0"/>
        <w:spacing w:line="360" w:lineRule="auto"/>
        <w:ind w:left="500"/>
        <w:rPr>
          <w:rFonts w:hint="eastAsia" w:ascii="宋体" w:hAnsi="宋体" w:eastAsia="宋体" w:cs="宋体"/>
          <w:sz w:val="24"/>
          <w:szCs w:val="24"/>
          <w:highlight w:val="none"/>
        </w:rPr>
      </w:pPr>
      <w:r>
        <w:rPr>
          <w:rFonts w:hint="eastAsia" w:ascii="宋体" w:hAnsi="宋体" w:eastAsia="宋体" w:cs="宋体"/>
          <w:sz w:val="24"/>
          <w:szCs w:val="24"/>
          <w:highlight w:val="none"/>
        </w:rPr>
        <w:t>1.5 语言文字</w:t>
      </w:r>
    </w:p>
    <w:p w14:paraId="0B54B5E0">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谈判响应文件使用的语言文字为中文。专用术语使用外文的，应附有中文注释。</w:t>
      </w:r>
    </w:p>
    <w:p w14:paraId="4BD1FD02">
      <w:pPr>
        <w:pageBreakBefore w:val="0"/>
        <w:bidi w:val="0"/>
        <w:spacing w:line="360" w:lineRule="auto"/>
        <w:ind w:left="500"/>
        <w:rPr>
          <w:rFonts w:hint="eastAsia" w:ascii="宋体" w:hAnsi="宋体" w:eastAsia="宋体" w:cs="宋体"/>
          <w:sz w:val="24"/>
          <w:szCs w:val="24"/>
          <w:highlight w:val="none"/>
        </w:rPr>
      </w:pPr>
      <w:r>
        <w:rPr>
          <w:rFonts w:hint="eastAsia" w:ascii="宋体" w:hAnsi="宋体" w:eastAsia="宋体" w:cs="宋体"/>
          <w:sz w:val="24"/>
          <w:szCs w:val="24"/>
          <w:highlight w:val="none"/>
        </w:rPr>
        <w:t>1.6 计量单位</w:t>
      </w:r>
    </w:p>
    <w:p w14:paraId="51E41D20">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所有计量均采用中华人民共和国法定计量单位。</w:t>
      </w:r>
    </w:p>
    <w:p w14:paraId="373E47F1">
      <w:pPr>
        <w:pageBreakBefore w:val="0"/>
        <w:bidi w:val="0"/>
        <w:spacing w:line="360" w:lineRule="auto"/>
        <w:ind w:left="500"/>
        <w:rPr>
          <w:rFonts w:hint="eastAsia" w:ascii="宋体" w:hAnsi="宋体" w:eastAsia="宋体" w:cs="宋体"/>
          <w:sz w:val="24"/>
          <w:szCs w:val="24"/>
          <w:highlight w:val="none"/>
        </w:rPr>
      </w:pPr>
      <w:r>
        <w:rPr>
          <w:rFonts w:hint="eastAsia" w:ascii="宋体" w:hAnsi="宋体" w:eastAsia="宋体" w:cs="宋体"/>
          <w:sz w:val="24"/>
          <w:szCs w:val="24"/>
          <w:highlight w:val="none"/>
        </w:rPr>
        <w:t>1.7 踏勘现场</w:t>
      </w:r>
    </w:p>
    <w:p w14:paraId="11428623">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1.7.1 供应商须知前附表规定组织踏勘现场的，采购人按供应商须知前附表规定的时间、地点组织供应商踏勘项目现场。部分供应商未按时参加踏勘现场的，不影响踏勘现场的正常进行。</w:t>
      </w:r>
    </w:p>
    <w:p w14:paraId="4020A0F1">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1.7.2 供应商踏勘现场发生的费用自理。</w:t>
      </w:r>
    </w:p>
    <w:p w14:paraId="3ECB082E">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1.7.3 除采购人的原因外，供应商自行负责在踏勘现场中所发生的人员伤亡和财产损失与采购人和谈判组织机构无关。</w:t>
      </w:r>
    </w:p>
    <w:p w14:paraId="0954C697">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1.7.4 采购人在踏勘现场中介绍的工程场地和相关的周边环境情况，供应商在编制响应文件时参考，采购人不对供应商据此作出的判断和决策负责。</w:t>
      </w:r>
    </w:p>
    <w:p w14:paraId="14533765">
      <w:pPr>
        <w:pageBreakBefore w:val="0"/>
        <w:bidi w:val="0"/>
        <w:spacing w:line="360" w:lineRule="auto"/>
        <w:ind w:left="500"/>
        <w:rPr>
          <w:rFonts w:hint="eastAsia" w:ascii="宋体" w:hAnsi="宋体" w:eastAsia="宋体" w:cs="宋体"/>
          <w:sz w:val="24"/>
          <w:szCs w:val="24"/>
          <w:highlight w:val="none"/>
        </w:rPr>
      </w:pPr>
      <w:r>
        <w:rPr>
          <w:rFonts w:hint="eastAsia" w:ascii="宋体" w:hAnsi="宋体" w:eastAsia="宋体" w:cs="宋体"/>
          <w:sz w:val="24"/>
          <w:szCs w:val="24"/>
          <w:highlight w:val="none"/>
        </w:rPr>
        <w:t>1.8 谈判预备会</w:t>
      </w:r>
    </w:p>
    <w:p w14:paraId="056EFE94">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1.8.1 供应商须知前附表规定召开谈判预备会的，采购人按供应商须知前附表规定的时间和地点召开谈判预备会，澄清供应商提出的问题。</w:t>
      </w:r>
    </w:p>
    <w:p w14:paraId="5D62D538">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1.8.2 供应商应按供应商须知前附表规定的时间和形式将提出的问题送达采购人，以便采购人在会议期间澄清。</w:t>
      </w:r>
    </w:p>
    <w:p w14:paraId="4E2CFBFF">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1.8.3 谈判预备会后，采购人将对供应商所提问题的澄清，以供应商须知前附表规定的形式通知所有购买谈判文件的供应商。该澄清内容为谈判文件的组成部分。</w:t>
      </w:r>
    </w:p>
    <w:p w14:paraId="2ECC3A9B">
      <w:pPr>
        <w:pageBreakBefore w:val="0"/>
        <w:bidi w:val="0"/>
        <w:spacing w:line="360" w:lineRule="auto"/>
        <w:ind w:firstLine="480" w:firstLineChars="200"/>
        <w:rPr>
          <w:rFonts w:hint="eastAsia" w:ascii="宋体" w:hAnsi="宋体" w:eastAsia="宋体" w:cs="宋体"/>
          <w:sz w:val="24"/>
          <w:szCs w:val="24"/>
          <w:highlight w:val="none"/>
        </w:rPr>
      </w:pPr>
      <w:bookmarkStart w:id="22" w:name="page24"/>
      <w:bookmarkEnd w:id="22"/>
      <w:r>
        <w:rPr>
          <w:rFonts w:hint="eastAsia" w:ascii="宋体" w:hAnsi="宋体" w:eastAsia="宋体" w:cs="宋体"/>
          <w:sz w:val="24"/>
          <w:szCs w:val="24"/>
          <w:highlight w:val="none"/>
        </w:rPr>
        <w:t>1.9 分包</w:t>
      </w:r>
    </w:p>
    <w:p w14:paraId="6BF12565">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1.9.1 供应商拟在成交后将成交项目的非主体、非关键性分项工程进行分包的，应符合供应商须知前附表规定的分包内容、分包金额和资质要求等限制性条件，除供应商须知前附表规定的非主体、非关键性工程外，其他工作不得分包。</w:t>
      </w:r>
    </w:p>
    <w:p w14:paraId="1D3492C6">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1.9.2 成交人不得向他人转让成交项目，接受分包的人不得再次分包。成交人应当就分包项目向采购人负责，接受分包的人就分包项目承担连带责任。</w:t>
      </w:r>
    </w:p>
    <w:p w14:paraId="04EF6BCF">
      <w:pPr>
        <w:pageBreakBefore w:val="0"/>
        <w:bidi w:val="0"/>
        <w:spacing w:line="360" w:lineRule="auto"/>
        <w:ind w:left="500"/>
        <w:rPr>
          <w:rFonts w:hint="eastAsia" w:ascii="宋体" w:hAnsi="宋体" w:eastAsia="宋体" w:cs="宋体"/>
          <w:sz w:val="24"/>
          <w:szCs w:val="24"/>
          <w:highlight w:val="none"/>
        </w:rPr>
      </w:pPr>
      <w:r>
        <w:rPr>
          <w:rFonts w:hint="eastAsia" w:ascii="宋体" w:hAnsi="宋体" w:eastAsia="宋体" w:cs="宋体"/>
          <w:sz w:val="24"/>
          <w:szCs w:val="24"/>
          <w:highlight w:val="none"/>
        </w:rPr>
        <w:t>1.10 响应和偏差</w:t>
      </w:r>
    </w:p>
    <w:p w14:paraId="6C055407">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1.10.1 响应文件应当对谈判文件的实质性要求和条件作出满足性或更有利于采购人的响应，否则，供应商的谈判将被否决。</w:t>
      </w:r>
    </w:p>
    <w:p w14:paraId="23759132">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1.10.2 供应商应根据谈判文件的要求提供谈判项目实施等内容以对谈判文件作出响应。</w:t>
      </w:r>
    </w:p>
    <w:p w14:paraId="7050005B">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2.谈判及谈判文件</w:t>
      </w:r>
    </w:p>
    <w:p w14:paraId="482A910E">
      <w:pPr>
        <w:pageBreakBefore w:val="0"/>
        <w:overflowPunct w:val="0"/>
        <w:bidi w:val="0"/>
        <w:spacing w:line="360" w:lineRule="auto"/>
        <w:ind w:firstLine="723" w:firstLineChars="3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2.1谈判文件</w:t>
      </w:r>
    </w:p>
    <w:p w14:paraId="240B9271">
      <w:pPr>
        <w:pageBreakBefore w:val="0"/>
        <w:overflow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2.1.1谈判文件由本文件目录所列第一章至第六章构成。</w:t>
      </w:r>
    </w:p>
    <w:p w14:paraId="6AFDB00C">
      <w:pPr>
        <w:pageBreakBefore w:val="0"/>
        <w:overflow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2.2.2谈判文件各章内容对谈判事宜提出明确要求，供应商须仔细阅读和正确理解。因供应商在阅读、理解谈判文件方面产生疏漏和误解，而导致谈判不利后果的或者被废标的，其责任由供应商自负。</w:t>
      </w:r>
    </w:p>
    <w:p w14:paraId="2157A2A4">
      <w:pPr>
        <w:pageBreakBefore w:val="0"/>
        <w:overflow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a.谈判组织机构可对已发出的谈判文件进行必要的修改、澄清或补正，修改、澄清或补正的内容在谈判截止时间前，在财政部门指定的政府采购信息发布媒体上发布更正公告，并以书面形式通知所有谈判文件收受人，该澄清或修改的内容为谈判文件的组成部分。</w:t>
      </w:r>
    </w:p>
    <w:p w14:paraId="3A071ECF">
      <w:pPr>
        <w:pageBreakBefore w:val="0"/>
        <w:overflow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b.供应商要求对谈判文件进行澄清的，必须在谈判截止时间三日前，以书面形式送达谈判组织机构；谈判组织机构将以书面形式予以答复；必要时将书面答复传送给所有谈判文件收受人。</w:t>
      </w:r>
    </w:p>
    <w:p w14:paraId="3E35ABA3">
      <w:pPr>
        <w:pageBreakBefore w:val="0"/>
        <w:overflow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c.谈判组织机构可以视采购具体情况，延长谈判截止时间和谈判时间，但至少在谈判文件要求的提交响应文件的截止时间二日前，将变更时间书面通知所有谈判文件收受人，并在政府采购信息发布媒体上发布变更公告。</w:t>
      </w:r>
    </w:p>
    <w:p w14:paraId="2C066E26">
      <w:pPr>
        <w:pageBreakBefore w:val="0"/>
        <w:overflow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2.2谈判文件由谈判组织机构登记发售，一经售出，恕不能退。</w:t>
      </w:r>
    </w:p>
    <w:p w14:paraId="0DBC6ACB">
      <w:pPr>
        <w:pageBreakBefore w:val="0"/>
        <w:overflow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2.3供应商不得擅自转让、变卖或复制谈判文件进行谈判响应。</w:t>
      </w:r>
    </w:p>
    <w:p w14:paraId="1059B010">
      <w:pPr>
        <w:pageBreakBefore w:val="0"/>
        <w:overflow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2.4谈判文件的解释权归谈判组织机构。</w:t>
      </w:r>
    </w:p>
    <w:p w14:paraId="5BC3FFC5">
      <w:pPr>
        <w:pageBreakBefore w:val="0"/>
        <w:overflow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2.5谈判保证金</w:t>
      </w:r>
    </w:p>
    <w:p w14:paraId="09381DFC">
      <w:pPr>
        <w:pageBreakBefore w:val="0"/>
        <w:overflow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2.5.1谈判保证金缴纳详见谈判须知前附表；</w:t>
      </w:r>
    </w:p>
    <w:p w14:paraId="4565704B">
      <w:pPr>
        <w:pageBreakBefore w:val="0"/>
        <w:overflow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2.5.</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供应商未交纳、或者未足额交纳、或者未按规定时限交纳保证金的，将被视为自动放弃谈判的权利。</w:t>
      </w:r>
    </w:p>
    <w:p w14:paraId="5F91D23F">
      <w:pPr>
        <w:pageBreakBefore w:val="0"/>
        <w:overflow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2.5.</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保证金的退还</w:t>
      </w:r>
    </w:p>
    <w:p w14:paraId="783BB564">
      <w:pPr>
        <w:pageBreakBefore w:val="0"/>
        <w:overflow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a.谈判供应商在响应文件递交截止时间撤回已提交的响应文件的，采购人或者谈判组织机构应当自收到供应商书面撤回通知之日起5个工作日内，退还已收取的谈判保证金，但因谈判供应商自身原因导致无法及时退还的除外。</w:t>
      </w:r>
    </w:p>
    <w:p w14:paraId="25AABCDC">
      <w:pPr>
        <w:pageBreakBefore w:val="0"/>
        <w:overflow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b.采购人或者谈判组织机构应当自成交通知书发出之日起5个工作日内退还未成交供应商的谈判保证金，自采购合同签订之日起5个工作日内退还成交供应商的保证金或者转为成交供应商的合同履约保证金（以成交价5%的标准）。若保证金不足支付的，剩余款项转至谈判保证金缴纳账户。合同履约保证金在项目验收合格后15天内退还给成交供应商（无息）。</w:t>
      </w:r>
    </w:p>
    <w:p w14:paraId="221BFD65">
      <w:pPr>
        <w:pageBreakBefore w:val="0"/>
        <w:overflow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2.5.</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供应商有下列情形之一的，已交纳的谈判保证金不予退还：</w:t>
      </w:r>
    </w:p>
    <w:p w14:paraId="26D4CB62">
      <w:pPr>
        <w:pageBreakBefore w:val="0"/>
        <w:overflow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a.在响应文件有效期内，撤回响应文件或者擅自退出谈判活动的；</w:t>
      </w:r>
    </w:p>
    <w:p w14:paraId="4C8B3136">
      <w:pPr>
        <w:pageBreakBefore w:val="0"/>
        <w:overflow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b.成交后无正当理由不与采购人或采购代理机构签订合同的；</w:t>
      </w:r>
    </w:p>
    <w:p w14:paraId="12EBD0D1">
      <w:pPr>
        <w:pageBreakBefore w:val="0"/>
        <w:overflow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c.成交项目转让给他人，或者在响应文件中未说明，且未经采购代理机构同意，将成交项目分包给他人的；</w:t>
      </w:r>
    </w:p>
    <w:p w14:paraId="7BB6A07D">
      <w:pPr>
        <w:pageBreakBefore w:val="0"/>
        <w:overflow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d.供应商交纳谈判保证金后，无故不参加谈判活动的；</w:t>
      </w:r>
    </w:p>
    <w:p w14:paraId="2837CEF4">
      <w:pPr>
        <w:pageBreakBefore w:val="0"/>
        <w:overflow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e.具有欺诈、无理取闹行为谈判的。</w:t>
      </w:r>
    </w:p>
    <w:p w14:paraId="000B1DB8">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3.响应文件的编制</w:t>
      </w:r>
    </w:p>
    <w:p w14:paraId="457FBC5D">
      <w:pPr>
        <w:pageBreakBefore w:val="0"/>
        <w:overflow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3.1响应的所有文件、资料、函电文字均须使用简体中文（通用缩写、代号、名称除外）。</w:t>
      </w:r>
    </w:p>
    <w:p w14:paraId="506A0F2E">
      <w:pPr>
        <w:pageBreakBefore w:val="0"/>
        <w:overflow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3.2供应商在谈判时使用的计量单位须应为公制单位（另有规定的除外）。</w:t>
      </w:r>
    </w:p>
    <w:p w14:paraId="0FD5458F">
      <w:pPr>
        <w:pageBreakBefore w:val="0"/>
        <w:overflow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3.3供应商须依据谈判文件内容和响应文件格式的要求编制响应文件，明确表达谈判意愿，详细说明谈判方案、谈判承诺及谈判价格。供应商须保证其编制、递交的响应文件内容真实、合法、有效，并承担相应的法律责任。</w:t>
      </w:r>
    </w:p>
    <w:p w14:paraId="03DA3D5E">
      <w:pPr>
        <w:pageBreakBefore w:val="0"/>
        <w:overflow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3.4响应文件格式及构成（详见《响应文件格式及构成》章节要求）。</w:t>
      </w:r>
    </w:p>
    <w:p w14:paraId="6670FE63">
      <w:pPr>
        <w:pageBreakBefore w:val="0"/>
        <w:overflow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3.5响应文件中未要求提供备选方案的，供应商只能提交唯一的谈判方案。否则，谈判无效。</w:t>
      </w:r>
    </w:p>
    <w:p w14:paraId="17DC017F">
      <w:pPr>
        <w:pageBreakBefore w:val="0"/>
        <w:overflow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3.6响应文件有效期</w:t>
      </w:r>
    </w:p>
    <w:p w14:paraId="6E321D55">
      <w:pPr>
        <w:pageBreakBefore w:val="0"/>
        <w:overflow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a.响应文件有效期（法人授权书、谈判函、谈判方案）自谈判大会之日起计算不得少于90天。</w:t>
      </w:r>
    </w:p>
    <w:p w14:paraId="139C2890">
      <w:pPr>
        <w:pageBreakBefore w:val="0"/>
        <w:overflow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b.在特殊情况下，在响应文件有效期满之前，采购代理机构可向供应商提出延长响应文件有效期的书面要求。供应商书面同意延长响应文件有效期的，供应商资格、保证金有效期相应延长。供应商也可书面拒绝延长有效期（在规定时限内无应答的视为拒绝），供应商资格则自动丧失，但保证金无息退还。</w:t>
      </w:r>
    </w:p>
    <w:p w14:paraId="68CCD854">
      <w:pPr>
        <w:pageBreakBefore w:val="0"/>
        <w:widowControl/>
        <w:bidi w:val="0"/>
        <w:spacing w:line="360" w:lineRule="auto"/>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3.7</w:t>
      </w:r>
      <w:r>
        <w:rPr>
          <w:rFonts w:hint="eastAsia" w:ascii="宋体" w:hAnsi="宋体" w:eastAsia="宋体" w:cs="宋体"/>
          <w:sz w:val="24"/>
          <w:szCs w:val="24"/>
          <w:highlight w:val="none"/>
          <w:lang w:val="en-US" w:eastAsia="zh-CN"/>
        </w:rPr>
        <w:t>纸质</w:t>
      </w:r>
      <w:r>
        <w:rPr>
          <w:rFonts w:hint="eastAsia" w:ascii="宋体" w:hAnsi="宋体" w:eastAsia="宋体" w:cs="宋体"/>
          <w:sz w:val="24"/>
          <w:szCs w:val="24"/>
          <w:highlight w:val="none"/>
        </w:rPr>
        <w:t>响应文件均需打印或用不褪色、不变质的墨水书写，并由供应商的法定代表人或其授权代表在规定签章处签字或盖章。</w:t>
      </w:r>
    </w:p>
    <w:p w14:paraId="1593FB50">
      <w:pPr>
        <w:pageBreakBefore w:val="0"/>
        <w:widowControl/>
        <w:bidi w:val="0"/>
        <w:spacing w:line="360" w:lineRule="auto"/>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3.8</w:t>
      </w:r>
      <w:r>
        <w:rPr>
          <w:rFonts w:hint="eastAsia" w:ascii="宋体" w:hAnsi="宋体" w:eastAsia="宋体" w:cs="宋体"/>
          <w:sz w:val="24"/>
          <w:szCs w:val="24"/>
          <w:highlight w:val="none"/>
          <w:lang w:val="en-US" w:eastAsia="zh-CN"/>
        </w:rPr>
        <w:t>纸质</w:t>
      </w:r>
      <w:r>
        <w:rPr>
          <w:rFonts w:hint="eastAsia" w:ascii="宋体" w:hAnsi="宋体" w:eastAsia="宋体" w:cs="宋体"/>
          <w:sz w:val="24"/>
          <w:szCs w:val="24"/>
          <w:highlight w:val="none"/>
        </w:rPr>
        <w:t>响应文件的打印和书写应清楚工整，任何行间插字、涂改或增删，必须由供应商的法定代表人或其授权代表签字或盖个人印鉴。字迹潦草、表达不清或可能导致非唯一理解的响应文件可能视为无效响应。</w:t>
      </w:r>
    </w:p>
    <w:p w14:paraId="4BF647A5">
      <w:pPr>
        <w:pageBreakBefore w:val="0"/>
        <w:widowControl/>
        <w:bidi w:val="0"/>
        <w:spacing w:line="360" w:lineRule="auto"/>
        <w:ind w:firstLine="56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3.9</w:t>
      </w:r>
      <w:r>
        <w:rPr>
          <w:rFonts w:hint="eastAsia" w:ascii="宋体" w:hAnsi="宋体" w:eastAsia="宋体" w:cs="宋体"/>
          <w:sz w:val="24"/>
          <w:szCs w:val="24"/>
          <w:highlight w:val="none"/>
          <w:lang w:val="en-US" w:eastAsia="zh-CN"/>
        </w:rPr>
        <w:t>纸质</w:t>
      </w:r>
      <w:r>
        <w:rPr>
          <w:rFonts w:hint="eastAsia" w:ascii="宋体" w:hAnsi="宋体" w:eastAsia="宋体" w:cs="宋体"/>
          <w:sz w:val="24"/>
          <w:szCs w:val="24"/>
          <w:highlight w:val="none"/>
        </w:rPr>
        <w:t>响应文件正本和副本必须装订成册并编制连续页码（左侧胶装）</w:t>
      </w:r>
      <w:r>
        <w:rPr>
          <w:rFonts w:hint="eastAsia" w:ascii="宋体" w:hAnsi="宋体" w:eastAsia="宋体" w:cs="宋体"/>
          <w:sz w:val="24"/>
          <w:szCs w:val="24"/>
          <w:highlight w:val="none"/>
          <w:lang w:eastAsia="zh-CN"/>
        </w:rPr>
        <w:t>。</w:t>
      </w:r>
    </w:p>
    <w:p w14:paraId="17FCD1AA">
      <w:pPr>
        <w:pageBreakBefore w:val="0"/>
        <w:widowControl/>
        <w:bidi w:val="0"/>
        <w:spacing w:line="360" w:lineRule="auto"/>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3.10</w:t>
      </w:r>
      <w:r>
        <w:rPr>
          <w:rFonts w:hint="eastAsia" w:ascii="宋体" w:hAnsi="宋体" w:eastAsia="宋体" w:cs="宋体"/>
          <w:sz w:val="24"/>
          <w:szCs w:val="24"/>
          <w:highlight w:val="none"/>
          <w:lang w:val="en-US" w:eastAsia="zh-CN"/>
        </w:rPr>
        <w:t>纸质</w:t>
      </w:r>
      <w:r>
        <w:rPr>
          <w:rFonts w:hint="eastAsia" w:ascii="宋体" w:hAnsi="宋体" w:eastAsia="宋体" w:cs="宋体"/>
          <w:sz w:val="24"/>
          <w:szCs w:val="24"/>
          <w:highlight w:val="none"/>
        </w:rPr>
        <w:t>响应文件统一用A4幅面纸印制。</w:t>
      </w:r>
    </w:p>
    <w:p w14:paraId="0F6F5184">
      <w:pPr>
        <w:pageBreakBefore w:val="0"/>
        <w:widowControl/>
        <w:bidi w:val="0"/>
        <w:spacing w:line="360" w:lineRule="auto"/>
        <w:ind w:firstLine="56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3.11响应文件应根据谈判文件的要求制作，签署、盖章和内容应完整</w:t>
      </w:r>
      <w:r>
        <w:rPr>
          <w:rFonts w:hint="eastAsia" w:ascii="宋体" w:hAnsi="宋体" w:eastAsia="宋体" w:cs="宋体"/>
          <w:sz w:val="24"/>
          <w:szCs w:val="24"/>
          <w:highlight w:val="none"/>
          <w:lang w:eastAsia="zh-CN"/>
        </w:rPr>
        <w:t>。</w:t>
      </w:r>
    </w:p>
    <w:p w14:paraId="0E66765A">
      <w:pPr>
        <w:pageBreakBefore w:val="0"/>
        <w:widowControl/>
        <w:bidi w:val="0"/>
        <w:spacing w:line="360" w:lineRule="auto"/>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3.12</w:t>
      </w:r>
      <w:r>
        <w:rPr>
          <w:rFonts w:hint="eastAsia" w:ascii="宋体" w:hAnsi="宋体" w:eastAsia="宋体" w:cs="宋体"/>
          <w:sz w:val="24"/>
          <w:szCs w:val="24"/>
          <w:highlight w:val="none"/>
          <w:lang w:val="en-US" w:eastAsia="zh-CN"/>
        </w:rPr>
        <w:t>纸质</w:t>
      </w:r>
      <w:r>
        <w:rPr>
          <w:rFonts w:hint="eastAsia" w:ascii="宋体" w:hAnsi="宋体" w:eastAsia="宋体" w:cs="宋体"/>
          <w:sz w:val="24"/>
          <w:szCs w:val="24"/>
          <w:highlight w:val="none"/>
        </w:rPr>
        <w:t>响应文件正、副本需逐页加盖公章。</w:t>
      </w:r>
    </w:p>
    <w:p w14:paraId="0BD70495">
      <w:pPr>
        <w:pageBreakBefore w:val="0"/>
        <w:widowControl/>
        <w:bidi w:val="0"/>
        <w:spacing w:line="360" w:lineRule="auto"/>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3.13响应文件的递交</w:t>
      </w:r>
    </w:p>
    <w:p w14:paraId="39243BF4">
      <w:pPr>
        <w:pageBreakBefore w:val="0"/>
        <w:widowControl/>
        <w:bidi w:val="0"/>
        <w:spacing w:line="360" w:lineRule="auto"/>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电子投标文件可于递交投标文件截止时间前任意时段，登录“全国公共资源交易中心平台(陕西省·延安市)”(延安市公共资源交易平台)〖首页→电子交易平台一陕西政府采购交易系统→企业端〗，登录后上传加密后的电子投标文件。上传成功后，延安市公共资源交易平台政府采购系统将予以记录。</w:t>
      </w:r>
    </w:p>
    <w:p w14:paraId="71D316EB">
      <w:pPr>
        <w:pageBreakBefore w:val="0"/>
        <w:overflow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3.14响应文件的修改与撤回                                        </w:t>
      </w:r>
    </w:p>
    <w:p w14:paraId="4A233499">
      <w:pPr>
        <w:pageBreakBefore w:val="0"/>
        <w:overflow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a.供应商只能在谈判截止时间之前，对已递交的响应文件提出补充、修改或撤回的书面申请。补充、修改的内容为响应文件的组成部分。</w:t>
      </w:r>
    </w:p>
    <w:p w14:paraId="43A5BBE8">
      <w:pPr>
        <w:pageBreakBefore w:val="0"/>
        <w:overflow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b.谈判单位在响应文件递交截止时间后，不得对其响应文件做任何修改。</w:t>
      </w:r>
    </w:p>
    <w:p w14:paraId="48268374">
      <w:pPr>
        <w:pageBreakBefore w:val="0"/>
        <w:overflow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c.在谈判截止时间后，谈判单位不得申请撤销响应文件，如有发生，其谈判保证金将被没收。</w:t>
      </w:r>
    </w:p>
    <w:p w14:paraId="088DE09F">
      <w:pPr>
        <w:pageBreakBefore w:val="0"/>
        <w:overflow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d.对撤回的响应文件进行修改、补充、再递交的，按谈判文件规定的响应文件编制、及递交要求办理。</w:t>
      </w:r>
    </w:p>
    <w:p w14:paraId="45EEE151">
      <w:pPr>
        <w:pageBreakBefore w:val="0"/>
        <w:overflow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e.撤回响应文件应以书面的形式通知谈判单位。</w:t>
      </w:r>
    </w:p>
    <w:p w14:paraId="146238C8">
      <w:pPr>
        <w:pageBreakBefore w:val="0"/>
        <w:overflowPunct w:val="0"/>
        <w:bidi w:val="0"/>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3.15关于投标文件的雷同性分析</w:t>
      </w:r>
    </w:p>
    <w:p w14:paraId="58FCCB51">
      <w:pPr>
        <w:pageBreakBefore w:val="0"/>
        <w:overflowPunct w:val="0"/>
        <w:bidi w:val="0"/>
        <w:spacing w:line="360" w:lineRule="auto"/>
        <w:ind w:firstLine="964" w:firstLineChars="4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根据陕西省公共资源交易中心2021年7月22日印发的《关于在政府采购交易系统中开通标书雷同性分析功能的通知》，在符合性审查环节，将由评标委员会在评标系统中对投标人的电子投标文件进行雷同性分析。</w:t>
      </w:r>
    </w:p>
    <w:p w14:paraId="6544F9F8">
      <w:pPr>
        <w:pageBreakBefore w:val="0"/>
        <w:overflowPunct w:val="0"/>
        <w:bidi w:val="0"/>
        <w:spacing w:line="360" w:lineRule="auto"/>
        <w:ind w:firstLine="723" w:firstLineChars="3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雷同性分析由两项指标组成，分别是“文件制作机器码”和“文件创建标识码”。其中，前者通过验证电子投标文件制作设备的特征信息(如MAC 地址、硬盘序列号、CPU编号、主板号等)，判断电子投标文件是否出自同一台设备。</w:t>
      </w:r>
    </w:p>
    <w:p w14:paraId="3084906B">
      <w:pPr>
        <w:pageBreakBefore w:val="0"/>
        <w:overflowPunct w:val="0"/>
        <w:bidi w:val="0"/>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若“文件制作机器码”一致，则表明不同投标投标人的电子投标文件出自同一台制作设备，根据《陕西省财政厅关于政府采购有关政策的复函》(陕财办采函(2019)18号)，该情形可以视为投标投标人串通投标，其投标无效。</w:t>
      </w:r>
    </w:p>
    <w:p w14:paraId="2EBEFFD8">
      <w:pPr>
        <w:pageBreakBefore w:val="0"/>
        <w:overflowPunct w:val="0"/>
        <w:bidi w:val="0"/>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若“文件创建标识码”一致，则表示不同投标投标人使用投标文件制作软件时，使用同一源工程文件，该情形建议由评标委员会结合项目情况综合判定。</w:t>
      </w:r>
    </w:p>
    <w:p w14:paraId="71BE616A">
      <w:pPr>
        <w:pageBreakBefore w:val="0"/>
        <w:overflowPunct w:val="0"/>
        <w:bidi w:val="0"/>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在投标截止时间之后，投标人不得对其投标文件做任何修改。</w:t>
      </w:r>
    </w:p>
    <w:p w14:paraId="7846CB0C">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4.谈判报价</w:t>
      </w:r>
    </w:p>
    <w:p w14:paraId="4EE87768">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（1）凡本谈判文件要求及谈判供应商认为需要进行报价的各项费用项目，若谈判时未报或未在谈判文件中予以说明，评标时将视这些费用已取，并已包含在谈判报价中。</w:t>
      </w:r>
    </w:p>
    <w:p w14:paraId="4739A7EC">
      <w:pPr>
        <w:pageBreakBefore w:val="0"/>
        <w:overflow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（2）供应商对所投谈判内容不得分解或只报一部分，否则视为非响应性谈判，按无效标处理。</w:t>
      </w:r>
    </w:p>
    <w:p w14:paraId="09EBEC18">
      <w:pPr>
        <w:pageBreakBefore w:val="0"/>
        <w:overflow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（3）谈判报价只能提交唯一、不可选择的报价。谈判货币：人民币。 </w:t>
      </w:r>
    </w:p>
    <w:p w14:paraId="3ACD02A7">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5.谈判流程</w:t>
      </w:r>
    </w:p>
    <w:p w14:paraId="65EB8167">
      <w:pPr>
        <w:pageBreakBefore w:val="0"/>
        <w:overflow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5.1采购代理机构在谈判公告规定的时间和地点通过组织谈判大会的形式公开开标，并邀请所有购买谈判文件的供应商参加。</w:t>
      </w:r>
    </w:p>
    <w:p w14:paraId="4FBC4592">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谈判程序</w:t>
      </w:r>
    </w:p>
    <w:p w14:paraId="446EAED5">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）报价程序。</w:t>
      </w:r>
    </w:p>
    <w:p w14:paraId="6535E9E8">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a. 依据《政府采购法》和《政府采购非招标采购方式管理办法》（财政部令第74号）等规定(陕财办采资[2016]53号)，竞争性谈判采用两次报价，主持人在谈判大会不当众宣布谈判报价内容，并将响应文件中谈判报价作为第一次报价。</w:t>
      </w:r>
    </w:p>
    <w:p w14:paraId="605B62E3">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b.大写金额和小写金额不一致的，以大写金额为准；</w:t>
      </w:r>
    </w:p>
    <w:p w14:paraId="2CED971A">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c.单价金额小数点或者百分比有明显错位的，以谈判一览表（报价表）的总价为准，并修改单价；</w:t>
      </w:r>
    </w:p>
    <w:p w14:paraId="31CA84DB">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d.总价金额与单价汇总金额不一致的，以单价金额计算结果为准；</w:t>
      </w:r>
    </w:p>
    <w:p w14:paraId="4157992E">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e. 谈判小组在与供应商一对一谈判后，给各供应商第二次报价机会，即最终报价，评审以最终报价为依据。</w:t>
      </w:r>
    </w:p>
    <w:p w14:paraId="589C4876">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f.谈判组织机构指定专人对报价全过程进行记录，并存档备查。</w:t>
      </w:r>
    </w:p>
    <w:p w14:paraId="28BF07C4">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谈判时，响应文件中出现下列情况，修正原则为。</w:t>
      </w:r>
    </w:p>
    <w:p w14:paraId="4399A76B">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（1）谈判报价的大写金额和小写不一致的，以大写金额为准；</w:t>
      </w:r>
    </w:p>
    <w:p w14:paraId="78B89D11">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（2）单价金额小数点有明显错位的，以修改单价为准；</w:t>
      </w:r>
    </w:p>
    <w:p w14:paraId="5D6E9647">
      <w:pPr>
        <w:pageBreakBefore w:val="0"/>
        <w:overflow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（3）响应文件正本与副本不一致的，以正本为准；</w:t>
      </w:r>
    </w:p>
    <w:p w14:paraId="7687FA6E">
      <w:pPr>
        <w:pageBreakBefore w:val="0"/>
        <w:overflow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（4）多处内容交叉不符时，以谈判小组评审结果为准；</w:t>
      </w:r>
    </w:p>
    <w:p w14:paraId="599F4997">
      <w:pPr>
        <w:pageBreakBefore w:val="0"/>
        <w:overflow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（5）文字与图表不符时以文字为准。</w:t>
      </w:r>
    </w:p>
    <w:p w14:paraId="4ED71AF8">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谈判异议</w:t>
      </w:r>
    </w:p>
    <w:p w14:paraId="2D327243">
      <w:pPr>
        <w:pageBreakBefore w:val="0"/>
        <w:overflow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供应商对谈判有异议的，应当在谈判现场提出，采购人当场作出答复，并制作记录。</w:t>
      </w:r>
    </w:p>
    <w:p w14:paraId="035649D6">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6、谈判</w:t>
      </w:r>
    </w:p>
    <w:p w14:paraId="205B53E3">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1.谈判工作由采购代理机构负责组织，具体评标事务由谈判小组成员负责。</w:t>
      </w:r>
    </w:p>
    <w:p w14:paraId="6AADE755">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（1）谈判小组由采购人代表和有关技术、经济等方面的专家组成，人数应当为3人以上单数，其中技术、经济等方面的专家不得少于成员总数的三分之二。</w:t>
      </w:r>
    </w:p>
    <w:p w14:paraId="2C9086BD">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（2）评审工作由采购代理机构负责组织，具体评审事务由谈判小组成员负责。</w:t>
      </w:r>
    </w:p>
    <w:p w14:paraId="3F8DD8DA">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2.谈判小组成员有下列情形之一的，应当回避：</w:t>
      </w:r>
    </w:p>
    <w:p w14:paraId="3FC4F504">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A.采购人或供应商的主要负责人的近亲属。</w:t>
      </w:r>
    </w:p>
    <w:p w14:paraId="01F881C9">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B.项目主管部门或者行政监督部门的人员。</w:t>
      </w:r>
    </w:p>
    <w:p w14:paraId="35979BA4">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C.与供应商有经济利益关系，可能影响对采购公正评审的。</w:t>
      </w:r>
    </w:p>
    <w:p w14:paraId="143AAF16">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D.曾因在采购、响应文件评审以及其他与采购有关活动中从事违法行为而受过行政处罚或刑事处罚的。 </w:t>
      </w:r>
    </w:p>
    <w:p w14:paraId="2A5B9491">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3.谈判小组独立履行下列职责和义务：</w:t>
      </w:r>
    </w:p>
    <w:p w14:paraId="165F53A6">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A.职责：审查响应文件是否符合谈判文件要求，并作出评价；要求供应商对响应文件有关事项作出解释或者澄清；推荐成交候选供应商名单，向采购单位或者有关部门报告非法干预响应文件评审工作的行为。</w:t>
      </w:r>
    </w:p>
    <w:p w14:paraId="6218BA08">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B.义务：遵纪守法，客观、公正、廉洁地履行职责；按照谈判文件规定的响应文件评审方法和响应文件评审标准进行响应文件评审，对评审意见承担个人责任；对响应文件评审过程和结果，以及供应商的商业秘密保密；参与响应文件评审报告的起草；配合有关部门的投诉处理工作；配合采购单位答复供应商提出的质疑。</w:t>
      </w:r>
    </w:p>
    <w:p w14:paraId="69A59D9E">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C.谈判小组有权就响应文件中有疑义之处或前后表述不一致的问题，向供应商提出询问或澄清。供应商必须在谈判小组规定的时间内派技术和商务人员进行澄清，有关澄清的内容应以书面形式提交，并由供应商法定代表人或委托代理人签字确认。澄清时供应商只作说明和解释，不得借此对谈判报价、优惠条件、售后服务等实质性内容做任何修改。</w:t>
      </w:r>
    </w:p>
    <w:p w14:paraId="119CB900">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D.谈判小组有权对谈判、谈判过程中出现的一切问题，根据相关法律法规，本着公平、公正的原则，提出处理意见，经采购人、谈判组织机构同意后做出处理决定。</w:t>
      </w:r>
    </w:p>
    <w:p w14:paraId="4471FF7B">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4.评审原则</w:t>
      </w:r>
    </w:p>
    <w:p w14:paraId="6462DA4A">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4.1按照《中华人民共和国政府采购法》、中华人民共和国2015年第658号国务院令--《中华人民共和国政府采购法实施条例》和中华人民共和国财政部2004年第18号部长令--《政府采购服务招标投标管理办法》的规定，依法组建谈判小组。谈判小组按照竞争性谈判文件规定的评审办法独立进行评审工作。</w:t>
      </w:r>
    </w:p>
    <w:p w14:paraId="3F5D2319">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4.2竞争性谈判文件和响应文件是评审的依据。在评审中，不得改变竞争性谈判文件中规定的评审标准、方法和成交条件。供应商不得在评审后使用任何方式对响应文件的实质性内容做任何更改。</w:t>
      </w:r>
    </w:p>
    <w:p w14:paraId="7318443B">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4.3在评审期间，对响应文件中含义不明确、同类问题表述不一致或者有明显文字和计算错误的内容，谈判小组可以书面形式（由谈判小组专家签字）要求供应商作出必要的澄清、说明或者纠正。供应商的澄清、说明或者补正应当采用书面形式，由其授权的代表签字，并不得超出响应文件的范围或者改变响应文件的实质性内容。</w:t>
      </w:r>
    </w:p>
    <w:p w14:paraId="04FE7696">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4.4如果供应商在澄清规定期限内，未能答复或拒绝答复评委会提出的澄清要求，将由谈判小组根据其响应文件按最大风险进行评审。</w:t>
      </w:r>
    </w:p>
    <w:p w14:paraId="31180261">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5.评审过程的保密</w:t>
      </w:r>
    </w:p>
    <w:p w14:paraId="01200B53">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5.1谈判小组成员和与评审活动有关的工作人员不得泄露有关响应文件的评审和比较、成交供应商的推荐以及与评审有关的其他情况。</w:t>
      </w:r>
    </w:p>
    <w:p w14:paraId="455F1896">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5.2在评审过程中，如果供应商试图在响应文件的评审和比较、成交供应商的推荐以及与评审有关的其他方面，向评审人、采购人和采购代理机构施加任何影响，其响应将按照无效响应处理。</w:t>
      </w:r>
    </w:p>
    <w:p w14:paraId="6C3F1D7D">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6.评审办法</w:t>
      </w:r>
    </w:p>
    <w:p w14:paraId="4C5B3866">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6.1按照中华人民共和国2015年第658号国务院令--《中华人民共和国政府采购法实施条例》和中华人民共和国财政部2017年第87号部长令--《政府采购货物和服务招标投标管理办法》的规定，本次评审采用以下评审办法中的一种： 最低评审价法，即在全部满足竞争性谈判文件实质性要求前提下，依据统一的价格要素评定最低报价，以提出最低报价的供应商作为成交候选供应商并依次排序。</w:t>
      </w:r>
    </w:p>
    <w:p w14:paraId="628F81C9">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7.评审程序</w:t>
      </w:r>
    </w:p>
    <w:p w14:paraId="3672E8F7">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按照响应文件初审、澄清有关问题、比较与评价、推荐成交候选供应商名单的工作程序进行评审。</w:t>
      </w:r>
    </w:p>
    <w:p w14:paraId="7160299D">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8.评标保密工作</w:t>
      </w:r>
    </w:p>
    <w:p w14:paraId="11295CBB">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 谈判组织机构必须采取必要措施，保证评标工作在严格保密的情况下进行。任何单位和个人不得非法干预、影响评审方法的确定，以及评标过程和结果。</w:t>
      </w:r>
    </w:p>
    <w:p w14:paraId="7AD72C99">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谈判后，直至授予成交合同为止，谈判小组成员及全体与会工作人员不得将响应文件的审查、答疑、评价和比较的有关资料以及成交候选人的推荐情况，与评标有关的其他任何情况均严格保密。违者依法追究其责任。</w:t>
      </w:r>
    </w:p>
    <w:p w14:paraId="2BD6F267">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9.响应文件计算错误的修正</w:t>
      </w:r>
    </w:p>
    <w:p w14:paraId="701E26F7">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（1）谈判小组将对确定为实质上响应谈判文件要求的响应文件进行校核，看其是否有计算或表达上的错误，修正错误的原则如下：</w:t>
      </w:r>
    </w:p>
    <w:p w14:paraId="4FC9D1DB">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a.当出现合价与汇总价不符时为准，重新计算汇总价；当单价与合价不符时，以合价为准，重新调整单价；</w:t>
      </w:r>
    </w:p>
    <w:p w14:paraId="0C84AFC7">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b.当谈判小组认为供应商有明显的小数点错误，此时应以标书的合价为准，并修改单价。</w:t>
      </w:r>
    </w:p>
    <w:p w14:paraId="59582A60">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 谈判完成后，谈判小组应当向采购人提交书面评标报告和成交候选人名单。谈判小组推荐成交候选人的人数见供应商须知前附表。</w:t>
      </w:r>
    </w:p>
    <w:p w14:paraId="265E90D9">
      <w:pPr>
        <w:pageBreakBefore w:val="0"/>
        <w:bidi w:val="0"/>
        <w:spacing w:line="360" w:lineRule="auto"/>
        <w:ind w:firstLine="480" w:firstLineChars="20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7.合同授予</w:t>
      </w:r>
    </w:p>
    <w:p w14:paraId="14E7A4DC">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7.1 成交候选人公示</w:t>
      </w:r>
    </w:p>
    <w:p w14:paraId="15AC3F1A">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采购人在收到评标报告后2个工作日内，按照评标报告中推荐的成交候选人顺序确定成交供应商，并函复谈判组织机构。按照供应商须知前附表规定的公示媒介和期限公示成交候选人，公示期1个工作日。</w:t>
      </w:r>
    </w:p>
    <w:p w14:paraId="0BFD7E3F">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7.2 成交候选人履约能力审查</w:t>
      </w:r>
    </w:p>
    <w:p w14:paraId="16E0FA66">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成交候选人的经营、财务状况发生较大变化或存在违法行为，采购人认为可能影响其履约能力的，将在发出成交通知书前提请原谈判小组按照谈判文件规定的标准和方法进行审查确认。</w:t>
      </w:r>
    </w:p>
    <w:p w14:paraId="4FF2E7C8">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7.3 定标</w:t>
      </w:r>
    </w:p>
    <w:p w14:paraId="34B2BD7F">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按照供应商须知前附表的规定，采购人或采购人授权的谈判小组依法确定成交人。</w:t>
      </w:r>
    </w:p>
    <w:p w14:paraId="481C82CF">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7.4 成交通知</w:t>
      </w:r>
    </w:p>
    <w:p w14:paraId="08D31898">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采购人以书面形式向成交人发出成交通知书，同时将成交结果通知未成交的供应商。</w:t>
      </w:r>
    </w:p>
    <w:p w14:paraId="25632715">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7.5签订合同</w:t>
      </w:r>
    </w:p>
    <w:p w14:paraId="67DF1C61">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7.5.1 采购人和成交人应当在成交通知书发出之日起</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5 日内，根据谈判文件和成交人的谈判文件订立书面合同。成交人无正当理由拒签合同，在签订合同时向采购人提出附加条件，或者不按照谈判文件要求提交履约保证金的，采购人有权取消其成交资格，其谈判保证金不予退还；给采购人造成的损失超过谈判保证金数额的，成交人还应当对超过部分予以赔偿。</w:t>
      </w:r>
    </w:p>
    <w:p w14:paraId="7550A793">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7.5.2 发出成交通知书后，采购人无正当理由拒签合同，或者在签订合同时向成交人提出附加条件的，采购人向成交人退还谈判保证金；给成交人造成损失的，还应当赔偿损失。</w:t>
      </w:r>
    </w:p>
    <w:p w14:paraId="3239B9A6">
      <w:pPr>
        <w:pageBreakBefore w:val="0"/>
        <w:bidi w:val="0"/>
        <w:spacing w:line="360" w:lineRule="auto"/>
        <w:ind w:firstLine="480" w:firstLineChars="20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8.纪律和监督</w:t>
      </w:r>
    </w:p>
    <w:p w14:paraId="6B93E9E5">
      <w:pPr>
        <w:pageBreakBefore w:val="0"/>
        <w:bidi w:val="0"/>
        <w:spacing w:line="360" w:lineRule="auto"/>
        <w:ind w:left="500"/>
        <w:rPr>
          <w:rFonts w:hint="eastAsia" w:ascii="宋体" w:hAnsi="宋体" w:eastAsia="宋体" w:cs="宋体"/>
          <w:sz w:val="24"/>
          <w:szCs w:val="24"/>
          <w:highlight w:val="none"/>
        </w:rPr>
      </w:pPr>
      <w:r>
        <w:rPr>
          <w:rFonts w:hint="eastAsia" w:ascii="宋体" w:hAnsi="宋体" w:eastAsia="宋体" w:cs="宋体"/>
          <w:sz w:val="24"/>
          <w:szCs w:val="24"/>
          <w:highlight w:val="none"/>
        </w:rPr>
        <w:t>8.1 对采购人（谈判组织机构）的纪律要求</w:t>
      </w:r>
    </w:p>
    <w:p w14:paraId="2480F92B">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采购人（谈判组织机构）不得泄露谈判活动中应当保密的情况和资料，不得与供应商串通损害国家利益、社会公共利益或者他人合法权益。</w:t>
      </w:r>
    </w:p>
    <w:p w14:paraId="02E3AD95">
      <w:pPr>
        <w:pageBreakBefore w:val="0"/>
        <w:bidi w:val="0"/>
        <w:spacing w:line="360" w:lineRule="auto"/>
        <w:ind w:left="500"/>
        <w:rPr>
          <w:rFonts w:hint="eastAsia" w:ascii="宋体" w:hAnsi="宋体" w:eastAsia="宋体" w:cs="宋体"/>
          <w:sz w:val="24"/>
          <w:szCs w:val="24"/>
          <w:highlight w:val="none"/>
        </w:rPr>
      </w:pPr>
      <w:r>
        <w:rPr>
          <w:rFonts w:hint="eastAsia" w:ascii="宋体" w:hAnsi="宋体" w:eastAsia="宋体" w:cs="宋体"/>
          <w:sz w:val="24"/>
          <w:szCs w:val="24"/>
          <w:highlight w:val="none"/>
        </w:rPr>
        <w:t>8.2 对供应商的纪律要求</w:t>
      </w:r>
    </w:p>
    <w:p w14:paraId="7386E120">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供应商不得相互串通谈判或者与采购人串通谈判，不得向采购人（谈判组织机构）或者谈判小组成员行贿谋取成交，不得以他人名义谈判或者以其他方式弄虚作假骗取成交；供应商不得以任何方式干扰、影响评标工作。</w:t>
      </w:r>
    </w:p>
    <w:p w14:paraId="18778B15">
      <w:pPr>
        <w:pageBreakBefore w:val="0"/>
        <w:bidi w:val="0"/>
        <w:spacing w:line="360" w:lineRule="auto"/>
        <w:ind w:left="500"/>
        <w:rPr>
          <w:rFonts w:hint="eastAsia" w:ascii="宋体" w:hAnsi="宋体" w:eastAsia="宋体" w:cs="宋体"/>
          <w:sz w:val="24"/>
          <w:szCs w:val="24"/>
          <w:highlight w:val="none"/>
        </w:rPr>
      </w:pPr>
      <w:r>
        <w:rPr>
          <w:rFonts w:hint="eastAsia" w:ascii="宋体" w:hAnsi="宋体" w:eastAsia="宋体" w:cs="宋体"/>
          <w:sz w:val="24"/>
          <w:szCs w:val="24"/>
          <w:highlight w:val="none"/>
        </w:rPr>
        <w:t>8.3 对谈判小组成员的纪律要求</w:t>
      </w:r>
    </w:p>
    <w:p w14:paraId="3D1F51D0">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谈判小组成员不得收受他人的财物或者其他好处，不得向他人透露对响应文件的评审和比较、成交候选人的推荐情况以及评标有关的其他情况。在谈判活动中，谈判小组成员应当客观、公正地履行职责，遵守职业道德，不得擅离职守，影响评标程序正常进行。</w:t>
      </w:r>
    </w:p>
    <w:p w14:paraId="75926057">
      <w:pPr>
        <w:pageBreakBefore w:val="0"/>
        <w:bidi w:val="0"/>
        <w:spacing w:line="360" w:lineRule="auto"/>
        <w:ind w:left="500"/>
        <w:rPr>
          <w:rFonts w:hint="eastAsia" w:ascii="宋体" w:hAnsi="宋体" w:eastAsia="宋体" w:cs="宋体"/>
          <w:sz w:val="24"/>
          <w:szCs w:val="24"/>
          <w:highlight w:val="none"/>
        </w:rPr>
      </w:pPr>
      <w:r>
        <w:rPr>
          <w:rFonts w:hint="eastAsia" w:ascii="宋体" w:hAnsi="宋体" w:eastAsia="宋体" w:cs="宋体"/>
          <w:sz w:val="24"/>
          <w:szCs w:val="24"/>
          <w:highlight w:val="none"/>
        </w:rPr>
        <w:t>8.4 对与谈判活动有关的工作人员的纪律要求</w:t>
      </w:r>
    </w:p>
    <w:p w14:paraId="0B86EA43">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与谈判活动有关的工作人员不得收受他人的财物或者其他好处，不得向他人透露对响应文</w:t>
      </w:r>
    </w:p>
    <w:p w14:paraId="51D5BB2B">
      <w:pPr>
        <w:pageBreakBefore w:val="0"/>
        <w:bidi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件的评审和比较、成交候选人的推荐情况以及评标有关的其他情况。在谈判活动中，与谈判活动有关的工作人员不得擅离职守，影响评标程序正常进行。</w:t>
      </w:r>
    </w:p>
    <w:p w14:paraId="2A82FAA3">
      <w:pPr>
        <w:pageBreakBefore w:val="0"/>
        <w:bidi w:val="0"/>
        <w:spacing w:line="360" w:lineRule="auto"/>
        <w:ind w:firstLine="480" w:firstLineChars="20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9</w:t>
      </w:r>
      <w:r>
        <w:rPr>
          <w:rFonts w:hint="eastAsia" w:ascii="宋体" w:hAnsi="宋体" w:eastAsia="宋体" w:cs="宋体"/>
          <w:b w:val="0"/>
          <w:bCs w:val="0"/>
          <w:sz w:val="24"/>
          <w:szCs w:val="24"/>
          <w:highlight w:val="none"/>
        </w:rPr>
        <w:t>其它事项</w:t>
      </w:r>
    </w:p>
    <w:p w14:paraId="4720ED30">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1中华人民共和国财政部令第74号《政府采购非招标采购方式管理办法》第三十七条之规定：出现下列情形之一的，采购人或者采购代理机构应当终止竞争性谈判采购活动，发布项目终止公告并说明原因，重新开展采购活动：</w:t>
      </w:r>
    </w:p>
    <w:p w14:paraId="005ACEF6">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（一）因情况变化，不再符合规定的竞争性谈判采购方式适用情形的；</w:t>
      </w:r>
    </w:p>
    <w:p w14:paraId="551C1D64">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（二）出现影响采购公正的违法、违规行为的；</w:t>
      </w:r>
    </w:p>
    <w:p w14:paraId="1FBD83A1">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（三）在采购过程中符合竞争要求的供应商或者报价未超过采购预算的供应商不足3家的，但本办法第二十七条第二款规定的情形除外。</w:t>
      </w:r>
    </w:p>
    <w:p w14:paraId="5D7CB8CF">
      <w:pPr>
        <w:pageBreakBefore w:val="0"/>
        <w:bidi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2成交人应当在成交通知书发出之日起十五日内，按照竞争性谈判文件确定的事项签定政府采购合同，如成交人在法定日内无正当理由拒签合同，谈判组织机构可没收其投标保证金并取消其成交资格，同时将标的授予下一个排名最前的谈判供应商。</w:t>
      </w:r>
    </w:p>
    <w:p w14:paraId="3E623DA1">
      <w:pPr>
        <w:pageBreakBefore w:val="0"/>
        <w:bidi w:val="0"/>
        <w:spacing w:line="360" w:lineRule="auto"/>
        <w:ind w:firstLine="480" w:firstLineChars="200"/>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w:t>
      </w:r>
      <w:r>
        <w:rPr>
          <w:rFonts w:hint="eastAsia" w:ascii="宋体" w:hAnsi="宋体" w:eastAsia="宋体" w:cs="宋体"/>
          <w:b w:val="0"/>
          <w:bCs w:val="0"/>
          <w:sz w:val="24"/>
          <w:szCs w:val="24"/>
          <w:highlight w:val="none"/>
          <w:lang w:val="en-US" w:eastAsia="zh-CN"/>
        </w:rPr>
        <w:t>0.</w:t>
      </w:r>
      <w:r>
        <w:rPr>
          <w:rFonts w:hint="eastAsia" w:ascii="宋体" w:hAnsi="宋体" w:eastAsia="宋体" w:cs="宋体"/>
          <w:b w:val="0"/>
          <w:bCs w:val="0"/>
          <w:sz w:val="24"/>
          <w:szCs w:val="24"/>
          <w:highlight w:val="none"/>
        </w:rPr>
        <w:t>落实政府采购政策文件具体如下：</w:t>
      </w:r>
    </w:p>
    <w:p w14:paraId="22B17FEE">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根据《政府采购促进中小企业发展管理办法》（财库〔2020〕46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则参与政府采购活动时，货物和服务项目对小型和微型企业产品的价格给予6％-10％的价格扣除，工程项目给予3％-5％的价格扣除，用扣除后的价格参与评审。</w:t>
      </w:r>
    </w:p>
    <w:p w14:paraId="72D49D9C">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在货物采购项目中，投标人提供的货物既有中小企业制造货物，也有大型企业制造货物的，不享受政府采购价格扣除优惠政策。</w:t>
      </w:r>
    </w:p>
    <w:p w14:paraId="77E4B0B6">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接受大中型企业与小微企业组成联合体或者允许大中型企业向或者多家小微企业分包的采购项目，对于联合协议或者分包意向协议约定小微企业的合同份额占到合同总金额30％以上的，货物和服务项目可给予联合体或者大中型企业的报价2%-3％的扣除，工程项目为1％-2％的扣除以联合体形式参加政府采购活动，联合体各方均为中小企业的，联合体视同中小企业。其中，联合体各方均为小微企业的，联合体视同小微企业。组成联合体或者接受分包的小微企业与联合体内其他企业、分包企业之间存在直接控股、管理关系的，不享受价格扣除优惠政策。</w:t>
      </w:r>
    </w:p>
    <w:p w14:paraId="09095784">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5527E7A3">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参加政府采购活动的中小微企业应提供《中小企业声明函》原件。未提供上述声明函原件的，则投标文件无效。</w:t>
      </w:r>
    </w:p>
    <w:p w14:paraId="5FE33DD9">
      <w:pPr>
        <w:pageBreakBefore w:val="0"/>
        <w:bidi w:val="0"/>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备注：本项目采购标的对应的中小企业划分标准所属行业为</w:t>
      </w:r>
      <w:r>
        <w:rPr>
          <w:rFonts w:hint="eastAsia" w:ascii="宋体" w:hAnsi="宋体" w:eastAsia="宋体" w:cs="宋体"/>
          <w:b/>
          <w:bCs/>
          <w:sz w:val="24"/>
          <w:szCs w:val="24"/>
          <w:highlight w:val="none"/>
          <w:u w:val="single"/>
        </w:rPr>
        <w:t xml:space="preserve">  工业  </w:t>
      </w:r>
      <w:r>
        <w:rPr>
          <w:rFonts w:hint="eastAsia" w:ascii="宋体" w:hAnsi="宋体" w:eastAsia="宋体" w:cs="宋体"/>
          <w:b/>
          <w:bCs/>
          <w:sz w:val="24"/>
          <w:szCs w:val="24"/>
          <w:highlight w:val="none"/>
        </w:rPr>
        <w:t>；{参照《中小企业划型标准规定》（工信部联企业〔2011〕300号）执行}。</w:t>
      </w:r>
    </w:p>
    <w:p w14:paraId="61B16097">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（2）监狱企业应符合《财政部 司法部关于政府采购支持监狱企业发展有关问题的通知》（财库〔2014〕68号）文件规定，并提供由省级以上监狱管理局、戒毒管理局（含新疆生产建设兵团）出具的属于监狱企业的证明文件复印件，监狱和戒毒企业视同小型、微型企业。</w:t>
      </w:r>
    </w:p>
    <w:p w14:paraId="02166C8D">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根据财政部、民政部、中国残疾人联合会印发的《关于促进残疾人就业政府采购政策的通知》（财库〔2017〕41号）的规定，残疾人福利性单位提供本单位制造的货物、承担的工程或者服务（以下简称产品）,或者提供其他残疾人福利性单位制造的货物（不包括使用非残疾人福利性单位注册商标的货物）参与政府来购活动时，视同小型、微型企业，享受预留份额、评审中价格扣除等促进中小企业发展的政府采购政策。残疾人福利性单位属于小型、微型企业的，不重复享受政策。</w:t>
      </w:r>
    </w:p>
    <w:p w14:paraId="44678438">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参加政府采购活动的残疾人単位应提供《残疾人福利性单位声明函》原件。未提供上述声明函原件的，则投标文件无效。</w:t>
      </w:r>
    </w:p>
    <w:p w14:paraId="2024E501">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（4）根据财政部、国家发展改革委《关于调整优化节能产品、环境标志产品政府采购执行机制的通知》（财库〔2019〕9号）规定“政府采购属于节能产品品目清单的，</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在技术、服务等指标同等条件下，应当优先采购节能品目清单的节能产品。”</w:t>
      </w:r>
    </w:p>
    <w:p w14:paraId="5B21CAA5">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1635B265">
      <w:pPr>
        <w:pageBreakBefore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根据国务院办公厅《关于建立政府强制采购节能产品制度的通知》（国办发〔2007〕51号）有关要求，在技术、服务等指标满足采购需求的前提下，要优先采购节能产品，对部分节能效果、性能等达到要求的产品，实行强制采购。</w:t>
      </w:r>
    </w:p>
    <w:p w14:paraId="3DB8F5D9">
      <w:pPr>
        <w:pageBreakBefore w:val="0"/>
        <w:bidi w:val="0"/>
        <w:spacing w:line="360" w:lineRule="auto"/>
        <w:ind w:firstLine="42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）节能产品政府采购品目清单详见财政部、发展改革委《关于印发节能产品政府采购品目清单的通知》（财库〔2019〕19号）。</w:t>
      </w:r>
    </w:p>
    <w:p w14:paraId="34E5069B">
      <w:pPr>
        <w:pageBreakBefore w:val="0"/>
        <w:bidi w:val="0"/>
        <w:spacing w:line="360" w:lineRule="auto"/>
        <w:ind w:firstLine="42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）环境标志产品政府采购品目清单详见财政部、生态环境部《关于印发环境标志产品政府采购品目清单的通知》（财库〔2019〕18号）。</w:t>
      </w:r>
    </w:p>
    <w:p w14:paraId="6CC90D01">
      <w:pPr>
        <w:pageBreakBefore w:val="0"/>
        <w:bidi w:val="0"/>
        <w:spacing w:line="360" w:lineRule="auto"/>
        <w:ind w:firstLine="42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）国家确定的节能产品、环境标志产品认证机构详见市场监管总局《关于发布参与实施政府采购节能产品、环境标志产品认证机构名录的公告》(2019年第16号）。</w:t>
      </w:r>
    </w:p>
    <w:p w14:paraId="5A687273">
      <w:pPr>
        <w:pageBreakBefore w:val="0"/>
        <w:bidi w:val="0"/>
        <w:spacing w:line="360" w:lineRule="auto"/>
        <w:ind w:firstLine="42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）根据《财政部 农业农村部 国家乡村振兴局关于运用政府采购政策支持乡村产业振兴的通知》（财库〔2021〕19号），自2021年起，各级预算单位应当按照不低于10％的比例预留年度食堂食材采购份额，通脱贫地区农副产品网络销售平台采购脱贫地区农副产品。</w:t>
      </w:r>
    </w:p>
    <w:p w14:paraId="529014DF">
      <w:pPr>
        <w:pageBreakBefore w:val="0"/>
        <w:bidi w:val="0"/>
        <w:spacing w:line="360" w:lineRule="auto"/>
        <w:ind w:firstLine="42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）根据《财政部 农业农村部 国家乡村振兴局中华全国供销合作总社关于印发＜关于深入开展政府采购脱贫地区农副产品工作推进乡村产业振兴的实施意见＞的通知》（财库〔2021〕20号），各级预算单位要按照不低于10％的预留比例在“832平台”填报预留份额。鼓励各级预算单位工会组织通过“832平台”采购工会福利、慰问品等，有关采购金额计入本单位年度采购总额。</w:t>
      </w:r>
    </w:p>
    <w:p w14:paraId="432557DC">
      <w:pPr>
        <w:pageBreakBefore w:val="0"/>
        <w:bidi w:val="0"/>
        <w:spacing w:line="360" w:lineRule="auto"/>
        <w:ind w:firstLine="42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根据《陕西省财政厅关于加快推进我省中小企业政府采购信用融资工作的通知》（陕财办采〔2020〕5号）规定“有融资需求的供应商可根据自身情况，在陕西省政府采购信用融资平台（含各市分平台）自主选择金融机构及其融资产品，凭政府采购中标（成交）通知书或政府采购合同向金融机构提出融资申请”。</w:t>
      </w:r>
    </w:p>
    <w:p w14:paraId="16C463AC">
      <w:pPr>
        <w:pageBreakBefore w:val="0"/>
        <w:bidi w:val="0"/>
        <w:spacing w:line="360" w:lineRule="auto"/>
        <w:ind w:firstLine="42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根据陕西省财政厅关于印发《陕西省中小企业政府采购信用融资办法》（陕财办采〔2018〕23号）规定“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0E4864EF">
      <w:pPr>
        <w:pageBreakBefore w:val="0"/>
        <w:bidi w:val="0"/>
        <w:spacing w:line="360" w:lineRule="auto"/>
        <w:ind w:firstLine="480" w:firstLineChars="200"/>
        <w:jc w:val="left"/>
        <w:rPr>
          <w:rFonts w:hint="eastAsia" w:ascii="宋体" w:hAnsi="宋体" w:eastAsia="宋体" w:cs="宋体"/>
          <w:sz w:val="24"/>
          <w:szCs w:val="24"/>
          <w:highlight w:val="none"/>
        </w:rPr>
        <w:sectPr>
          <w:headerReference r:id="rId8" w:type="default"/>
          <w:footerReference r:id="rId9" w:type="default"/>
          <w:pgSz w:w="11905" w:h="16837"/>
          <w:pgMar w:top="1712" w:right="1418" w:bottom="1712" w:left="1418" w:header="851" w:footer="1247" w:gutter="0"/>
          <w:pgNumType w:start="1"/>
          <w:cols w:space="720" w:num="1"/>
          <w:docGrid w:linePitch="312" w:charSpace="0"/>
        </w:sectPr>
      </w:pPr>
      <w:r>
        <w:rPr>
          <w:rFonts w:hint="eastAsia" w:ascii="宋体" w:hAnsi="宋体" w:eastAsia="宋体" w:cs="宋体"/>
          <w:sz w:val="24"/>
          <w:szCs w:val="24"/>
          <w:highlight w:val="none"/>
          <w:lang w:val="en-US" w:eastAsia="zh-CN"/>
        </w:rPr>
        <w:t>（14）</w:t>
      </w:r>
      <w:r>
        <w:rPr>
          <w:rFonts w:hint="eastAsia" w:ascii="宋体" w:hAnsi="宋体" w:eastAsia="宋体" w:cs="宋体"/>
          <w:sz w:val="24"/>
          <w:szCs w:val="24"/>
          <w:highlight w:val="none"/>
        </w:rPr>
        <w:t>成交供应商确定后，成交供应商无正当理由拖延或拒签合同的，采购人有权取消其成交资格，并按评审顺序重新确定成交单位。同时报请监督机构予以通报，禁止其进入政府采购市场，并没收其保证金。</w:t>
      </w:r>
    </w:p>
    <w:p w14:paraId="306C1DA6">
      <w:pPr>
        <w:pStyle w:val="17"/>
        <w:keepNext w:val="0"/>
        <w:keepLines w:val="0"/>
        <w:pageBreakBefore w:val="0"/>
        <w:widowControl/>
        <w:kinsoku/>
        <w:wordWrap/>
        <w:overflowPunct/>
        <w:topLinePunct w:val="0"/>
        <w:autoSpaceDE/>
        <w:autoSpaceDN/>
        <w:bidi w:val="0"/>
        <w:adjustRightInd/>
        <w:snapToGrid/>
        <w:spacing w:beforeAutospacing="0" w:afterAutospacing="0" w:line="360" w:lineRule="auto"/>
        <w:ind w:firstLine="0"/>
        <w:jc w:val="center"/>
        <w:textAlignment w:val="auto"/>
        <w:outlineLvl w:val="0"/>
        <w:rPr>
          <w:rFonts w:hint="eastAsia" w:ascii="宋体" w:hAnsi="宋体" w:eastAsia="宋体" w:cs="宋体"/>
          <w:b/>
          <w:bCs/>
          <w:kern w:val="2"/>
          <w:sz w:val="32"/>
          <w:szCs w:val="32"/>
          <w:highlight w:val="none"/>
        </w:rPr>
      </w:pPr>
      <w:bookmarkStart w:id="23" w:name="_Toc27051"/>
      <w:r>
        <w:rPr>
          <w:rFonts w:hint="eastAsia" w:ascii="宋体" w:hAnsi="宋体" w:eastAsia="宋体" w:cs="宋体"/>
          <w:b/>
          <w:bCs/>
          <w:kern w:val="2"/>
          <w:sz w:val="32"/>
          <w:szCs w:val="32"/>
          <w:highlight w:val="none"/>
        </w:rPr>
        <w:t>第三部分  谈判内容及要求</w:t>
      </w:r>
      <w:bookmarkEnd w:id="23"/>
    </w:p>
    <w:p w14:paraId="35808E81">
      <w:pPr>
        <w:pStyle w:val="17"/>
        <w:keepNext w:val="0"/>
        <w:keepLines w:val="0"/>
        <w:pageBreakBefore w:val="0"/>
        <w:widowControl/>
        <w:kinsoku/>
        <w:wordWrap/>
        <w:overflowPunct/>
        <w:topLinePunct w:val="0"/>
        <w:autoSpaceDE/>
        <w:autoSpaceDN/>
        <w:bidi w:val="0"/>
        <w:adjustRightInd/>
        <w:snapToGrid/>
        <w:spacing w:beforeAutospacing="0" w:afterAutospacing="0" w:line="360" w:lineRule="auto"/>
        <w:ind w:firstLine="0"/>
        <w:jc w:val="both"/>
        <w:textAlignment w:val="auto"/>
        <w:outlineLvl w:val="0"/>
        <w:rPr>
          <w:rFonts w:hint="default" w:ascii="宋体" w:hAnsi="宋体" w:eastAsia="宋体" w:cs="宋体"/>
          <w:b/>
          <w:bCs/>
          <w:kern w:val="2"/>
          <w:sz w:val="32"/>
          <w:szCs w:val="32"/>
          <w:highlight w:val="none"/>
          <w:lang w:val="en-US" w:eastAsia="zh-CN"/>
        </w:rPr>
      </w:pPr>
      <w:bookmarkStart w:id="24" w:name="_Toc29206"/>
      <w:r>
        <w:rPr>
          <w:rFonts w:hint="eastAsia" w:eastAsia="宋体" w:cs="宋体"/>
          <w:b/>
          <w:bCs/>
          <w:kern w:val="2"/>
          <w:sz w:val="32"/>
          <w:szCs w:val="32"/>
          <w:highlight w:val="none"/>
          <w:lang w:val="en-US" w:eastAsia="zh-CN"/>
        </w:rPr>
        <w:t>一、商务要求</w:t>
      </w:r>
    </w:p>
    <w:p w14:paraId="244D4A0D">
      <w:pPr>
        <w:pageBreakBefore w:val="0"/>
        <w:numPr>
          <w:ilvl w:val="0"/>
          <w:numId w:val="0"/>
        </w:numPr>
        <w:bidi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rPr>
        <w:t>项目名称：</w:t>
      </w:r>
      <w:r>
        <w:rPr>
          <w:rFonts w:hint="eastAsia" w:ascii="宋体" w:hAnsi="宋体" w:eastAsia="宋体" w:cs="宋体"/>
          <w:bCs/>
          <w:sz w:val="24"/>
          <w:szCs w:val="24"/>
          <w:highlight w:val="none"/>
          <w:lang w:eastAsia="zh-CN"/>
        </w:rPr>
        <w:t>宜川县云岩中心卫生院县域医疗次中心建设项目（三次）</w:t>
      </w:r>
    </w:p>
    <w:p w14:paraId="7008CCC9">
      <w:pPr>
        <w:pageBreakBefore w:val="0"/>
        <w:numPr>
          <w:ilvl w:val="0"/>
          <w:numId w:val="0"/>
        </w:numPr>
        <w:bidi w:val="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2、供货</w:t>
      </w:r>
      <w:r>
        <w:rPr>
          <w:rFonts w:hint="eastAsia" w:ascii="宋体" w:hAnsi="宋体" w:eastAsia="宋体" w:cs="宋体"/>
          <w:bCs/>
          <w:sz w:val="24"/>
          <w:szCs w:val="24"/>
          <w:highlight w:val="none"/>
        </w:rPr>
        <w:t>期：</w:t>
      </w:r>
      <w:r>
        <w:rPr>
          <w:rFonts w:hint="eastAsia" w:ascii="宋体" w:hAnsi="宋体" w:eastAsia="宋体" w:cs="宋体"/>
          <w:bCs/>
          <w:sz w:val="24"/>
          <w:szCs w:val="24"/>
          <w:highlight w:val="none"/>
          <w:lang w:val="en-US" w:eastAsia="zh-CN"/>
        </w:rPr>
        <w:t>自合同签订之日起60日历天</w:t>
      </w:r>
    </w:p>
    <w:p w14:paraId="0FC0BCEA">
      <w:pPr>
        <w:pageBreakBefore w:val="0"/>
        <w:numPr>
          <w:ilvl w:val="0"/>
          <w:numId w:val="0"/>
        </w:numPr>
        <w:bidi w:val="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3、质量标准：符合国家及行业验收合格标准。</w:t>
      </w:r>
    </w:p>
    <w:p w14:paraId="756174F4">
      <w:pPr>
        <w:pageBreakBefore w:val="0"/>
        <w:numPr>
          <w:ilvl w:val="0"/>
          <w:numId w:val="0"/>
        </w:numPr>
        <w:bidi w:val="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4、交货地点：宜川县云岩中心卫生院指定地点。</w:t>
      </w:r>
    </w:p>
    <w:p w14:paraId="17D0BD74">
      <w:pPr>
        <w:pageBreakBefore w:val="0"/>
        <w:numPr>
          <w:ilvl w:val="0"/>
          <w:numId w:val="0"/>
        </w:numPr>
        <w:bidi w:val="0"/>
        <w:spacing w:line="360" w:lineRule="auto"/>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w:t>
      </w:r>
      <w:r>
        <w:rPr>
          <w:rFonts w:hint="default" w:ascii="宋体" w:hAnsi="宋体" w:eastAsia="宋体" w:cs="宋体"/>
          <w:bCs/>
          <w:sz w:val="24"/>
          <w:szCs w:val="24"/>
          <w:highlight w:val="none"/>
          <w:lang w:val="en-US" w:eastAsia="zh-CN"/>
        </w:rPr>
        <w:t>包装方式及运输</w:t>
      </w:r>
    </w:p>
    <w:p w14:paraId="47BE407B">
      <w:pPr>
        <w:pageBreakBefore w:val="0"/>
        <w:numPr>
          <w:ilvl w:val="0"/>
          <w:numId w:val="0"/>
        </w:numPr>
        <w:bidi w:val="0"/>
        <w:spacing w:line="360" w:lineRule="auto"/>
        <w:ind w:firstLine="480" w:firstLineChars="200"/>
        <w:rPr>
          <w:rFonts w:hint="default" w:ascii="宋体" w:hAnsi="宋体" w:eastAsia="宋体" w:cs="宋体"/>
          <w:bCs/>
          <w:sz w:val="24"/>
          <w:szCs w:val="24"/>
          <w:highlight w:val="none"/>
          <w:lang w:val="en-US" w:eastAsia="zh-CN"/>
        </w:rPr>
      </w:pPr>
      <w:r>
        <w:rPr>
          <w:rFonts w:hint="default" w:ascii="宋体" w:hAnsi="宋体" w:eastAsia="宋体" w:cs="宋体"/>
          <w:bCs/>
          <w:sz w:val="24"/>
          <w:szCs w:val="24"/>
          <w:highlight w:val="none"/>
          <w:lang w:val="en-US" w:eastAsia="zh-CN"/>
        </w:rPr>
        <w:t>涉及的商品包装和快递包装，均应符合《商品包装政府采购需求标准（试行）》《快递包装政府采购需求标准（试行）》的要求，包装应适应于远距离运输、防潮、防震、防锈和防野蛮装卸，以确保货物安全无损运抵指定地点。</w:t>
      </w:r>
    </w:p>
    <w:p w14:paraId="3AF6DD63">
      <w:pPr>
        <w:pageBreakBefore w:val="0"/>
        <w:numPr>
          <w:ilvl w:val="0"/>
          <w:numId w:val="0"/>
        </w:numPr>
        <w:bidi w:val="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6、验收标准和方法</w:t>
      </w:r>
    </w:p>
    <w:p w14:paraId="1F4B23E5">
      <w:pPr>
        <w:pageBreakBefore w:val="0"/>
        <w:numPr>
          <w:ilvl w:val="0"/>
          <w:numId w:val="0"/>
        </w:numPr>
        <w:bidi w:val="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按采购人要求将全部货物到指定地点并完成安装调试及相关工作后，采购人组织验收，质量按谈判文件的技术要求与参数及相关内容验收。检测方法、抽样数量等依据国家、省、市现行法规、规范及标准的标准执行。</w:t>
      </w:r>
    </w:p>
    <w:p w14:paraId="62240559">
      <w:pPr>
        <w:pageBreakBefore w:val="0"/>
        <w:numPr>
          <w:ilvl w:val="0"/>
          <w:numId w:val="0"/>
        </w:numPr>
        <w:bidi w:val="0"/>
        <w:spacing w:line="360" w:lineRule="auto"/>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7、</w:t>
      </w:r>
      <w:r>
        <w:rPr>
          <w:rFonts w:hint="default" w:ascii="宋体" w:hAnsi="宋体" w:eastAsia="宋体" w:cs="宋体"/>
          <w:bCs/>
          <w:sz w:val="24"/>
          <w:szCs w:val="24"/>
          <w:highlight w:val="none"/>
          <w:lang w:val="en-US" w:eastAsia="zh-CN"/>
        </w:rPr>
        <w:t>质量保修范围和保修期</w:t>
      </w:r>
    </w:p>
    <w:p w14:paraId="6A7375EA">
      <w:pPr>
        <w:pageBreakBefore w:val="0"/>
        <w:numPr>
          <w:ilvl w:val="0"/>
          <w:numId w:val="0"/>
        </w:numPr>
        <w:bidi w:val="0"/>
        <w:spacing w:line="360" w:lineRule="auto"/>
        <w:ind w:firstLine="480" w:firstLineChars="200"/>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w:t>
      </w:r>
      <w:r>
        <w:rPr>
          <w:rFonts w:hint="default" w:ascii="宋体" w:hAnsi="宋体" w:eastAsia="宋体" w:cs="宋体"/>
          <w:bCs/>
          <w:sz w:val="24"/>
          <w:szCs w:val="24"/>
          <w:highlight w:val="none"/>
          <w:lang w:val="en-US" w:eastAsia="zh-CN"/>
        </w:rPr>
        <w:t>项目质保期：验收合格通过之日起</w:t>
      </w:r>
      <w:r>
        <w:rPr>
          <w:rFonts w:hint="eastAsia" w:ascii="宋体" w:hAnsi="宋体" w:eastAsia="宋体" w:cs="宋体"/>
          <w:bCs/>
          <w:sz w:val="24"/>
          <w:szCs w:val="24"/>
          <w:highlight w:val="none"/>
          <w:lang w:val="en-US" w:eastAsia="zh-CN"/>
        </w:rPr>
        <w:t>1</w:t>
      </w:r>
      <w:r>
        <w:rPr>
          <w:rFonts w:hint="default" w:ascii="宋体" w:hAnsi="宋体" w:eastAsia="宋体" w:cs="宋体"/>
          <w:bCs/>
          <w:sz w:val="24"/>
          <w:szCs w:val="24"/>
          <w:highlight w:val="none"/>
          <w:lang w:val="en-US" w:eastAsia="zh-CN"/>
        </w:rPr>
        <w:t>年。</w:t>
      </w:r>
      <w:r>
        <w:rPr>
          <w:rFonts w:hint="eastAsia" w:ascii="宋体" w:hAnsi="宋体" w:eastAsia="宋体" w:cs="宋体"/>
          <w:bCs/>
          <w:sz w:val="24"/>
          <w:szCs w:val="24"/>
          <w:highlight w:val="none"/>
          <w:lang w:val="en-US" w:eastAsia="zh-CN"/>
        </w:rPr>
        <w:t>2.</w:t>
      </w:r>
      <w:r>
        <w:rPr>
          <w:rFonts w:hint="default" w:ascii="宋体" w:hAnsi="宋体" w:eastAsia="宋体" w:cs="宋体"/>
          <w:bCs/>
          <w:sz w:val="24"/>
          <w:szCs w:val="24"/>
          <w:highlight w:val="none"/>
          <w:lang w:val="en-US" w:eastAsia="zh-CN"/>
        </w:rPr>
        <w:t>售后服务响应时间（质保期内）：即时响应（包括电话响应）；电话响应无法解决</w:t>
      </w:r>
      <w:r>
        <w:rPr>
          <w:rFonts w:hint="eastAsia" w:ascii="宋体" w:hAnsi="宋体" w:eastAsia="宋体" w:cs="宋体"/>
          <w:bCs/>
          <w:sz w:val="24"/>
          <w:szCs w:val="24"/>
          <w:highlight w:val="none"/>
          <w:lang w:val="en-US" w:eastAsia="zh-CN"/>
        </w:rPr>
        <w:t>2</w:t>
      </w:r>
      <w:r>
        <w:rPr>
          <w:rFonts w:hint="default" w:ascii="宋体" w:hAnsi="宋体" w:eastAsia="宋体" w:cs="宋体"/>
          <w:bCs/>
          <w:sz w:val="24"/>
          <w:szCs w:val="24"/>
          <w:highlight w:val="none"/>
          <w:lang w:val="en-US" w:eastAsia="zh-CN"/>
        </w:rPr>
        <w:t>小时内到达现场。修复时间 24 小时内解决；如在24 小时内无法修复，则提供部件冗余服务或采取应急措施，提供相同产品或不低于故障产品规格档次的备用产品供采购人使用，以确保货物的正常使用。</w:t>
      </w:r>
    </w:p>
    <w:p w14:paraId="420D17D0">
      <w:pPr>
        <w:pageBreakBefore w:val="0"/>
        <w:numPr>
          <w:ilvl w:val="0"/>
          <w:numId w:val="0"/>
        </w:numPr>
        <w:bidi w:val="0"/>
        <w:spacing w:line="360" w:lineRule="auto"/>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8、</w:t>
      </w:r>
      <w:r>
        <w:rPr>
          <w:rFonts w:hint="default" w:ascii="宋体" w:hAnsi="宋体" w:eastAsia="宋体" w:cs="宋体"/>
          <w:bCs/>
          <w:sz w:val="24"/>
          <w:szCs w:val="24"/>
          <w:highlight w:val="none"/>
          <w:lang w:val="en-US" w:eastAsia="zh-CN"/>
        </w:rPr>
        <w:t>违约责任及解决争议的方法</w:t>
      </w:r>
    </w:p>
    <w:p w14:paraId="42B8A17A">
      <w:pPr>
        <w:pageBreakBefore w:val="0"/>
        <w:numPr>
          <w:ilvl w:val="0"/>
          <w:numId w:val="0"/>
        </w:numPr>
        <w:bidi w:val="0"/>
        <w:spacing w:line="360" w:lineRule="auto"/>
        <w:rPr>
          <w:rFonts w:hint="default" w:ascii="宋体" w:hAnsi="宋体" w:eastAsia="宋体" w:cs="宋体"/>
          <w:bCs/>
          <w:sz w:val="24"/>
          <w:szCs w:val="24"/>
          <w:highlight w:val="none"/>
          <w:lang w:val="en-US" w:eastAsia="zh-CN"/>
        </w:rPr>
      </w:pPr>
      <w:r>
        <w:rPr>
          <w:rFonts w:hint="default" w:ascii="宋体" w:hAnsi="宋体" w:eastAsia="宋体" w:cs="宋体"/>
          <w:bCs/>
          <w:sz w:val="24"/>
          <w:szCs w:val="24"/>
          <w:highlight w:val="none"/>
          <w:lang w:val="en-US" w:eastAsia="zh-CN"/>
        </w:rPr>
        <w:t>中标/成交供应商所交付货物不符合其投标承诺，存在偷工减料、以次充好情形的，采购人要求更换一次后仍不符合约定的，采购人有权解除采购合同，没收履约保证金，并将有关情况上报政府采购监管部门处理。</w:t>
      </w:r>
    </w:p>
    <w:p w14:paraId="70DDBA86">
      <w:pPr>
        <w:pageBreakBefore w:val="0"/>
        <w:numPr>
          <w:ilvl w:val="0"/>
          <w:numId w:val="0"/>
        </w:numPr>
        <w:bidi w:val="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9、付款方式：全部货物交付至采购人指定地点，完成安装、调试并通过最终验收合格后，采购人于收到成交供应商开具的合法有效发票之日起【15个工作日内】一次性支付合同总价款的100%。质保期为1年，自验收合格通过之日起计算。</w:t>
      </w:r>
    </w:p>
    <w:p w14:paraId="42B0A76E">
      <w:pPr>
        <w:pageBreakBefore w:val="0"/>
        <w:numPr>
          <w:ilvl w:val="0"/>
          <w:numId w:val="0"/>
        </w:numPr>
        <w:bidi w:val="0"/>
        <w:spacing w:line="360" w:lineRule="auto"/>
        <w:rPr>
          <w:rFonts w:hint="eastAsia" w:ascii="宋体" w:hAnsi="宋体" w:eastAsia="宋体" w:cs="宋体"/>
          <w:bCs/>
          <w:sz w:val="24"/>
          <w:szCs w:val="24"/>
          <w:highlight w:val="none"/>
          <w:lang w:val="en-US" w:eastAsia="zh-CN"/>
        </w:rPr>
        <w:sectPr>
          <w:pgSz w:w="11905" w:h="16837"/>
          <w:pgMar w:top="1712" w:right="1418" w:bottom="1712" w:left="1418" w:header="851" w:footer="1247" w:gutter="0"/>
          <w:cols w:space="720" w:num="1"/>
          <w:docGrid w:linePitch="312" w:charSpace="0"/>
        </w:sectPr>
      </w:pPr>
      <w:r>
        <w:rPr>
          <w:rFonts w:hint="eastAsia" w:ascii="宋体" w:hAnsi="宋体" w:eastAsia="宋体" w:cs="宋体"/>
          <w:bCs/>
          <w:sz w:val="24"/>
          <w:szCs w:val="24"/>
          <w:highlight w:val="none"/>
          <w:lang w:val="en-US" w:eastAsia="zh-CN"/>
        </w:rPr>
        <w:t>10、退换召回：若产品出现质量问题，供应商应当无条件退换并承担所有的费用、纠纷、</w:t>
      </w:r>
    </w:p>
    <w:p w14:paraId="2E727D00">
      <w:pPr>
        <w:pageBreakBefore w:val="0"/>
        <w:numPr>
          <w:ilvl w:val="0"/>
          <w:numId w:val="0"/>
        </w:numPr>
        <w:bidi w:val="0"/>
        <w:spacing w:line="360" w:lineRule="auto"/>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赔偿及其他责任。</w:t>
      </w:r>
    </w:p>
    <w:p w14:paraId="78AB00E1">
      <w:pPr>
        <w:pStyle w:val="17"/>
        <w:keepNext w:val="0"/>
        <w:keepLines w:val="0"/>
        <w:pageBreakBefore w:val="0"/>
        <w:widowControl/>
        <w:numPr>
          <w:ilvl w:val="0"/>
          <w:numId w:val="4"/>
        </w:numPr>
        <w:kinsoku/>
        <w:wordWrap/>
        <w:overflowPunct/>
        <w:topLinePunct w:val="0"/>
        <w:autoSpaceDE/>
        <w:autoSpaceDN/>
        <w:bidi w:val="0"/>
        <w:adjustRightInd/>
        <w:snapToGrid/>
        <w:spacing w:beforeAutospacing="0" w:afterAutospacing="0" w:line="360" w:lineRule="auto"/>
        <w:ind w:firstLine="0"/>
        <w:jc w:val="both"/>
        <w:textAlignment w:val="auto"/>
        <w:outlineLvl w:val="0"/>
        <w:rPr>
          <w:rFonts w:hint="eastAsia" w:eastAsia="宋体" w:cs="宋体"/>
          <w:b/>
          <w:bCs/>
          <w:kern w:val="2"/>
          <w:sz w:val="32"/>
          <w:szCs w:val="32"/>
          <w:highlight w:val="none"/>
          <w:lang w:val="en-US" w:eastAsia="zh-CN"/>
        </w:rPr>
      </w:pPr>
      <w:r>
        <w:rPr>
          <w:rFonts w:hint="eastAsia" w:eastAsia="宋体" w:cs="宋体"/>
          <w:b/>
          <w:bCs/>
          <w:kern w:val="2"/>
          <w:sz w:val="32"/>
          <w:szCs w:val="32"/>
          <w:highlight w:val="none"/>
          <w:lang w:val="en-US" w:eastAsia="zh-CN"/>
        </w:rPr>
        <w:t>采购内容</w:t>
      </w:r>
    </w:p>
    <w:p w14:paraId="59D7272E">
      <w:pPr>
        <w:pStyle w:val="17"/>
        <w:keepNext w:val="0"/>
        <w:keepLines w:val="0"/>
        <w:pageBreakBefore w:val="0"/>
        <w:widowControl/>
        <w:kinsoku/>
        <w:wordWrap/>
        <w:overflowPunct/>
        <w:topLinePunct w:val="0"/>
        <w:autoSpaceDE/>
        <w:autoSpaceDN/>
        <w:bidi w:val="0"/>
        <w:adjustRightInd/>
        <w:snapToGrid/>
        <w:spacing w:beforeAutospacing="0" w:afterAutospacing="0" w:line="360" w:lineRule="auto"/>
        <w:ind w:firstLine="0"/>
        <w:jc w:val="both"/>
        <w:textAlignment w:val="auto"/>
        <w:outlineLvl w:val="0"/>
        <w:rPr>
          <w:rFonts w:hint="eastAsia" w:eastAsia="宋体" w:cs="宋体"/>
          <w:b/>
          <w:bCs/>
          <w:kern w:val="2"/>
          <w:sz w:val="24"/>
          <w:szCs w:val="24"/>
          <w:highlight w:val="none"/>
          <w:lang w:val="en-US" w:eastAsia="zh-CN"/>
        </w:rPr>
      </w:pPr>
      <w:r>
        <w:rPr>
          <w:rFonts w:hint="eastAsia" w:eastAsia="宋体" w:cs="宋体"/>
          <w:b/>
          <w:bCs/>
          <w:kern w:val="2"/>
          <w:sz w:val="24"/>
          <w:szCs w:val="24"/>
          <w:highlight w:val="none"/>
          <w:lang w:val="en-US" w:eastAsia="zh-CN"/>
        </w:rPr>
        <w:t>注：本谈判文件中标注</w:t>
      </w:r>
      <w:r>
        <w:rPr>
          <w:rFonts w:hint="eastAsia" w:ascii="宋体" w:hAnsi="宋体" w:eastAsia="宋体" w:cs="宋体"/>
          <w:b/>
          <w:bCs/>
          <w:kern w:val="2"/>
          <w:sz w:val="24"/>
          <w:szCs w:val="24"/>
          <w:highlight w:val="none"/>
          <w:lang w:val="en-US" w:eastAsia="zh-CN"/>
        </w:rPr>
        <w:t>“*”</w:t>
      </w:r>
      <w:r>
        <w:rPr>
          <w:rFonts w:hint="eastAsia" w:eastAsia="宋体" w:cs="宋体"/>
          <w:b/>
          <w:bCs/>
          <w:kern w:val="2"/>
          <w:sz w:val="24"/>
          <w:szCs w:val="24"/>
          <w:highlight w:val="none"/>
          <w:lang w:val="en-US" w:eastAsia="zh-CN"/>
        </w:rPr>
        <w:t>的条款为实质性要求和条件，供应商须完全满足或提供更优响应。对</w:t>
      </w:r>
      <w:r>
        <w:rPr>
          <w:rFonts w:hint="eastAsia" w:ascii="宋体" w:hAnsi="宋体" w:eastAsia="宋体" w:cs="宋体"/>
          <w:b/>
          <w:bCs/>
          <w:kern w:val="2"/>
          <w:sz w:val="24"/>
          <w:szCs w:val="24"/>
          <w:highlight w:val="none"/>
          <w:lang w:val="en-US" w:eastAsia="zh-CN"/>
        </w:rPr>
        <w:t>于“*”项</w:t>
      </w:r>
      <w:r>
        <w:rPr>
          <w:rFonts w:hint="eastAsia" w:eastAsia="宋体" w:cs="宋体"/>
          <w:b/>
          <w:bCs/>
          <w:kern w:val="2"/>
          <w:sz w:val="24"/>
          <w:szCs w:val="24"/>
          <w:highlight w:val="none"/>
          <w:lang w:val="en-US" w:eastAsia="zh-CN"/>
        </w:rPr>
        <w:t>参数，任何负偏离（包括不满足、部分满足或未提供有效证明材料）都将导致其投标被否决，按无效投标处理。</w:t>
      </w:r>
    </w:p>
    <w:tbl>
      <w:tblPr>
        <w:tblStyle w:val="21"/>
        <w:tblW w:w="0" w:type="auto"/>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18"/>
        <w:gridCol w:w="2929"/>
        <w:gridCol w:w="618"/>
        <w:gridCol w:w="618"/>
        <w:gridCol w:w="8539"/>
      </w:tblGrid>
      <w:tr w14:paraId="7F4143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0" w:type="auto"/>
            <w:gridSpan w:val="5"/>
            <w:tcBorders>
              <w:top w:val="nil"/>
              <w:left w:val="nil"/>
              <w:bottom w:val="nil"/>
              <w:right w:val="nil"/>
            </w:tcBorders>
            <w:shd w:val="clear" w:color="auto" w:fill="auto"/>
            <w:noWrap/>
            <w:vAlign w:val="center"/>
          </w:tcPr>
          <w:p w14:paraId="381D831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p>
        </w:tc>
      </w:tr>
      <w:tr w14:paraId="502B56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9601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94EA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设备名称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4BCC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BBF1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C331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参数</w:t>
            </w:r>
          </w:p>
        </w:tc>
      </w:tr>
      <w:tr w14:paraId="21CC40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AFA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2CB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洗胃机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9A7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B5F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2A507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1.自控：冲液量为250～350ml/次</w:t>
            </w:r>
          </w:p>
          <w:p w14:paraId="574EAEF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吸液量为300～450ml/次</w:t>
            </w:r>
          </w:p>
          <w:p w14:paraId="2DFDBA1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注：自控吸液量应大于自控冲液量，但每次不应大于150ml</w:t>
            </w:r>
          </w:p>
          <w:p w14:paraId="090C577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2.液量平衡：冲液量减少至100～200ml/次</w:t>
            </w:r>
          </w:p>
          <w:p w14:paraId="26DD6B2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3.噪声：≤65dB(A)</w:t>
            </w:r>
          </w:p>
        </w:tc>
      </w:tr>
      <w:tr w14:paraId="26CEB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BA1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F3E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吸痰装置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A15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593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AF284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1、极限负压值：≥0.08MPa (600mmHg)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2、负压调节范围：0.02MPa(150mmHg)～极限负压值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3、抽气速率：≥20 L/min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4、噪声：≤65 dB(A)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5、贮液瓶：≥1000mL（PC 塑料）</w:t>
            </w:r>
          </w:p>
        </w:tc>
      </w:tr>
      <w:tr w14:paraId="59E94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9D1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3B8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紫外线消毒车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CF8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1E1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29AB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消毒灯车由紫外线杀菌灯、紫外线灯箱、控制箱、电源线、底座、万向轮等组成;紫外线灯箱箱体尺寸：11.8*9.6*100（cm）；控制箱尺寸：12*12*400（cm）；底座尺寸：29*23*2.5（cm），底座离地高度：5（cm）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灯臂展开式结构，为臂展角可调，灯臂可调节(范围：0-180℃)，可360度全方位消毒。静态适用面积：≥30㎡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输入功率(VA)：2×30W，带有定时开关功能。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启动特性：在额定电压为180V时，应能在1min内起动。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外壳漏电流：正常使用时外壳的对地电压不超过交流30V</w:t>
            </w:r>
          </w:p>
        </w:tc>
      </w:tr>
      <w:tr w14:paraId="5B24C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246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E02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空气消毒机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B7E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9BE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B865F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1.适用范围：该产品主要适用于医疗卫生机构、病原微生物实验室、有卫生要求的生产车间、公共场所、学校、托幼机构等场所。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2.消毒方式：可在有人状态下进行连续动态消毒，也可在无人条件下使用；对人及物品没有任何伤害。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3.机壳采用阻燃抗紫外复合材料ABS工程塑料。</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4.采用移动式安装方式，配备医用静音脚轮。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5.电源电压：~220V±22V  50Hz±1 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6.产品具有报警功能：紫外线灯管故障报警、过滤网维护清洗报警、风机故障报警。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7.风速高中低可调；风向多角度可调。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8.自带紫外线故障检测功能和紫外线强度显示功能，灯管损坏时自动提醒。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9.机器微电脑程控自动运行，有三种消毒模式可供选择；一、手动常开消毒模式；二、手动定时消毒模式；三、程控定时自动消毒模式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10.采用液晶显示屏，远程红外遥控，可实时显示北京时间，定时时间、定时时间段；可分别查看紫外线灯管累计工作时间和滤网累计时间。</w:t>
            </w:r>
          </w:p>
        </w:tc>
      </w:tr>
      <w:tr w14:paraId="51B25E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FA7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2F3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红光治疗仪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E86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8EB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AF0F0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 支架 可折叠360度简易支架；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 光源 半导体固态集成式芯片冷光源系统；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 光组织穿透深度 ≥15mm以上；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 光源输出 双透镜聚光输出，光束能量强、均匀；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 输出 波长620nm-640nm；中心波长630nm,±10nm；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 光功率 2W-12W；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 功率档位调节 1-10级可调节；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 光功率密度 （光源表面测量）&gt;7000mW/c㎡,输出窗口处800mW/c㎡,离照部位5cm处255mW/c㎡；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 光斑面积 距离窗口5cm处的光斑直径14cm（面积大于155cm2）;距离窗口7cm处的光斑直径18cm（面积大于240cm2）；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 操作界面 数码管按键控制，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 治疗定时时间 0-60分钟任意可调，五分钟一档；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 适用范围 消炎、止痛；对疖、痈、带状疱疹、乳腺，皮肤科，妇科，外科，内科，烧伤科，耳鼻喉科等其它科室；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 升降装置可调高度 可升降、旋转，自平衡式支架臂长≥80cm,最高照射高度≥170cm，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横向展开长度≥120cm，展开范围内任意角度定位；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 旋转角度 ≤360°；</w:t>
            </w:r>
          </w:p>
        </w:tc>
      </w:tr>
      <w:tr w14:paraId="56958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F22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ABE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全自动生化分析仪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96F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458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0C20F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 仪器类型：分立式全自动生化分析仪；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 最小反应体积≤100µl；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 .样本量：1.2</w:t>
            </w:r>
            <w:r>
              <w:rPr>
                <w:rFonts w:ascii="Calibri" w:hAnsi="Calibri" w:eastAsia="宋体" w:cs="Calibri"/>
                <w:i w:val="0"/>
                <w:iCs w:val="0"/>
                <w:color w:val="000000"/>
                <w:kern w:val="0"/>
                <w:sz w:val="20"/>
                <w:szCs w:val="20"/>
                <w:u w:val="none"/>
                <w:lang w:val="en-US" w:eastAsia="zh-CN" w:bidi="ar"/>
              </w:rPr>
              <w:t>μ</w:t>
            </w:r>
            <w:r>
              <w:rPr>
                <w:rFonts w:hint="eastAsia" w:ascii="宋体" w:hAnsi="宋体" w:eastAsia="宋体" w:cs="宋体"/>
                <w:i w:val="0"/>
                <w:iCs w:val="0"/>
                <w:color w:val="000000"/>
                <w:kern w:val="0"/>
                <w:sz w:val="20"/>
                <w:szCs w:val="20"/>
                <w:u w:val="none"/>
                <w:lang w:val="en-US" w:eastAsia="zh-CN" w:bidi="ar"/>
              </w:rPr>
              <w:t>L至35</w:t>
            </w:r>
            <w:r>
              <w:rPr>
                <w:rFonts w:ascii="Calibri" w:hAnsi="Calibri" w:eastAsia="宋体" w:cs="Calibri"/>
                <w:i w:val="0"/>
                <w:iCs w:val="0"/>
                <w:color w:val="000000"/>
                <w:kern w:val="0"/>
                <w:sz w:val="20"/>
                <w:szCs w:val="20"/>
                <w:u w:val="none"/>
                <w:lang w:val="en-US" w:eastAsia="zh-CN" w:bidi="ar"/>
              </w:rPr>
              <w:t>μ</w:t>
            </w:r>
            <w:r>
              <w:rPr>
                <w:rFonts w:hint="eastAsia" w:ascii="宋体" w:hAnsi="宋体" w:eastAsia="宋体" w:cs="宋体"/>
                <w:i w:val="0"/>
                <w:iCs w:val="0"/>
                <w:color w:val="000000"/>
                <w:kern w:val="0"/>
                <w:sz w:val="20"/>
                <w:szCs w:val="20"/>
                <w:u w:val="none"/>
                <w:lang w:val="en-US" w:eastAsia="zh-CN" w:bidi="ar"/>
              </w:rPr>
              <w:t>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 样本位≥80个；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 温控方式：非水浴温控；光学系统：后分光系统；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 比色杯的清洗：支持自动八针八步温水清洗；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 波长：340至800nm，≥12个波长；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 可同时分析项目≥84个（生化≥78个、ISE≥3个、血清指数≥3个）；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 测试原理：支持比色法、比浊法；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 分析方法：支持终点法、动力学法；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 试剂位≥80个；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 比色杯数量：≥80个；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 操作系统：全中文操作界面；</w:t>
            </w:r>
          </w:p>
        </w:tc>
      </w:tr>
      <w:tr w14:paraId="6B55C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9F7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736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全自动血细胞分析仪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DAF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0CD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69914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1、检测原理：白细胞三分群，阻抗法检测WBC、RBC、PLT，比色法测量HGB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2、测试项目：≥22项参数，3个直方图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3、检测速度：≥70个样本/小时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4、样本用量：静脉全血/末梢全血≤8.5</w:t>
            </w:r>
            <w:r>
              <w:rPr>
                <w:rFonts w:hint="default" w:ascii="Calibri" w:hAnsi="Calibri" w:eastAsia="宋体" w:cs="Calibri"/>
                <w:i w:val="0"/>
                <w:iCs w:val="0"/>
                <w:color w:val="000000"/>
                <w:kern w:val="0"/>
                <w:sz w:val="20"/>
                <w:szCs w:val="20"/>
                <w:u w:val="none"/>
                <w:lang w:val="en-US" w:eastAsia="zh-CN" w:bidi="ar"/>
              </w:rPr>
              <w:t>μ</w:t>
            </w:r>
            <w:r>
              <w:rPr>
                <w:rFonts w:hint="eastAsia" w:ascii="宋体" w:hAnsi="宋体" w:eastAsia="宋体" w:cs="宋体"/>
                <w:i w:val="0"/>
                <w:iCs w:val="0"/>
                <w:color w:val="000000"/>
                <w:kern w:val="0"/>
                <w:sz w:val="20"/>
                <w:szCs w:val="20"/>
                <w:u w:val="none"/>
                <w:lang w:val="en-US" w:eastAsia="zh-CN" w:bidi="ar"/>
              </w:rPr>
              <w:t>L，预稀释末梢血≤20</w:t>
            </w:r>
            <w:r>
              <w:rPr>
                <w:rFonts w:hint="default" w:ascii="Calibri" w:hAnsi="Calibri" w:eastAsia="宋体" w:cs="Calibri"/>
                <w:i w:val="0"/>
                <w:iCs w:val="0"/>
                <w:color w:val="000000"/>
                <w:kern w:val="0"/>
                <w:sz w:val="20"/>
                <w:szCs w:val="20"/>
                <w:u w:val="none"/>
                <w:lang w:val="en-US" w:eastAsia="zh-CN" w:bidi="ar"/>
              </w:rPr>
              <w:t>μ</w:t>
            </w:r>
            <w:r>
              <w:rPr>
                <w:rFonts w:hint="eastAsia" w:ascii="宋体" w:hAnsi="宋体" w:eastAsia="宋体" w:cs="宋体"/>
                <w:i w:val="0"/>
                <w:iCs w:val="0"/>
                <w:color w:val="000000"/>
                <w:kern w:val="0"/>
                <w:sz w:val="20"/>
                <w:szCs w:val="20"/>
                <w:u w:val="none"/>
                <w:lang w:val="en-US" w:eastAsia="zh-CN" w:bidi="ar"/>
              </w:rPr>
              <w:t>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5、屏幕显示：≥10.4英寸彩色触摸屏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6、溶血剂内置：溶血剂可放置于仪器内部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7、试剂种类：仪器测试时，只使用溶血剂与稀释液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8、试剂预热功能：具有稀释液加热功能，使溶血反应温控在25℃左右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9、浮动界标技术：采用浮动界标技术辅助白细胞分类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10、测试数据储存：≥80万个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11、线性范围：WBC：（0～300）×109/L，RBC：（0～8.00）×1012/L，HGB：（0 ～280）g/L，PLT：（0～4000）×109/L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12、精密度：WBC≤2.0%；RBC≤1.5%；HGB≤1.5%；PLT≤4.0%；MCV≤1.0%；HCT≤2.0%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13、携带污染率：WBC≤0.5%，RBC≤0.5%，HGB≤0.6%，PLT≤1.0%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14、维护与保养：采样针自动清洗、液路定时自动清洗维护；具备高压灼烧、正负压反冲、浸泡及智能反冲的排堵功能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15、校准与质控：三种测试模式各自独立的校准系统；具备自动校准模式；具备L-J、X、X-B、X-R质控模式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16、单位转换：WBC、RBC、PLT、HGB具有两种单位转换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17、异常报警：参数异常报警、试剂检测报警、异常细胞提示报警、故障提示报警、分析系统自我诊断故障提示；能提供一键消除故障的功能</w:t>
            </w:r>
          </w:p>
        </w:tc>
      </w:tr>
      <w:tr w14:paraId="3F09C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E55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121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便携式尿液分析仪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C31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C99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08722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1、测定原理：反射光电比色法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2、测定速度：≥500条/小时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3、可测项目：白细胞、酮体、亚硝酸盐、尿胆原、胆红素、尿蛋白、葡萄糖、比重、隐血、pH、维生素C、肌酐、尿钙、微白蛋白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4、工作方式：可选择单条测试或连续测试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5、显示：≥5.7英寸触摸液晶显示屏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6、仪器能准确感应尿试纸条的数量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7、自动卸条功能：能自动将测试过的试纸条卸到废料盒内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8、重复性：分析仪反射率测试结果的变异系数≤0.8%</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9、稳定性：分析仪开机8h内，反射率测试结果的变异系数≤0.8%</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10、携带污染：检测除比重和PH外各测试项目最高浓度结果的阳性样本，随后检测阴性样本，阴性样本的结果不得出阳性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11、打印：内置热敏打印机打印测试结果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12、故障识别功能：能自动识别打印机错误、测试项目不正确等故障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13、仪器能自动感应试纸条，将感应到得试纸条送入仪器内部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14、条形码识别：可选配条形码扫描器识别条形码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15、存储功能：≥9000个测量结果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16、校准功能：仪器配有试纸条校准功能</w:t>
            </w:r>
          </w:p>
        </w:tc>
      </w:tr>
      <w:tr w14:paraId="7A844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DC3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C89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离心机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34D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467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3EA8D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主要技术数据: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①串激整流子电动机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A.工作电压:200V+2%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B.输入功率:320VA±15%380VA+15%C.频率:50HZ D.转速范围:0-4000转/分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②塑料无刻度护管6、12支</w:t>
            </w:r>
          </w:p>
        </w:tc>
      </w:tr>
      <w:tr w14:paraId="1B5151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153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ED1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电解质分析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4C9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3B7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A911F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1、测量方法：离子选择性电极法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2、分析项目：K+、Na+、Cl-、iCa2+、pH，计算项目：nCa2+、TCa2+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3、仪器测量精度：0.01mmol/L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4、分析速度：50秒/样本</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5、样本量：80</w:t>
            </w:r>
            <w:r>
              <w:rPr>
                <w:rFonts w:hint="default" w:ascii="Calibri" w:hAnsi="Calibri" w:eastAsia="宋体" w:cs="Calibri"/>
                <w:i w:val="0"/>
                <w:iCs w:val="0"/>
                <w:color w:val="000000"/>
                <w:kern w:val="0"/>
                <w:sz w:val="20"/>
                <w:szCs w:val="20"/>
                <w:u w:val="none"/>
                <w:lang w:val="en-US" w:eastAsia="zh-CN" w:bidi="ar"/>
              </w:rPr>
              <w:t>μ</w:t>
            </w:r>
            <w:r>
              <w:rPr>
                <w:rFonts w:hint="eastAsia" w:ascii="宋体" w:hAnsi="宋体" w:eastAsia="宋体" w:cs="宋体"/>
                <w:i w:val="0"/>
                <w:iCs w:val="0"/>
                <w:color w:val="000000"/>
                <w:kern w:val="0"/>
                <w:sz w:val="20"/>
                <w:szCs w:val="20"/>
                <w:u w:val="none"/>
                <w:lang w:val="en-US" w:eastAsia="zh-CN" w:bidi="ar"/>
              </w:rPr>
              <w:t>L--150</w:t>
            </w:r>
            <w:r>
              <w:rPr>
                <w:rFonts w:hint="default" w:ascii="Calibri" w:hAnsi="Calibri" w:eastAsia="宋体" w:cs="Calibri"/>
                <w:i w:val="0"/>
                <w:iCs w:val="0"/>
                <w:color w:val="000000"/>
                <w:kern w:val="0"/>
                <w:sz w:val="20"/>
                <w:szCs w:val="20"/>
                <w:u w:val="none"/>
                <w:lang w:val="en-US" w:eastAsia="zh-CN" w:bidi="ar"/>
              </w:rPr>
              <w:t>μ</w:t>
            </w:r>
            <w:r>
              <w:rPr>
                <w:rFonts w:hint="eastAsia" w:ascii="宋体" w:hAnsi="宋体" w:eastAsia="宋体" w:cs="宋体"/>
                <w:i w:val="0"/>
                <w:iCs w:val="0"/>
                <w:color w:val="000000"/>
                <w:kern w:val="0"/>
                <w:sz w:val="20"/>
                <w:szCs w:val="20"/>
                <w:u w:val="none"/>
                <w:lang w:val="en-US" w:eastAsia="zh-CN" w:bidi="ar"/>
              </w:rPr>
              <w:t>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6、存储量：10000个，存满后可自动刷新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7、定标方式：手动、自动两点定标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8、质控功能：≥3个水平的质控设置和测试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9、打印方式：内置热敏打印机；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10、通讯接口：RS232通讯接口、USB接口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20、供水：进水压：1.5 ～ 6.0 bar，进水温度：5℃ ～ 30℃，最大的废液管高度1米。</w:t>
            </w:r>
          </w:p>
        </w:tc>
      </w:tr>
      <w:tr w14:paraId="757EA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A43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9A5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医用冷藏箱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748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BE6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2BB4E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底脚 可调节螺钉，脚轮可选</w:t>
            </w:r>
          </w:p>
          <w:p w14:paraId="011BC73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箱内灯 内设照明灯，单独开关。</w:t>
            </w:r>
          </w:p>
          <w:p w14:paraId="664B685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温控器 电子温控器，温度0.1度可调。</w:t>
            </w:r>
          </w:p>
          <w:p w14:paraId="755D761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报警 高低温报警（报警温度可设定）、断电报警、开门报警，传感器故障报警，传感器故障比例开停机；蜂鸣器和灯光闪烁报警。</w:t>
            </w:r>
          </w:p>
          <w:p w14:paraId="22A065D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门锁 安全门锁设计，防止随意开启</w:t>
            </w:r>
          </w:p>
          <w:p w14:paraId="396C5C3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前吹风防露 空气流动方向：进风口→冷凝器→冷凝风机→压缩机→下前罩→玻璃门表面</w:t>
            </w:r>
          </w:p>
          <w:p w14:paraId="13E79BC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 xml:space="preserve">底脚可调、脚轮可选 </w:t>
            </w:r>
          </w:p>
          <w:p w14:paraId="766E791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箱内温度范围 2～8℃</w:t>
            </w:r>
          </w:p>
          <w:p w14:paraId="48746C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制冷剂 R134a</w:t>
            </w:r>
          </w:p>
        </w:tc>
      </w:tr>
      <w:tr w14:paraId="0D52F6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BA4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906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DR打片机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B5A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671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F5EAD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打印技术：直接热敏成像（干式打印，明室操作）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空间分辨率：320dpi（12.6像素/mm）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打印速度：14″×17″≧50张/小时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8″×10″≧70张/小时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打印灰度： 14比特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送片方式：搓片式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胶片输入：2个供片盒，可容纳200张胶片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胶片尺寸：14″×17″、11″×14″、10″×12″8″×10″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接口：标准：10/100/1000Base-T以太网（RJ-45）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图像控制： 根据连接设备自动完成图像处理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控制面板：大屏幕背光LCD中文触摸显示屏，显示警报、故障及状态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电源：100-230VAC-50/60Hz，打印功率≤600W，待机功率≤75W</w:t>
            </w:r>
          </w:p>
        </w:tc>
      </w:tr>
      <w:tr w14:paraId="79174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62F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C54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身高体重血压一体机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285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615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FEABC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显示方式 采用液晶≥10寸显示系统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血压测量方式 压力:±3mmHg  脉搏数：±5%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血压：0-299mmhg(0-39.9ka)，脉博:40-180times/min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测量范围 身高：20－210cm          体重：1kg－500kg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精 确 度 身高：±0.5cm或±0.1cm   体重：±0.1kg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使用温湿度  -20-40℃  20%-85%RH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语音提示 测量过程提示及测量结果播报，可根据客户需求定制播报。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热敏自动打印 高速热敏打印机，换纸方便，可打印医疗卫生单位名称电话等。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体    型 国际通用体格指数（BMI)</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数据输出格式 支持各类常规输出方式。数据可上传电脑、手机、云服务器、医院系统和远程健康系统。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平均功耗 ≤20W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电击防护 I类B型设备</w:t>
            </w:r>
          </w:p>
        </w:tc>
      </w:tr>
      <w:tr w14:paraId="5FACF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D0D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B38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多功能牵引床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40C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2A3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8267B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1.输入功率：≤180VA；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2.使用电源：220V，50Hz；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3.数码管、按键操作；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4.牵引模式：颈椎牵引、腰椎牵引；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5.床板尺寸（长*宽*高）：1950mm*570mm*550mm，背板长度700mm，腿板长度1250mm；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6.内置8种牵引模式：持续式牵引模式、持续式上阶梯牵引模式、间歇式牵引模式、间歇式上阶梯牵引模式、间歇式上下阶梯牵引模式、反复式牵引模式、反复式上阶梯牵引模式、反复式上下阶梯牵引模式；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7.输出指示：在整个治疗过程中，所选择的牵引模式以及至少包括牵引力、牵引相时间、间歇相时间和治疗时间在内的输出参数，应在设备上连续显示；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8.牵引力：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(1)颈椎牵引力可调范围：0～300N，步长为1N，在牵引力调节至200N以上时，发出警告并要求操作者确认；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(2)腰椎牵引力可调范围：0～990N，步长为1N；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9.颈椎牵引渐进期和渐退期平均牵引力变化速率为60N/s；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10.腰椎牵引渐进期和渐退期平均牵引力变化速率为90N/s；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11.牵引补偿：由于外力作用而使患者端突然拉紧或松弛时，设备应自动恢复预设值；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12.设备具有牵引力实时监测功能，允差±30N；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13.治疗时间可调范围：0～99min，步长为1min；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14.牵引相时间可调范围：0～9min，步长为1min；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15.间歇相时间可调范围：0～9min，步长为1min；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16.设备具有紧急保护措施，在牵引治疗过程中，按下急退按键，可使牵引力松弛至初始状态；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17.行程范围：腰牵滑动行程范围为：0～200mm，颈牵滑动行程范围为：0～300mm；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18.承载：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(1)牵引用床能够承受的最大患者体重为180kg；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(2)牵引用椅能够承受的最大患者体重为180kg；</w:t>
            </w:r>
          </w:p>
        </w:tc>
      </w:tr>
      <w:tr w14:paraId="1B02CC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721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565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输液泵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C15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6F1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7F4CF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1.输液模式：容积模式、时间总量模式、微量模式、新生儿模式、药物体重模式共5种模式;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2.输液器规格：专用或标准一次性输液器（20和60滴/毫升,管径3.4～4.5mm）;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3.流速设定范围：0.1～1500ml/h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4.新生儿模式流速设定范围：0.1～50ml/h，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5.流速增量：0.1ml/h;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6.输液流速精度：≤±5%（标准输液器经校准后）;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7.预置量设定范围：0.1～99999.9ml；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8.新生儿模式预置量设备范围：0.1～100ml;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9.累计量显示范围：0～99999.9ml;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10.时间设置：00h01min～99h59min或＞99h59min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11.快排速度：20d/ml输液器:900ml/h；60d/ml输液器:150ml/h，显示已快排量；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12.KVO流速：0.1ml/h～5ml/h，可调;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13.不停机修改参数功能：在运行状态下，可修改输液参数;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14.双气泡检测功能：有上端、下端两个超声波气泡传感器;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15.累计气泡报警功能：15分钟内累计气泡达到500</w:t>
            </w:r>
            <w:r>
              <w:rPr>
                <w:rFonts w:hint="default" w:ascii="Calibri" w:hAnsi="Calibri" w:eastAsia="宋体" w:cs="Calibri"/>
                <w:i w:val="0"/>
                <w:iCs w:val="0"/>
                <w:color w:val="000000"/>
                <w:kern w:val="0"/>
                <w:sz w:val="20"/>
                <w:szCs w:val="20"/>
                <w:u w:val="none"/>
                <w:lang w:val="en-US" w:eastAsia="zh-CN" w:bidi="ar"/>
              </w:rPr>
              <w:t>μ</w:t>
            </w:r>
            <w:r>
              <w:rPr>
                <w:rFonts w:hint="eastAsia" w:ascii="宋体" w:hAnsi="宋体" w:eastAsia="宋体" w:cs="宋体"/>
                <w:i w:val="0"/>
                <w:iCs w:val="0"/>
                <w:color w:val="000000"/>
                <w:kern w:val="0"/>
                <w:sz w:val="20"/>
                <w:szCs w:val="20"/>
                <w:u w:val="none"/>
                <w:lang w:val="en-US" w:eastAsia="zh-CN" w:bidi="ar"/>
              </w:rPr>
              <w:t>1时应触发气泡报警;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16.气泡检测：可测≥25</w:t>
            </w:r>
            <w:r>
              <w:rPr>
                <w:rFonts w:hint="default" w:ascii="Calibri" w:hAnsi="Calibri" w:eastAsia="宋体" w:cs="Calibri"/>
                <w:i w:val="0"/>
                <w:iCs w:val="0"/>
                <w:color w:val="000000"/>
                <w:kern w:val="0"/>
                <w:sz w:val="20"/>
                <w:szCs w:val="20"/>
                <w:u w:val="none"/>
                <w:lang w:val="en-US" w:eastAsia="zh-CN" w:bidi="ar"/>
              </w:rPr>
              <w:t>μ</w:t>
            </w:r>
            <w:r>
              <w:rPr>
                <w:rFonts w:hint="eastAsia" w:ascii="宋体" w:hAnsi="宋体" w:eastAsia="宋体" w:cs="宋体"/>
                <w:i w:val="0"/>
                <w:iCs w:val="0"/>
                <w:color w:val="000000"/>
                <w:kern w:val="0"/>
                <w:sz w:val="20"/>
                <w:szCs w:val="20"/>
                <w:u w:val="none"/>
                <w:lang w:val="en-US" w:eastAsia="zh-CN" w:bidi="ar"/>
              </w:rPr>
              <w:t>l的气泡，25</w:t>
            </w:r>
            <w:r>
              <w:rPr>
                <w:rFonts w:hint="default" w:ascii="Calibri" w:hAnsi="Calibri" w:eastAsia="宋体" w:cs="Calibri"/>
                <w:i w:val="0"/>
                <w:iCs w:val="0"/>
                <w:color w:val="000000"/>
                <w:kern w:val="0"/>
                <w:sz w:val="20"/>
                <w:szCs w:val="20"/>
                <w:u w:val="none"/>
                <w:lang w:val="en-US" w:eastAsia="zh-CN" w:bidi="ar"/>
              </w:rPr>
              <w:t>μ</w:t>
            </w:r>
            <w:r>
              <w:rPr>
                <w:rFonts w:hint="eastAsia" w:ascii="宋体" w:hAnsi="宋体" w:eastAsia="宋体" w:cs="宋体"/>
                <w:i w:val="0"/>
                <w:iCs w:val="0"/>
                <w:color w:val="000000"/>
                <w:kern w:val="0"/>
                <w:sz w:val="20"/>
                <w:szCs w:val="20"/>
                <w:u w:val="none"/>
                <w:lang w:val="en-US" w:eastAsia="zh-CN" w:bidi="ar"/>
              </w:rPr>
              <w:t>l～300</w:t>
            </w:r>
            <w:r>
              <w:rPr>
                <w:rFonts w:hint="default" w:ascii="Calibri" w:hAnsi="Calibri" w:eastAsia="宋体" w:cs="Calibri"/>
                <w:i w:val="0"/>
                <w:iCs w:val="0"/>
                <w:color w:val="000000"/>
                <w:kern w:val="0"/>
                <w:sz w:val="20"/>
                <w:szCs w:val="20"/>
                <w:u w:val="none"/>
                <w:lang w:val="en-US" w:eastAsia="zh-CN" w:bidi="ar"/>
              </w:rPr>
              <w:t>μ</w:t>
            </w:r>
            <w:r>
              <w:rPr>
                <w:rFonts w:hint="eastAsia" w:ascii="宋体" w:hAnsi="宋体" w:eastAsia="宋体" w:cs="宋体"/>
                <w:i w:val="0"/>
                <w:iCs w:val="0"/>
                <w:color w:val="000000"/>
                <w:kern w:val="0"/>
                <w:sz w:val="20"/>
                <w:szCs w:val="20"/>
                <w:u w:val="none"/>
                <w:lang w:val="en-US" w:eastAsia="zh-CN" w:bidi="ar"/>
              </w:rPr>
              <w:t>l的气泡灵敏度分10档可调;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17.双压力检测功能：有上端、下端两个压力传感器;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18.启用上压力检测：上端压力传感器可选择打开或关闭；</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19.阻塞压力检测：下端压力检测范围：40KPa～130KPa，灵敏度10档可调，动态显示压力值变化情况；</w:t>
            </w:r>
          </w:p>
        </w:tc>
      </w:tr>
      <w:tr w14:paraId="3CDD0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CD7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787A02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颈椎牵引椅</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27F01D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418BB3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364529A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1.牵引椅由靠背、椅架、椅板(人造革、海绵、木板或金属板)、手轮、传动轴、钢丝绳、止退阀、牵引支架、测力计、颈椎牵引带组成。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2.牵引椅的外形应整齐，表面应光滑、洁净、无毛刺、缺陷及锈蚀痕迹;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3.牵引椅焊接处均匀、无砂眼、冷裂、漏焊现象:;靠背、椅架、椅板装配后应固定牢固，不得松动。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4.牵引椅电镀或涂层应牢固，不得有起泡、皱纹、剥落现象: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5.颈椎牵引带缝合应牢固，缝边要顺直，不得有跳针或跳线，不得有明显皱褶及浮线，搭扣应牢固。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6.牵引椅的手轮固定牢固、转动灵活，转动手轮不得出现滑扣现象，最大幅度连续拉动钢丝绳10次，不得出现脱轨现象。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7.牵引椅的传动轴应灵活、无脱轨、滑扣现象，止退杆使用方便，止退灵活。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牵引椅的静载荷能力:在椅板上放置100kg重物,历时6h，应平稳无晃动，牵引椅整体不得变形。4.2牵引椅最大牵引力，不小于10kg，牵引椅的钢丝绳、牵引带支架及牵引带吊钩载荷能力:牵引椅的牵引带吊钩拉起10kg重物，历时6h，牵引椅的钢丝绳不断裂、牵引带支架不得变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9.测力计误差±10%或1kg(取其大者)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10.止退阀要求:牵引椅的止退阀应动作可靠，动作后应立刻解除牵引装置的牵引力。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11.钢丝绳要求:牵引椅所用的钢丝绳展开长度应不小于2700mm。</w:t>
            </w:r>
          </w:p>
        </w:tc>
      </w:tr>
      <w:tr w14:paraId="1F61C6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E8656">
            <w:pPr>
              <w:keepNext w:val="0"/>
              <w:keepLines w:val="0"/>
              <w:widowControl/>
              <w:suppressLineNumbers w:val="0"/>
              <w:jc w:val="right"/>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17</w:t>
            </w:r>
          </w:p>
        </w:tc>
        <w:tc>
          <w:tcPr>
            <w:tcW w:w="0" w:type="auto"/>
            <w:tcBorders>
              <w:top w:val="single" w:color="000000" w:sz="4" w:space="0"/>
              <w:left w:val="single" w:color="000000" w:sz="4" w:space="0"/>
              <w:bottom w:val="single" w:color="auto" w:sz="4" w:space="0"/>
              <w:right w:val="single" w:color="000000" w:sz="4" w:space="0"/>
            </w:tcBorders>
            <w:shd w:val="clear" w:color="auto" w:fill="auto"/>
            <w:vAlign w:val="center"/>
          </w:tcPr>
          <w:p w14:paraId="00E8C8F8">
            <w:pPr>
              <w:keepNext w:val="0"/>
              <w:keepLines w:val="0"/>
              <w:widowControl/>
              <w:suppressLineNumbers w:val="0"/>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远程动态血压监测系统（多终端组网版）</w:t>
            </w:r>
          </w:p>
        </w:tc>
        <w:tc>
          <w:tcPr>
            <w:tcW w:w="0" w:type="auto"/>
            <w:tcBorders>
              <w:top w:val="single" w:color="000000" w:sz="4" w:space="0"/>
              <w:left w:val="single" w:color="000000" w:sz="4" w:space="0"/>
              <w:bottom w:val="single" w:color="auto" w:sz="4" w:space="0"/>
              <w:right w:val="single" w:color="000000" w:sz="4" w:space="0"/>
            </w:tcBorders>
            <w:shd w:val="clear" w:color="auto" w:fill="auto"/>
            <w:noWrap/>
            <w:vAlign w:val="center"/>
          </w:tcPr>
          <w:p w14:paraId="76EFD55E">
            <w:pPr>
              <w:keepNext w:val="0"/>
              <w:keepLines w:val="0"/>
              <w:widowControl/>
              <w:suppressLineNumbers w:val="0"/>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套</w:t>
            </w:r>
          </w:p>
        </w:tc>
        <w:tc>
          <w:tcPr>
            <w:tcW w:w="0" w:type="auto"/>
            <w:tcBorders>
              <w:top w:val="single" w:color="000000" w:sz="4" w:space="0"/>
              <w:left w:val="single" w:color="000000" w:sz="4" w:space="0"/>
              <w:bottom w:val="single" w:color="auto" w:sz="4" w:space="0"/>
              <w:right w:val="single" w:color="000000" w:sz="4" w:space="0"/>
            </w:tcBorders>
            <w:shd w:val="clear" w:color="auto" w:fill="auto"/>
            <w:noWrap/>
            <w:vAlign w:val="center"/>
          </w:tcPr>
          <w:p w14:paraId="4DD2E365">
            <w:pPr>
              <w:keepNext w:val="0"/>
              <w:keepLines w:val="0"/>
              <w:widowControl/>
              <w:suppressLineNumbers w:val="0"/>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auto" w:sz="4" w:space="0"/>
              <w:right w:val="single" w:color="000000" w:sz="4" w:space="0"/>
            </w:tcBorders>
            <w:shd w:val="clear" w:color="auto" w:fill="auto"/>
            <w:vAlign w:val="center"/>
          </w:tcPr>
          <w:p w14:paraId="51CAFDC6">
            <w:pPr>
              <w:keepNext w:val="0"/>
              <w:keepLines w:val="0"/>
              <w:widowControl/>
              <w:suppressLineNumbers w:val="0"/>
              <w:jc w:val="left"/>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1.检测原理：示波法；</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2.检测时间：≥24小时；</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3.测量范围：收缩压40-280mmHg、舒张压20-200mmHg、脉搏30-200bpm；</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4.测量精度:压力±2 mmHg，脉搏:±5%或±3bpm，取大者；</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5.最小显示单位: 压力1mmHg，脉率1bpm；</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6.卸压：自动放气阀；</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7.安全保护：当袖带压力超出299mmHg时，能自动卸压；</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8.急停保护：测量时，按快捷按钮可快速释放压力；</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9.自动补测：测量失败时，会自动补测一次；</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10.在室温20±10℃条件下，使用满电量电池连续测量血压次数可达到500次；</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11.测量方式：具有手动、自动测量方式，自动测量模式有3种间隔可选：自动间隔模式、手动间隔模式、时间表模式；</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12.可打印报告：有汇总表、血压数据表、直方图、饼图、趋势图、相关图；</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13.数据表可导入到excel中或直接生成pdf格式文档，转存到目标文件夹；</w:t>
            </w:r>
          </w:p>
        </w:tc>
      </w:tr>
      <w:tr w14:paraId="55DBC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92812">
            <w:pPr>
              <w:keepNext w:val="0"/>
              <w:keepLines w:val="0"/>
              <w:widowControl/>
              <w:suppressLineNumbers w:val="0"/>
              <w:jc w:val="right"/>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18</w:t>
            </w:r>
          </w:p>
        </w:tc>
        <w:tc>
          <w:tcPr>
            <w:tcW w:w="0" w:type="auto"/>
            <w:tcBorders>
              <w:top w:val="single" w:color="auto" w:sz="4" w:space="0"/>
              <w:left w:val="single" w:color="000000" w:sz="4" w:space="0"/>
              <w:bottom w:val="nil"/>
              <w:right w:val="single" w:color="000000" w:sz="4" w:space="0"/>
            </w:tcBorders>
            <w:shd w:val="clear" w:color="auto" w:fill="auto"/>
            <w:vAlign w:val="center"/>
          </w:tcPr>
          <w:p w14:paraId="31DB0AEE">
            <w:pPr>
              <w:keepNext w:val="0"/>
              <w:keepLines w:val="0"/>
              <w:widowControl/>
              <w:suppressLineNumbers w:val="0"/>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动态心电图监测系统（多终端组网款）</w:t>
            </w:r>
          </w:p>
        </w:tc>
        <w:tc>
          <w:tcPr>
            <w:tcW w:w="0" w:type="auto"/>
            <w:tcBorders>
              <w:top w:val="single" w:color="auto" w:sz="4" w:space="0"/>
              <w:left w:val="single" w:color="000000" w:sz="4" w:space="0"/>
              <w:bottom w:val="nil"/>
              <w:right w:val="single" w:color="000000" w:sz="4" w:space="0"/>
            </w:tcBorders>
            <w:shd w:val="clear" w:color="auto" w:fill="auto"/>
            <w:noWrap/>
            <w:vAlign w:val="center"/>
          </w:tcPr>
          <w:p w14:paraId="0FB0E5DC">
            <w:pPr>
              <w:keepNext w:val="0"/>
              <w:keepLines w:val="0"/>
              <w:widowControl/>
              <w:suppressLineNumbers w:val="0"/>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套</w:t>
            </w:r>
          </w:p>
        </w:tc>
        <w:tc>
          <w:tcPr>
            <w:tcW w:w="0" w:type="auto"/>
            <w:tcBorders>
              <w:top w:val="single" w:color="auto" w:sz="4" w:space="0"/>
              <w:left w:val="single" w:color="000000" w:sz="4" w:space="0"/>
              <w:bottom w:val="single" w:color="000000" w:sz="4" w:space="0"/>
              <w:right w:val="single" w:color="000000" w:sz="4" w:space="0"/>
            </w:tcBorders>
            <w:shd w:val="clear" w:color="auto" w:fill="auto"/>
            <w:noWrap/>
            <w:vAlign w:val="center"/>
          </w:tcPr>
          <w:p w14:paraId="494BB90B">
            <w:pPr>
              <w:keepNext w:val="0"/>
              <w:keepLines w:val="0"/>
              <w:widowControl/>
              <w:suppressLineNumbers w:val="0"/>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1</w:t>
            </w:r>
          </w:p>
        </w:tc>
        <w:tc>
          <w:tcPr>
            <w:tcW w:w="0" w:type="auto"/>
            <w:tcBorders>
              <w:top w:val="single" w:color="auto" w:sz="4" w:space="0"/>
              <w:left w:val="single" w:color="000000" w:sz="4" w:space="0"/>
              <w:bottom w:val="nil"/>
              <w:right w:val="single" w:color="000000" w:sz="4" w:space="0"/>
            </w:tcBorders>
            <w:shd w:val="clear" w:color="auto" w:fill="auto"/>
            <w:vAlign w:val="center"/>
          </w:tcPr>
          <w:p w14:paraId="0F2F9F07">
            <w:pPr>
              <w:keepNext w:val="0"/>
              <w:keepLines w:val="0"/>
              <w:widowControl/>
              <w:suppressLineNumbers w:val="0"/>
              <w:jc w:val="left"/>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1.采集方式：12通道, 12导联</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2.记录时间：24小时</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3.液晶屏幕：≥2寸高分辨率LCD(37mmx26mm), 显示1道波形, 记录时间</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4.电源：1节,  5号（AA）碱性电池</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5.导联线: 一体式, 10线专用导联线</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6.A/D位数：12位</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7.采样率：200Hz</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8.耐极化电压：±300mV</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9.共模抑制比：＞80dB</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10.幅度频率特性：0.1Hz～60Hz</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11.时间常数：≥3.2s</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12.最小检测信号：50</w:t>
            </w:r>
            <w:r>
              <w:rPr>
                <w:rFonts w:hint="default" w:ascii="Calibri" w:hAnsi="Calibri" w:eastAsia="宋体" w:cs="Calibri"/>
                <w:b w:val="0"/>
                <w:bCs w:val="0"/>
                <w:i w:val="0"/>
                <w:iCs w:val="0"/>
                <w:color w:val="000000"/>
                <w:kern w:val="0"/>
                <w:sz w:val="20"/>
                <w:szCs w:val="20"/>
                <w:u w:val="none"/>
                <w:lang w:val="en-US" w:eastAsia="zh-CN" w:bidi="ar"/>
              </w:rPr>
              <w:t>μ</w:t>
            </w:r>
            <w:r>
              <w:rPr>
                <w:rFonts w:hint="eastAsia" w:ascii="宋体" w:hAnsi="宋体" w:eastAsia="宋体" w:cs="宋体"/>
                <w:b w:val="0"/>
                <w:bCs w:val="0"/>
                <w:i w:val="0"/>
                <w:iCs w:val="0"/>
                <w:color w:val="000000"/>
                <w:kern w:val="0"/>
                <w:sz w:val="20"/>
                <w:szCs w:val="20"/>
                <w:u w:val="none"/>
                <w:lang w:val="en-US" w:eastAsia="zh-CN" w:bidi="ar"/>
              </w:rPr>
              <w:t>V</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13.输入电压动态范围：≥±4.5Mv</w:t>
            </w:r>
          </w:p>
        </w:tc>
      </w:tr>
      <w:tr w14:paraId="66039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1B4F7">
            <w:pPr>
              <w:keepNext w:val="0"/>
              <w:keepLines w:val="0"/>
              <w:widowControl/>
              <w:suppressLineNumbers w:val="0"/>
              <w:jc w:val="right"/>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19</w:t>
            </w:r>
          </w:p>
        </w:tc>
        <w:tc>
          <w:tcPr>
            <w:tcW w:w="0" w:type="auto"/>
            <w:tcBorders>
              <w:top w:val="single" w:color="000000" w:sz="4" w:space="0"/>
              <w:left w:val="single" w:color="000000" w:sz="4" w:space="0"/>
              <w:bottom w:val="single" w:color="auto" w:sz="4" w:space="0"/>
              <w:right w:val="single" w:color="000000" w:sz="4" w:space="0"/>
            </w:tcBorders>
            <w:shd w:val="clear" w:color="auto" w:fill="auto"/>
            <w:vAlign w:val="center"/>
          </w:tcPr>
          <w:p w14:paraId="3BC4DEA2">
            <w:pPr>
              <w:keepNext w:val="0"/>
              <w:keepLines w:val="0"/>
              <w:widowControl/>
              <w:suppressLineNumbers w:val="0"/>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肺功能检测仪（标准诊断款）</w:t>
            </w:r>
          </w:p>
        </w:tc>
        <w:tc>
          <w:tcPr>
            <w:tcW w:w="0" w:type="auto"/>
            <w:tcBorders>
              <w:top w:val="single" w:color="000000" w:sz="4" w:space="0"/>
              <w:left w:val="single" w:color="000000" w:sz="4" w:space="0"/>
              <w:bottom w:val="single" w:color="auto" w:sz="4" w:space="0"/>
              <w:right w:val="single" w:color="000000" w:sz="4" w:space="0"/>
            </w:tcBorders>
            <w:shd w:val="clear" w:color="auto" w:fill="auto"/>
            <w:noWrap/>
            <w:vAlign w:val="center"/>
          </w:tcPr>
          <w:p w14:paraId="271C64A8">
            <w:pPr>
              <w:keepNext w:val="0"/>
              <w:keepLines w:val="0"/>
              <w:widowControl/>
              <w:suppressLineNumbers w:val="0"/>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台</w:t>
            </w:r>
          </w:p>
        </w:tc>
        <w:tc>
          <w:tcPr>
            <w:tcW w:w="0" w:type="auto"/>
            <w:tcBorders>
              <w:top w:val="single" w:color="000000" w:sz="4" w:space="0"/>
              <w:left w:val="single" w:color="000000" w:sz="4" w:space="0"/>
              <w:bottom w:val="single" w:color="auto" w:sz="4" w:space="0"/>
              <w:right w:val="single" w:color="000000" w:sz="4" w:space="0"/>
            </w:tcBorders>
            <w:shd w:val="clear" w:color="auto" w:fill="auto"/>
            <w:noWrap/>
            <w:vAlign w:val="center"/>
          </w:tcPr>
          <w:p w14:paraId="5206FD47">
            <w:pPr>
              <w:keepNext w:val="0"/>
              <w:keepLines w:val="0"/>
              <w:widowControl/>
              <w:suppressLineNumbers w:val="0"/>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auto" w:sz="4" w:space="0"/>
              <w:right w:val="single" w:color="000000" w:sz="4" w:space="0"/>
            </w:tcBorders>
            <w:shd w:val="clear" w:color="auto" w:fill="auto"/>
            <w:vAlign w:val="center"/>
          </w:tcPr>
          <w:p w14:paraId="2A752630">
            <w:pPr>
              <w:keepNext w:val="0"/>
              <w:keepLines w:val="0"/>
              <w:widowControl/>
              <w:suppressLineNumbers w:val="0"/>
              <w:jc w:val="left"/>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1)测量FVC、FEV1、FEV1/FVC、PEF等参数，可通过测量值与预期值的比率显示测试者状况；</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2)进行用户信息设置；</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3)病例回顾功能；</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4)大容量病例存储，可存储9999条；</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5)六秒呼气时长指示功能；</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6)蓝牙、USB数据传输功能；</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7)定标功能，确保测试精度；</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8)电源及测试灯指示。</w:t>
            </w:r>
          </w:p>
        </w:tc>
      </w:tr>
      <w:tr w14:paraId="3E52A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3C056">
            <w:pPr>
              <w:keepNext w:val="0"/>
              <w:keepLines w:val="0"/>
              <w:widowControl/>
              <w:suppressLineNumbers w:val="0"/>
              <w:jc w:val="right"/>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20</w:t>
            </w:r>
          </w:p>
        </w:tc>
        <w:tc>
          <w:tcPr>
            <w:tcW w:w="0" w:type="auto"/>
            <w:tcBorders>
              <w:top w:val="single" w:color="auto" w:sz="4" w:space="0"/>
              <w:left w:val="single" w:color="000000" w:sz="4" w:space="0"/>
              <w:bottom w:val="single" w:color="auto" w:sz="4" w:space="0"/>
              <w:right w:val="single" w:color="000000" w:sz="4" w:space="0"/>
            </w:tcBorders>
            <w:shd w:val="clear" w:color="auto" w:fill="auto"/>
            <w:noWrap/>
            <w:vAlign w:val="center"/>
          </w:tcPr>
          <w:p w14:paraId="5AAA58CA">
            <w:pPr>
              <w:keepNext w:val="0"/>
              <w:keepLines w:val="0"/>
              <w:widowControl/>
              <w:suppressLineNumbers w:val="0"/>
              <w:jc w:val="left"/>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短波治疗仪</w:t>
            </w:r>
          </w:p>
        </w:tc>
        <w:tc>
          <w:tcPr>
            <w:tcW w:w="0" w:type="auto"/>
            <w:tcBorders>
              <w:top w:val="single" w:color="auto" w:sz="4" w:space="0"/>
              <w:left w:val="single" w:color="000000" w:sz="4" w:space="0"/>
              <w:bottom w:val="single" w:color="auto" w:sz="4" w:space="0"/>
              <w:right w:val="single" w:color="000000" w:sz="4" w:space="0"/>
            </w:tcBorders>
            <w:shd w:val="clear" w:color="auto" w:fill="auto"/>
            <w:noWrap/>
            <w:vAlign w:val="center"/>
          </w:tcPr>
          <w:p w14:paraId="104BB747">
            <w:pPr>
              <w:keepNext w:val="0"/>
              <w:keepLines w:val="0"/>
              <w:widowControl/>
              <w:suppressLineNumbers w:val="0"/>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台</w:t>
            </w:r>
          </w:p>
        </w:tc>
        <w:tc>
          <w:tcPr>
            <w:tcW w:w="0" w:type="auto"/>
            <w:tcBorders>
              <w:top w:val="single" w:color="auto" w:sz="4" w:space="0"/>
              <w:left w:val="single" w:color="000000" w:sz="4" w:space="0"/>
              <w:bottom w:val="single" w:color="auto" w:sz="4" w:space="0"/>
              <w:right w:val="single" w:color="000000" w:sz="4" w:space="0"/>
            </w:tcBorders>
            <w:shd w:val="clear" w:color="auto" w:fill="auto"/>
            <w:noWrap/>
            <w:vAlign w:val="center"/>
          </w:tcPr>
          <w:p w14:paraId="274F50FE">
            <w:pPr>
              <w:keepNext w:val="0"/>
              <w:keepLines w:val="0"/>
              <w:widowControl/>
              <w:suppressLineNumbers w:val="0"/>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1</w:t>
            </w:r>
          </w:p>
        </w:tc>
        <w:tc>
          <w:tcPr>
            <w:tcW w:w="0" w:type="auto"/>
            <w:tcBorders>
              <w:top w:val="single" w:color="auto" w:sz="4" w:space="0"/>
              <w:left w:val="single" w:color="000000" w:sz="4" w:space="0"/>
              <w:bottom w:val="single" w:color="auto" w:sz="4" w:space="0"/>
              <w:right w:val="single" w:color="000000" w:sz="4" w:space="0"/>
            </w:tcBorders>
            <w:shd w:val="clear" w:color="auto" w:fill="auto"/>
            <w:vAlign w:val="center"/>
          </w:tcPr>
          <w:p w14:paraId="0D3D2FB7">
            <w:pPr>
              <w:keepNext w:val="0"/>
              <w:keepLines w:val="0"/>
              <w:widowControl/>
              <w:suppressLineNumbers w:val="0"/>
              <w:jc w:val="left"/>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1、工作频率:主频为 27.12 MHz士 1.35 MHz</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36"/>
                <w:szCs w:val="36"/>
                <w:u w:val="none"/>
                <w:lang w:val="en-US" w:eastAsia="zh-CN" w:bidi="ar"/>
              </w:rPr>
              <w:t>*</w:t>
            </w:r>
            <w:r>
              <w:rPr>
                <w:rFonts w:hint="eastAsia" w:ascii="宋体" w:hAnsi="宋体" w:eastAsia="宋体" w:cs="宋体"/>
                <w:b w:val="0"/>
                <w:bCs w:val="0"/>
                <w:i w:val="0"/>
                <w:iCs w:val="0"/>
                <w:color w:val="000000"/>
                <w:kern w:val="0"/>
                <w:sz w:val="20"/>
                <w:szCs w:val="20"/>
                <w:u w:val="none"/>
                <w:lang w:val="en-US" w:eastAsia="zh-CN" w:bidi="ar"/>
              </w:rPr>
              <w:t>2、输入功率:800VA</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3、最大输出功率:200W士20%</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4、输出波形:连续波</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5、治疗时间:10分钟、15分钟、20分钟、25分钟、30分钟可调，误差不大于士1%，达到预设时间后自动停止输出。</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36"/>
                <w:szCs w:val="36"/>
                <w:u w:val="none"/>
                <w:lang w:val="en-US" w:eastAsia="zh-CN" w:bidi="ar"/>
              </w:rPr>
              <w:t>*</w:t>
            </w:r>
            <w:r>
              <w:rPr>
                <w:rFonts w:hint="eastAsia" w:ascii="宋体" w:hAnsi="宋体" w:eastAsia="宋体" w:cs="宋体"/>
                <w:b w:val="0"/>
                <w:bCs w:val="0"/>
                <w:i w:val="0"/>
                <w:iCs w:val="0"/>
                <w:color w:val="000000"/>
                <w:kern w:val="0"/>
                <w:sz w:val="20"/>
                <w:szCs w:val="20"/>
                <w:u w:val="none"/>
                <w:lang w:val="en-US" w:eastAsia="zh-CN" w:bidi="ar"/>
              </w:rPr>
              <w:t>6、治疗功率:分五档可调</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7、工作电源:220V~，50Hz。</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36"/>
                <w:szCs w:val="36"/>
                <w:u w:val="none"/>
                <w:lang w:val="en-US" w:eastAsia="zh-CN" w:bidi="ar"/>
              </w:rPr>
              <w:t>*</w:t>
            </w:r>
            <w:r>
              <w:rPr>
                <w:rFonts w:hint="eastAsia" w:ascii="宋体" w:hAnsi="宋体" w:eastAsia="宋体" w:cs="宋体"/>
                <w:b w:val="0"/>
                <w:bCs w:val="0"/>
                <w:i w:val="0"/>
                <w:iCs w:val="0"/>
                <w:color w:val="000000"/>
                <w:kern w:val="0"/>
                <w:sz w:val="20"/>
                <w:szCs w:val="20"/>
                <w:u w:val="none"/>
                <w:lang w:val="en-US" w:eastAsia="zh-CN" w:bidi="ar"/>
              </w:rPr>
              <w:t>8、配备永久电极线，永久电极板一套兼容多个部位使用</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36"/>
                <w:szCs w:val="36"/>
                <w:u w:val="none"/>
                <w:lang w:val="en-US" w:eastAsia="zh-CN" w:bidi="ar"/>
              </w:rPr>
              <w:t>*</w:t>
            </w:r>
            <w:r>
              <w:rPr>
                <w:rFonts w:hint="eastAsia" w:ascii="宋体" w:hAnsi="宋体" w:eastAsia="宋体" w:cs="宋体"/>
                <w:b w:val="0"/>
                <w:bCs w:val="0"/>
                <w:i w:val="0"/>
                <w:iCs w:val="0"/>
                <w:color w:val="000000"/>
                <w:kern w:val="0"/>
                <w:sz w:val="20"/>
                <w:szCs w:val="20"/>
                <w:u w:val="none"/>
                <w:lang w:val="en-US" w:eastAsia="zh-CN" w:bidi="ar"/>
              </w:rPr>
              <w:t>9、电极板规格尺寸</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a)电容电极的内部电极板应使用柔软的导电良好材料;</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b)电容电极连接线应使用橡胶电缆，长110cm(可见导线部分，不含端子，允许误差士10mm连接线插头直径为17.5mm，允许误差士5mm</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电极片尺寸:长*宽=220mm*164mm，允许误差士20mm。</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10、设备具有操作时间显示，治疗过程中具备倒计时数显功能。</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11、具有自动预热，自动稳压，电子定时，自动报警，自带延时保护电路功能。</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12、输出先回零保护装置，无需关机，可连续使用。</w:t>
            </w:r>
          </w:p>
        </w:tc>
      </w:tr>
      <w:tr w14:paraId="55748E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32784">
            <w:pPr>
              <w:keepNext w:val="0"/>
              <w:keepLines w:val="0"/>
              <w:widowControl/>
              <w:suppressLineNumbers w:val="0"/>
              <w:jc w:val="right"/>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21</w:t>
            </w:r>
          </w:p>
        </w:tc>
        <w:tc>
          <w:tcPr>
            <w:tcW w:w="0" w:type="auto"/>
            <w:tcBorders>
              <w:top w:val="single" w:color="auto" w:sz="4" w:space="0"/>
              <w:left w:val="single" w:color="000000" w:sz="4" w:space="0"/>
              <w:bottom w:val="single" w:color="auto" w:sz="4" w:space="0"/>
              <w:right w:val="single" w:color="000000" w:sz="4" w:space="0"/>
            </w:tcBorders>
            <w:shd w:val="clear" w:color="auto" w:fill="auto"/>
            <w:vAlign w:val="center"/>
          </w:tcPr>
          <w:p w14:paraId="243332A8">
            <w:pPr>
              <w:keepNext w:val="0"/>
              <w:keepLines w:val="0"/>
              <w:widowControl/>
              <w:suppressLineNumbers w:val="0"/>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动态血糖监测系统</w:t>
            </w:r>
          </w:p>
        </w:tc>
        <w:tc>
          <w:tcPr>
            <w:tcW w:w="0" w:type="auto"/>
            <w:tcBorders>
              <w:top w:val="single" w:color="auto" w:sz="4" w:space="0"/>
              <w:left w:val="single" w:color="000000" w:sz="4" w:space="0"/>
              <w:bottom w:val="single" w:color="auto" w:sz="4" w:space="0"/>
              <w:right w:val="single" w:color="000000" w:sz="4" w:space="0"/>
            </w:tcBorders>
            <w:shd w:val="clear" w:color="auto" w:fill="auto"/>
            <w:noWrap/>
            <w:vAlign w:val="center"/>
          </w:tcPr>
          <w:p w14:paraId="254DA0FE">
            <w:pPr>
              <w:keepNext w:val="0"/>
              <w:keepLines w:val="0"/>
              <w:widowControl/>
              <w:suppressLineNumbers w:val="0"/>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套</w:t>
            </w:r>
          </w:p>
        </w:tc>
        <w:tc>
          <w:tcPr>
            <w:tcW w:w="0" w:type="auto"/>
            <w:tcBorders>
              <w:top w:val="single" w:color="auto" w:sz="4" w:space="0"/>
              <w:left w:val="single" w:color="000000" w:sz="4" w:space="0"/>
              <w:bottom w:val="single" w:color="auto" w:sz="4" w:space="0"/>
              <w:right w:val="single" w:color="000000" w:sz="4" w:space="0"/>
            </w:tcBorders>
            <w:shd w:val="clear" w:color="auto" w:fill="auto"/>
            <w:noWrap/>
            <w:vAlign w:val="center"/>
          </w:tcPr>
          <w:p w14:paraId="23DA8891">
            <w:pPr>
              <w:keepNext w:val="0"/>
              <w:keepLines w:val="0"/>
              <w:widowControl/>
              <w:suppressLineNumbers w:val="0"/>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1</w:t>
            </w:r>
          </w:p>
        </w:tc>
        <w:tc>
          <w:tcPr>
            <w:tcW w:w="0" w:type="auto"/>
            <w:tcBorders>
              <w:top w:val="single" w:color="auto" w:sz="4" w:space="0"/>
              <w:left w:val="single" w:color="000000" w:sz="4" w:space="0"/>
              <w:bottom w:val="single" w:color="auto" w:sz="4" w:space="0"/>
              <w:right w:val="single" w:color="000000" w:sz="4" w:space="0"/>
            </w:tcBorders>
            <w:shd w:val="clear" w:color="auto" w:fill="auto"/>
            <w:vAlign w:val="center"/>
          </w:tcPr>
          <w:p w14:paraId="1D81F842">
            <w:pPr>
              <w:keepNext w:val="0"/>
              <w:keepLines w:val="0"/>
              <w:widowControl/>
              <w:suppressLineNumbers w:val="0"/>
              <w:jc w:val="left"/>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1.显示方式：蓝牙实时动态监测(非扫描、非回顾)</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2.传感器探针特性：柔性软针</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3.24小时葡萄糖数据点：≥480个</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4.实验室测试准确性：整体MARD值≥8.58%。</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5.校准方法：出厂校准。工厂校准信息编码在传感器保护膜上打印的QR码中</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6.传感器初始化时间：≤45min</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7.产品最长有效使用寿命：≥16天</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8.持续葡萄糖监测系统血糖可报告范围：1.7-27.8mmol/L</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9.产品货架有效期：12个月</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10.电极数量：≥3电极</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11.防水等级：IP58,5级防尘，8级防水(1.5米水深，1小时)</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12.佩戴部位：首选上臂侧后方(避开肌肉和疤痕位置);体型瘦小和手臂肌肉发达者建议佩戴腹部，避开脐周5cm以内部位，与胰岛素输注部位间隔不少于5cm。</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13.高低血糖提示：有，高低提示值可跟根据不同患者情况设定</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14.事件记录：有，可记录胰岛素注射(基础/餐时)、GLP-1RA注射、运动、饮食、口服药等事件</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15.一体式：传感器、发射器、助针器一体化设计，可保存最长16天的监测数据</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16.传感器经过电子束辐照灭菌，为一次性使用器械</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17.实验室测试准确性性(线性偏差):葡萄糖浓度&lt;5.55mmol/L应不超过±0.83mmol/L,葡萄糖浓度≥</w:t>
            </w:r>
            <w:bookmarkStart w:id="69" w:name="_GoBack"/>
            <w:bookmarkEnd w:id="69"/>
            <w:r>
              <w:rPr>
                <w:rFonts w:hint="eastAsia" w:ascii="宋体" w:hAnsi="宋体" w:eastAsia="宋体" w:cs="宋体"/>
                <w:b w:val="0"/>
                <w:bCs w:val="0"/>
                <w:i w:val="0"/>
                <w:iCs w:val="0"/>
                <w:color w:val="000000"/>
                <w:kern w:val="0"/>
                <w:sz w:val="20"/>
                <w:szCs w:val="20"/>
                <w:u w:val="none"/>
                <w:lang w:val="en-US" w:eastAsia="zh-CN" w:bidi="ar"/>
              </w:rPr>
              <w:t>5.55mmol/L应不超过±15%</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18.准确度符合iCGMS的准确性要求</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19.电源类型：氧化银电池</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20.使用场景：医疗机构&amp;家庭环境</w:t>
            </w:r>
          </w:p>
        </w:tc>
      </w:tr>
      <w:tr w14:paraId="776841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59D82">
            <w:pPr>
              <w:keepNext w:val="0"/>
              <w:keepLines w:val="0"/>
              <w:widowControl/>
              <w:suppressLineNumbers w:val="0"/>
              <w:jc w:val="right"/>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22</w:t>
            </w:r>
          </w:p>
        </w:tc>
        <w:tc>
          <w:tcPr>
            <w:tcW w:w="0" w:type="auto"/>
            <w:tcBorders>
              <w:top w:val="single" w:color="auto" w:sz="4" w:space="0"/>
              <w:left w:val="single" w:color="000000" w:sz="4" w:space="0"/>
              <w:bottom w:val="single" w:color="000000" w:sz="4" w:space="0"/>
              <w:right w:val="single" w:color="000000" w:sz="4" w:space="0"/>
            </w:tcBorders>
            <w:shd w:val="clear" w:color="auto" w:fill="auto"/>
            <w:noWrap/>
            <w:vAlign w:val="center"/>
          </w:tcPr>
          <w:p w14:paraId="393845C5">
            <w:pPr>
              <w:keepNext w:val="0"/>
              <w:keepLines w:val="0"/>
              <w:widowControl/>
              <w:suppressLineNumbers w:val="0"/>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全自动糖化血红蛋白分析仪</w:t>
            </w:r>
          </w:p>
        </w:tc>
        <w:tc>
          <w:tcPr>
            <w:tcW w:w="0" w:type="auto"/>
            <w:tcBorders>
              <w:top w:val="single" w:color="auto" w:sz="4" w:space="0"/>
              <w:left w:val="single" w:color="000000" w:sz="4" w:space="0"/>
              <w:bottom w:val="single" w:color="000000" w:sz="4" w:space="0"/>
              <w:right w:val="single" w:color="000000" w:sz="4" w:space="0"/>
            </w:tcBorders>
            <w:shd w:val="clear" w:color="auto" w:fill="auto"/>
            <w:noWrap/>
            <w:vAlign w:val="center"/>
          </w:tcPr>
          <w:p w14:paraId="5BC8AF91">
            <w:pPr>
              <w:keepNext w:val="0"/>
              <w:keepLines w:val="0"/>
              <w:widowControl/>
              <w:suppressLineNumbers w:val="0"/>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台</w:t>
            </w:r>
          </w:p>
        </w:tc>
        <w:tc>
          <w:tcPr>
            <w:tcW w:w="0" w:type="auto"/>
            <w:tcBorders>
              <w:top w:val="single" w:color="auto" w:sz="4" w:space="0"/>
              <w:left w:val="single" w:color="000000" w:sz="4" w:space="0"/>
              <w:bottom w:val="single" w:color="000000" w:sz="4" w:space="0"/>
              <w:right w:val="single" w:color="000000" w:sz="4" w:space="0"/>
            </w:tcBorders>
            <w:shd w:val="clear" w:color="auto" w:fill="auto"/>
            <w:noWrap/>
            <w:vAlign w:val="center"/>
          </w:tcPr>
          <w:p w14:paraId="594D1B80">
            <w:pPr>
              <w:keepNext w:val="0"/>
              <w:keepLines w:val="0"/>
              <w:widowControl/>
              <w:suppressLineNumbers w:val="0"/>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1</w:t>
            </w:r>
          </w:p>
        </w:tc>
        <w:tc>
          <w:tcPr>
            <w:tcW w:w="0" w:type="auto"/>
            <w:tcBorders>
              <w:top w:val="single" w:color="auto" w:sz="4" w:space="0"/>
              <w:left w:val="single" w:color="000000" w:sz="4" w:space="0"/>
              <w:bottom w:val="nil"/>
              <w:right w:val="single" w:color="000000" w:sz="4" w:space="0"/>
            </w:tcBorders>
            <w:shd w:val="clear" w:color="auto" w:fill="auto"/>
            <w:vAlign w:val="center"/>
          </w:tcPr>
          <w:p w14:paraId="76387115">
            <w:pPr>
              <w:keepNext w:val="0"/>
              <w:keepLines w:val="0"/>
              <w:widowControl/>
              <w:suppressLineNumbers w:val="0"/>
              <w:jc w:val="left"/>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测试速度 60s/样本</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检测光源 LED 灯，双波长 415nm/500nm</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环境温度 10-30℃</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工作电源 额定电压 220V，额定频率 50Hz 6 体积 485mm×320mm×495mm（长×宽×高）</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线性：在 2.8%～18.4%分析仪检测的区间内，检测结果的线性相关系数 r2&gt;0.99</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重复性：检测样本浓度为 4.0%～6.5%的样本时，分析仪重复测量结果变异系数 CV≤1.5%</w:t>
            </w:r>
            <w:r>
              <w:rPr>
                <w:rFonts w:hint="eastAsia" w:ascii="宋体" w:hAnsi="宋体" w:eastAsia="宋体" w:cs="宋体"/>
                <w:b w:val="0"/>
                <w:bCs w:val="0"/>
                <w:i w:val="0"/>
                <w:iCs w:val="0"/>
                <w:color w:val="000000"/>
                <w:kern w:val="0"/>
                <w:sz w:val="20"/>
                <w:szCs w:val="20"/>
                <w:u w:val="none"/>
                <w:lang w:val="en-US" w:eastAsia="zh-CN" w:bidi="ar"/>
              </w:rPr>
              <w:br w:type="textWrapping"/>
            </w:r>
            <w:r>
              <w:rPr>
                <w:rFonts w:hint="eastAsia" w:ascii="宋体" w:hAnsi="宋体" w:eastAsia="宋体" w:cs="宋体"/>
                <w:b w:val="0"/>
                <w:bCs w:val="0"/>
                <w:i w:val="0"/>
                <w:iCs w:val="0"/>
                <w:color w:val="000000"/>
                <w:kern w:val="0"/>
                <w:sz w:val="20"/>
                <w:szCs w:val="20"/>
                <w:u w:val="none"/>
                <w:lang w:val="en-US" w:eastAsia="zh-CN" w:bidi="ar"/>
              </w:rPr>
              <w:t>准确度：用参考物质作为样本进行检测，分析仪测定结果的相对偏差应在±5%区间内</w:t>
            </w:r>
          </w:p>
        </w:tc>
      </w:tr>
      <w:tr w14:paraId="19BB1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ED199">
            <w:pPr>
              <w:keepNext w:val="0"/>
              <w:keepLines w:val="0"/>
              <w:widowControl/>
              <w:suppressLineNumbers w:val="0"/>
              <w:jc w:val="righ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86B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尿液分析仪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C94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1D2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07B51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1、项目选择：十一项、十项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2、测定原理：反射光电比色法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3、测定速度：≥520条/h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4、光源系统：采用冷光源测定系统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5、工作方式：可选择单条测试或连续测试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6、仪器能准确感应尿试纸条的数量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7、自动卸条功能：能自动将测试过的试纸条卸到废料盒内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8、打印：内置热敏打印机打印测试结果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9、故障识别功能：能自动识别打印机错误、测试项目不正确等故障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10、仪器能自动感应试纸条，将感应到得试纸条送入仪器内部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11、校准功能：仪器配有试纸条校准功能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12、输出接口：仪器有RS-232接口，并口、USB端口，可实现Lis系统连接，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13、电源：可在100V—240V下工作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14、配置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15.1、主机：1台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16.2、电源线1条，保险管2个，打印纸1卷，校验试纸条2条，废料盒2个</w:t>
            </w:r>
          </w:p>
        </w:tc>
      </w:tr>
    </w:tbl>
    <w:p w14:paraId="2133F697">
      <w:pPr>
        <w:rPr>
          <w:rFonts w:hint="eastAsia" w:ascii="宋体" w:hAnsi="宋体" w:eastAsia="宋体" w:cs="宋体"/>
          <w:b/>
          <w:bCs/>
          <w:kern w:val="2"/>
          <w:sz w:val="32"/>
          <w:szCs w:val="32"/>
          <w:highlight w:val="none"/>
        </w:rPr>
      </w:pPr>
      <w:r>
        <w:rPr>
          <w:rFonts w:hint="eastAsia" w:ascii="宋体" w:hAnsi="宋体" w:eastAsia="宋体" w:cs="宋体"/>
          <w:b/>
          <w:bCs/>
          <w:kern w:val="2"/>
          <w:sz w:val="32"/>
          <w:szCs w:val="32"/>
          <w:highlight w:val="none"/>
        </w:rPr>
        <w:br w:type="page"/>
      </w:r>
    </w:p>
    <w:p w14:paraId="6FE533C1">
      <w:pPr>
        <w:pStyle w:val="17"/>
        <w:keepNext w:val="0"/>
        <w:keepLines w:val="0"/>
        <w:pageBreakBefore w:val="0"/>
        <w:widowControl/>
        <w:kinsoku/>
        <w:wordWrap/>
        <w:overflowPunct/>
        <w:topLinePunct w:val="0"/>
        <w:autoSpaceDE/>
        <w:autoSpaceDN/>
        <w:bidi w:val="0"/>
        <w:adjustRightInd/>
        <w:snapToGrid/>
        <w:spacing w:beforeAutospacing="0" w:afterAutospacing="0" w:line="360" w:lineRule="auto"/>
        <w:ind w:firstLine="0"/>
        <w:jc w:val="center"/>
        <w:textAlignment w:val="auto"/>
        <w:outlineLvl w:val="0"/>
        <w:rPr>
          <w:rFonts w:hint="eastAsia" w:ascii="宋体" w:hAnsi="宋体" w:eastAsia="宋体" w:cs="宋体"/>
          <w:b/>
          <w:bCs/>
          <w:kern w:val="2"/>
          <w:sz w:val="32"/>
          <w:szCs w:val="32"/>
          <w:highlight w:val="none"/>
        </w:rPr>
        <w:sectPr>
          <w:pgSz w:w="16837" w:h="11905" w:orient="landscape"/>
          <w:pgMar w:top="1418" w:right="1712" w:bottom="1418" w:left="1712" w:header="851" w:footer="1247" w:gutter="0"/>
          <w:cols w:space="720" w:num="1"/>
          <w:docGrid w:linePitch="312" w:charSpace="0"/>
        </w:sectPr>
      </w:pPr>
    </w:p>
    <w:p w14:paraId="336B3D65">
      <w:pPr>
        <w:pStyle w:val="17"/>
        <w:keepNext w:val="0"/>
        <w:keepLines w:val="0"/>
        <w:pageBreakBefore w:val="0"/>
        <w:widowControl/>
        <w:kinsoku/>
        <w:wordWrap/>
        <w:overflowPunct/>
        <w:topLinePunct w:val="0"/>
        <w:autoSpaceDE/>
        <w:autoSpaceDN/>
        <w:bidi w:val="0"/>
        <w:adjustRightInd/>
        <w:snapToGrid/>
        <w:spacing w:beforeAutospacing="0" w:afterAutospacing="0" w:line="360" w:lineRule="auto"/>
        <w:ind w:firstLine="0"/>
        <w:jc w:val="center"/>
        <w:textAlignment w:val="auto"/>
        <w:outlineLvl w:val="0"/>
        <w:rPr>
          <w:rFonts w:hint="eastAsia" w:ascii="宋体" w:hAnsi="宋体" w:eastAsia="宋体" w:cs="宋体"/>
          <w:b/>
          <w:bCs/>
          <w:kern w:val="2"/>
          <w:sz w:val="32"/>
          <w:szCs w:val="32"/>
          <w:highlight w:val="none"/>
        </w:rPr>
      </w:pPr>
      <w:r>
        <w:rPr>
          <w:rFonts w:hint="eastAsia" w:ascii="宋体" w:hAnsi="宋体" w:eastAsia="宋体" w:cs="宋体"/>
          <w:b/>
          <w:bCs/>
          <w:kern w:val="2"/>
          <w:sz w:val="32"/>
          <w:szCs w:val="32"/>
          <w:highlight w:val="none"/>
        </w:rPr>
        <w:t>第四部分  评审方法</w:t>
      </w:r>
      <w:bookmarkEnd w:id="24"/>
    </w:p>
    <w:p w14:paraId="341F12A6">
      <w:pPr>
        <w:pageBreakBefore w:val="0"/>
        <w:numPr>
          <w:ilvl w:val="0"/>
          <w:numId w:val="0"/>
        </w:numPr>
        <w:bidi w:val="0"/>
        <w:adjustRightInd w:val="0"/>
        <w:snapToGrid w:val="0"/>
        <w:spacing w:line="360" w:lineRule="auto"/>
        <w:ind w:firstLine="482" w:firstLineChars="200"/>
        <w:rPr>
          <w:rFonts w:hint="eastAsia" w:ascii="宋体" w:hAnsi="宋体" w:eastAsia="宋体" w:cs="宋体"/>
          <w:b/>
          <w:sz w:val="24"/>
          <w:highlight w:val="none"/>
        </w:rPr>
      </w:pPr>
      <w:r>
        <w:rPr>
          <w:rFonts w:hint="eastAsia" w:ascii="宋体" w:hAnsi="宋体" w:eastAsia="宋体" w:cs="宋体"/>
          <w:b/>
          <w:sz w:val="24"/>
          <w:highlight w:val="none"/>
          <w:lang w:val="en-US" w:eastAsia="zh-CN"/>
        </w:rPr>
        <w:t>一、</w:t>
      </w:r>
      <w:r>
        <w:rPr>
          <w:rFonts w:hint="eastAsia" w:ascii="宋体" w:hAnsi="宋体" w:eastAsia="宋体" w:cs="宋体"/>
          <w:b/>
          <w:sz w:val="24"/>
          <w:highlight w:val="none"/>
        </w:rPr>
        <w:t>评审方法：</w:t>
      </w:r>
    </w:p>
    <w:p w14:paraId="271B44AC">
      <w:pPr>
        <w:pageBreakBefore w:val="0"/>
        <w:bidi w:val="0"/>
        <w:adjustRightInd w:val="0"/>
        <w:snapToGrid w:val="0"/>
        <w:spacing w:line="360" w:lineRule="auto"/>
        <w:ind w:firstLine="620" w:firstLineChars="250"/>
        <w:rPr>
          <w:rFonts w:hint="eastAsia" w:ascii="宋体" w:hAnsi="宋体" w:eastAsia="宋体" w:cs="宋体"/>
          <w:spacing w:val="4"/>
          <w:sz w:val="24"/>
          <w:szCs w:val="22"/>
          <w:highlight w:val="none"/>
        </w:rPr>
      </w:pPr>
      <w:r>
        <w:rPr>
          <w:rFonts w:hint="eastAsia" w:ascii="宋体" w:hAnsi="宋体" w:eastAsia="宋体" w:cs="宋体"/>
          <w:spacing w:val="4"/>
          <w:sz w:val="24"/>
          <w:szCs w:val="22"/>
          <w:highlight w:val="none"/>
        </w:rPr>
        <w:t>1.按照相关法律法规的规定，竞争性谈判小组采用最低评标价法对提交最后报价的供应商的响应文件和最后报价进行评审，按照最后报价由低到高的顺序提出三名以上成交候选供应商。</w:t>
      </w:r>
    </w:p>
    <w:p w14:paraId="5C263035">
      <w:pPr>
        <w:pageBreakBefore w:val="0"/>
        <w:bidi w:val="0"/>
        <w:adjustRightInd w:val="0"/>
        <w:snapToGrid w:val="0"/>
        <w:spacing w:line="360" w:lineRule="auto"/>
        <w:ind w:firstLine="496" w:firstLineChars="200"/>
        <w:rPr>
          <w:rFonts w:hint="eastAsia" w:ascii="宋体" w:hAnsi="宋体" w:eastAsia="宋体" w:cs="宋体"/>
          <w:spacing w:val="4"/>
          <w:sz w:val="24"/>
          <w:szCs w:val="22"/>
          <w:highlight w:val="none"/>
        </w:rPr>
      </w:pPr>
      <w:r>
        <w:rPr>
          <w:rFonts w:hint="eastAsia" w:ascii="宋体" w:hAnsi="宋体" w:eastAsia="宋体" w:cs="宋体"/>
          <w:spacing w:val="4"/>
          <w:sz w:val="24"/>
          <w:szCs w:val="22"/>
          <w:highlight w:val="none"/>
        </w:rPr>
        <w:t>2.竞争性谈判小组组成：依法组建。</w:t>
      </w:r>
    </w:p>
    <w:p w14:paraId="40144429">
      <w:pPr>
        <w:pageBreakBefore w:val="0"/>
        <w:bidi w:val="0"/>
        <w:adjustRightInd w:val="0"/>
        <w:snapToGrid w:val="0"/>
        <w:spacing w:line="360" w:lineRule="auto"/>
        <w:ind w:firstLine="496" w:firstLineChars="200"/>
        <w:rPr>
          <w:rFonts w:hint="eastAsia" w:ascii="宋体" w:hAnsi="宋体" w:eastAsia="宋体" w:cs="宋体"/>
          <w:spacing w:val="4"/>
          <w:sz w:val="24"/>
          <w:szCs w:val="22"/>
          <w:highlight w:val="none"/>
        </w:rPr>
      </w:pPr>
      <w:r>
        <w:rPr>
          <w:rFonts w:hint="eastAsia" w:ascii="宋体" w:hAnsi="宋体" w:eastAsia="宋体" w:cs="宋体"/>
          <w:spacing w:val="4"/>
          <w:sz w:val="24"/>
          <w:szCs w:val="22"/>
          <w:highlight w:val="none"/>
        </w:rPr>
        <w:t>3.本次评审采用最低评标价法。</w:t>
      </w:r>
    </w:p>
    <w:p w14:paraId="65A500F0">
      <w:pPr>
        <w:pageBreakBefore w:val="0"/>
        <w:bidi w:val="0"/>
        <w:snapToGrid w:val="0"/>
        <w:spacing w:line="360" w:lineRule="auto"/>
        <w:ind w:firstLine="420"/>
        <w:textAlignment w:val="baseline"/>
        <w:rPr>
          <w:rFonts w:hint="eastAsia" w:ascii="宋体" w:hAnsi="宋体" w:eastAsia="宋体" w:cs="宋体"/>
          <w:b/>
          <w:bCs/>
          <w:sz w:val="24"/>
          <w:szCs w:val="24"/>
          <w:highlight w:val="none"/>
        </w:rPr>
      </w:pPr>
      <w:r>
        <w:rPr>
          <w:rStyle w:val="29"/>
          <w:rFonts w:hint="eastAsia" w:ascii="宋体" w:hAnsi="宋体" w:eastAsia="宋体" w:cs="宋体"/>
          <w:b/>
          <w:bCs/>
          <w:color w:val="000000"/>
          <w:sz w:val="24"/>
          <w:highlight w:val="none"/>
        </w:rPr>
        <w:t>注：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w:t>
      </w:r>
      <w:r>
        <w:rPr>
          <w:rFonts w:hint="eastAsia" w:ascii="宋体" w:hAnsi="宋体" w:eastAsia="宋体" w:cs="宋体"/>
          <w:b/>
          <w:spacing w:val="4"/>
          <w:sz w:val="24"/>
          <w:highlight w:val="none"/>
        </w:rPr>
        <w:t>竞争性谈判小组</w:t>
      </w:r>
      <w:r>
        <w:rPr>
          <w:rStyle w:val="29"/>
          <w:rFonts w:hint="eastAsia" w:ascii="宋体" w:hAnsi="宋体" w:eastAsia="宋体" w:cs="宋体"/>
          <w:b/>
          <w:bCs/>
          <w:color w:val="000000"/>
          <w:sz w:val="24"/>
          <w:highlight w:val="none"/>
        </w:rPr>
        <w:t>应当将其作为无效投标处理。</w:t>
      </w:r>
    </w:p>
    <w:p w14:paraId="5E172047">
      <w:pPr>
        <w:pageBreakBefore w:val="0"/>
        <w:numPr>
          <w:ilvl w:val="0"/>
          <w:numId w:val="0"/>
        </w:numPr>
        <w:bidi w:val="0"/>
        <w:adjustRightInd w:val="0"/>
        <w:snapToGrid w:val="0"/>
        <w:spacing w:line="360" w:lineRule="auto"/>
        <w:ind w:firstLine="482" w:firstLineChars="200"/>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二、竞争性谈判小组负责具体评审事务，并独立履行下列职责：</w:t>
      </w:r>
    </w:p>
    <w:p w14:paraId="383E2A12">
      <w:pPr>
        <w:pageBreakBefore w:val="0"/>
        <w:bidi w:val="0"/>
        <w:adjustRightInd w:val="0"/>
        <w:snapToGrid w:val="0"/>
        <w:spacing w:line="360" w:lineRule="auto"/>
        <w:ind w:firstLine="620" w:firstLineChars="250"/>
        <w:rPr>
          <w:rFonts w:hint="eastAsia" w:ascii="宋体" w:hAnsi="宋体" w:eastAsia="宋体" w:cs="宋体"/>
          <w:spacing w:val="4"/>
          <w:sz w:val="24"/>
          <w:szCs w:val="22"/>
          <w:highlight w:val="none"/>
        </w:rPr>
      </w:pPr>
      <w:r>
        <w:rPr>
          <w:rFonts w:hint="eastAsia" w:ascii="宋体" w:hAnsi="宋体" w:eastAsia="宋体" w:cs="宋体"/>
          <w:spacing w:val="4"/>
          <w:sz w:val="24"/>
          <w:szCs w:val="22"/>
          <w:highlight w:val="none"/>
        </w:rPr>
        <w:t>1.遵纪守法，客观、公正、认真负责地履行职责，根据谈判文件规定的评审程序、评审方法和评审标准审查谈判响应文件是否符合竞争性谈判文件的要求，并做出评价；</w:t>
      </w:r>
    </w:p>
    <w:p w14:paraId="43E0CC0E">
      <w:pPr>
        <w:pageBreakBefore w:val="0"/>
        <w:bidi w:val="0"/>
        <w:adjustRightInd w:val="0"/>
        <w:snapToGrid w:val="0"/>
        <w:spacing w:line="360" w:lineRule="auto"/>
        <w:ind w:firstLine="620" w:firstLineChars="250"/>
        <w:rPr>
          <w:rFonts w:hint="eastAsia" w:ascii="宋体" w:hAnsi="宋体" w:eastAsia="宋体" w:cs="宋体"/>
          <w:spacing w:val="4"/>
          <w:sz w:val="24"/>
          <w:szCs w:val="22"/>
          <w:highlight w:val="none"/>
        </w:rPr>
      </w:pPr>
      <w:r>
        <w:rPr>
          <w:rFonts w:hint="eastAsia" w:ascii="宋体" w:hAnsi="宋体" w:eastAsia="宋体" w:cs="宋体"/>
          <w:spacing w:val="4"/>
          <w:sz w:val="24"/>
          <w:szCs w:val="22"/>
          <w:highlight w:val="none"/>
        </w:rPr>
        <w:t>2.确认或修定谈判文件；</w:t>
      </w:r>
    </w:p>
    <w:p w14:paraId="220114EC">
      <w:pPr>
        <w:pageBreakBefore w:val="0"/>
        <w:bidi w:val="0"/>
        <w:adjustRightInd w:val="0"/>
        <w:snapToGrid w:val="0"/>
        <w:spacing w:line="360" w:lineRule="auto"/>
        <w:ind w:firstLine="620" w:firstLineChars="250"/>
        <w:rPr>
          <w:rFonts w:hint="eastAsia" w:ascii="宋体" w:hAnsi="宋体" w:eastAsia="宋体" w:cs="宋体"/>
          <w:spacing w:val="4"/>
          <w:sz w:val="24"/>
          <w:szCs w:val="22"/>
          <w:highlight w:val="none"/>
        </w:rPr>
      </w:pPr>
      <w:r>
        <w:rPr>
          <w:rFonts w:hint="eastAsia" w:ascii="宋体" w:hAnsi="宋体" w:eastAsia="宋体" w:cs="宋体"/>
          <w:spacing w:val="4"/>
          <w:sz w:val="24"/>
          <w:szCs w:val="22"/>
          <w:highlight w:val="none"/>
        </w:rPr>
        <w:t>3.符合性审查、评价谈判响应文件是否符合谈判文件的商务、技术等实质性要求；</w:t>
      </w:r>
    </w:p>
    <w:p w14:paraId="1E8C616D">
      <w:pPr>
        <w:pageBreakBefore w:val="0"/>
        <w:bidi w:val="0"/>
        <w:adjustRightInd w:val="0"/>
        <w:snapToGrid w:val="0"/>
        <w:spacing w:line="360" w:lineRule="auto"/>
        <w:ind w:firstLine="620" w:firstLineChars="250"/>
        <w:rPr>
          <w:rFonts w:hint="eastAsia" w:ascii="宋体" w:hAnsi="宋体" w:eastAsia="宋体" w:cs="宋体"/>
          <w:spacing w:val="4"/>
          <w:sz w:val="24"/>
          <w:szCs w:val="22"/>
          <w:highlight w:val="none"/>
        </w:rPr>
      </w:pPr>
      <w:r>
        <w:rPr>
          <w:rFonts w:hint="eastAsia" w:ascii="宋体" w:hAnsi="宋体" w:eastAsia="宋体" w:cs="宋体"/>
          <w:spacing w:val="4"/>
          <w:sz w:val="24"/>
          <w:szCs w:val="22"/>
          <w:highlight w:val="none"/>
        </w:rPr>
        <w:t>4.谈判小组可要求供应商就竞争性谈判响应文件中含义不明确的内容进行书面说明并提供相关材料</w:t>
      </w:r>
    </w:p>
    <w:p w14:paraId="0A825536">
      <w:pPr>
        <w:pageBreakBefore w:val="0"/>
        <w:bidi w:val="0"/>
        <w:adjustRightInd w:val="0"/>
        <w:snapToGrid w:val="0"/>
        <w:spacing w:line="360" w:lineRule="auto"/>
        <w:ind w:firstLine="620" w:firstLineChars="250"/>
        <w:rPr>
          <w:rFonts w:hint="eastAsia" w:ascii="宋体" w:hAnsi="宋体" w:eastAsia="宋体" w:cs="宋体"/>
          <w:spacing w:val="4"/>
          <w:sz w:val="24"/>
          <w:szCs w:val="22"/>
          <w:highlight w:val="none"/>
        </w:rPr>
      </w:pPr>
      <w:r>
        <w:rPr>
          <w:rFonts w:hint="eastAsia" w:ascii="宋体" w:hAnsi="宋体" w:eastAsia="宋体" w:cs="宋体"/>
          <w:spacing w:val="4"/>
          <w:sz w:val="24"/>
          <w:szCs w:val="22"/>
          <w:highlight w:val="none"/>
        </w:rPr>
        <w:t>5.依据竞争性谈判文件的要求和评审标准进行评审，推荐成交候选单位名单，对评审意见承担个人责任；</w:t>
      </w:r>
    </w:p>
    <w:p w14:paraId="450BBE73">
      <w:pPr>
        <w:pageBreakBefore w:val="0"/>
        <w:bidi w:val="0"/>
        <w:adjustRightInd w:val="0"/>
        <w:snapToGrid w:val="0"/>
        <w:spacing w:line="360" w:lineRule="auto"/>
        <w:ind w:firstLine="620" w:firstLineChars="250"/>
        <w:rPr>
          <w:rFonts w:hint="eastAsia" w:ascii="宋体" w:hAnsi="宋体" w:eastAsia="宋体" w:cs="宋体"/>
          <w:spacing w:val="4"/>
          <w:sz w:val="24"/>
          <w:szCs w:val="22"/>
          <w:highlight w:val="none"/>
        </w:rPr>
      </w:pPr>
      <w:r>
        <w:rPr>
          <w:rFonts w:hint="eastAsia" w:ascii="宋体" w:hAnsi="宋体" w:eastAsia="宋体" w:cs="宋体"/>
          <w:spacing w:val="4"/>
          <w:sz w:val="24"/>
          <w:szCs w:val="22"/>
          <w:highlight w:val="none"/>
        </w:rPr>
        <w:t>6.对评审过程及各供应商的商业机密予以保密；</w:t>
      </w:r>
    </w:p>
    <w:p w14:paraId="6E9626B4">
      <w:pPr>
        <w:pageBreakBefore w:val="0"/>
        <w:bidi w:val="0"/>
        <w:adjustRightInd w:val="0"/>
        <w:snapToGrid w:val="0"/>
        <w:spacing w:line="360" w:lineRule="auto"/>
        <w:ind w:firstLine="620" w:firstLineChars="250"/>
        <w:rPr>
          <w:rFonts w:hint="eastAsia" w:ascii="宋体" w:hAnsi="宋体" w:eastAsia="宋体" w:cs="宋体"/>
          <w:spacing w:val="4"/>
          <w:sz w:val="24"/>
          <w:szCs w:val="22"/>
          <w:highlight w:val="none"/>
        </w:rPr>
      </w:pPr>
      <w:r>
        <w:rPr>
          <w:rFonts w:hint="eastAsia" w:ascii="宋体" w:hAnsi="宋体" w:eastAsia="宋体" w:cs="宋体"/>
          <w:spacing w:val="4"/>
          <w:sz w:val="24"/>
          <w:szCs w:val="22"/>
          <w:highlight w:val="none"/>
        </w:rPr>
        <w:t>7.拟定评审结果；</w:t>
      </w:r>
    </w:p>
    <w:p w14:paraId="1157BAEF">
      <w:pPr>
        <w:pageBreakBefore w:val="0"/>
        <w:bidi w:val="0"/>
        <w:adjustRightInd w:val="0"/>
        <w:snapToGrid w:val="0"/>
        <w:spacing w:line="360" w:lineRule="auto"/>
        <w:ind w:firstLine="620" w:firstLineChars="250"/>
        <w:rPr>
          <w:rFonts w:hint="eastAsia" w:ascii="宋体" w:hAnsi="宋体" w:eastAsia="宋体" w:cs="宋体"/>
          <w:spacing w:val="4"/>
          <w:sz w:val="24"/>
          <w:szCs w:val="22"/>
          <w:highlight w:val="none"/>
        </w:rPr>
      </w:pPr>
      <w:r>
        <w:rPr>
          <w:rFonts w:hint="eastAsia" w:ascii="宋体" w:hAnsi="宋体" w:eastAsia="宋体" w:cs="宋体"/>
          <w:spacing w:val="4"/>
          <w:sz w:val="24"/>
          <w:szCs w:val="22"/>
          <w:highlight w:val="none"/>
        </w:rPr>
        <w:t>8.向财政部门报告在评审过程中发现的供应商的违法违规行为；</w:t>
      </w:r>
    </w:p>
    <w:p w14:paraId="6DAB19E5">
      <w:pPr>
        <w:pageBreakBefore w:val="0"/>
        <w:bidi w:val="0"/>
        <w:adjustRightInd w:val="0"/>
        <w:snapToGrid w:val="0"/>
        <w:spacing w:line="360" w:lineRule="auto"/>
        <w:ind w:firstLine="620" w:firstLineChars="250"/>
        <w:rPr>
          <w:rFonts w:hint="eastAsia" w:ascii="宋体" w:hAnsi="宋体" w:eastAsia="宋体" w:cs="宋体"/>
          <w:spacing w:val="4"/>
          <w:sz w:val="24"/>
          <w:szCs w:val="22"/>
          <w:highlight w:val="none"/>
        </w:rPr>
      </w:pPr>
      <w:r>
        <w:rPr>
          <w:rFonts w:hint="eastAsia" w:ascii="宋体" w:hAnsi="宋体" w:eastAsia="宋体" w:cs="宋体"/>
          <w:spacing w:val="4"/>
          <w:sz w:val="24"/>
          <w:szCs w:val="22"/>
          <w:highlight w:val="none"/>
        </w:rPr>
        <w:t>9.配合招标人、招标代理机构答复各供应商提出的质疑；</w:t>
      </w:r>
    </w:p>
    <w:p w14:paraId="580D5370">
      <w:pPr>
        <w:pageBreakBefore w:val="0"/>
        <w:bidi w:val="0"/>
        <w:adjustRightInd w:val="0"/>
        <w:snapToGrid w:val="0"/>
        <w:spacing w:line="360" w:lineRule="auto"/>
        <w:ind w:firstLine="620" w:firstLineChars="250"/>
        <w:rPr>
          <w:rFonts w:hint="eastAsia" w:ascii="宋体" w:hAnsi="宋体" w:eastAsia="宋体" w:cs="宋体"/>
          <w:highlight w:val="none"/>
        </w:rPr>
      </w:pPr>
      <w:r>
        <w:rPr>
          <w:rFonts w:hint="eastAsia" w:ascii="宋体" w:hAnsi="宋体" w:eastAsia="宋体" w:cs="宋体"/>
          <w:spacing w:val="4"/>
          <w:sz w:val="24"/>
          <w:szCs w:val="22"/>
          <w:highlight w:val="none"/>
        </w:rPr>
        <w:t>10.配合各部门的投诉处理和监督检查工作。</w:t>
      </w:r>
    </w:p>
    <w:p w14:paraId="1246C33C">
      <w:pPr>
        <w:pageBreakBefore w:val="0"/>
        <w:numPr>
          <w:ilvl w:val="0"/>
          <w:numId w:val="0"/>
        </w:numPr>
        <w:bidi w:val="0"/>
        <w:adjustRightInd w:val="0"/>
        <w:snapToGrid w:val="0"/>
        <w:spacing w:line="360" w:lineRule="auto"/>
        <w:ind w:firstLine="482" w:firstLineChars="200"/>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三、供应商存在下列情况之一的，谈判无效:</w:t>
      </w:r>
    </w:p>
    <w:p w14:paraId="41CFB40E">
      <w:pPr>
        <w:pageBreakBefore w:val="0"/>
        <w:bidi w:val="0"/>
        <w:adjustRightInd w:val="0"/>
        <w:snapToGrid w:val="0"/>
        <w:spacing w:line="360" w:lineRule="auto"/>
        <w:ind w:firstLine="620" w:firstLineChars="250"/>
        <w:rPr>
          <w:rFonts w:hint="eastAsia" w:ascii="宋体" w:hAnsi="宋体" w:eastAsia="宋体" w:cs="宋体"/>
          <w:spacing w:val="4"/>
          <w:sz w:val="24"/>
          <w:highlight w:val="none"/>
        </w:rPr>
      </w:pPr>
      <w:r>
        <w:rPr>
          <w:rFonts w:hint="eastAsia" w:ascii="宋体" w:hAnsi="宋体" w:eastAsia="宋体" w:cs="宋体"/>
          <w:spacing w:val="4"/>
          <w:sz w:val="24"/>
          <w:highlight w:val="none"/>
        </w:rPr>
        <w:t>1.竞争性谈判响应文件未按竞争性谈判文件要求签署、盖章的；</w:t>
      </w:r>
    </w:p>
    <w:p w14:paraId="583B5234">
      <w:pPr>
        <w:pageBreakBefore w:val="0"/>
        <w:bidi w:val="0"/>
        <w:adjustRightInd w:val="0"/>
        <w:snapToGrid w:val="0"/>
        <w:spacing w:line="360" w:lineRule="auto"/>
        <w:ind w:firstLine="620" w:firstLineChars="250"/>
        <w:rPr>
          <w:rFonts w:hint="eastAsia" w:ascii="宋体" w:hAnsi="宋体" w:eastAsia="宋体" w:cs="宋体"/>
          <w:spacing w:val="4"/>
          <w:sz w:val="24"/>
          <w:highlight w:val="none"/>
        </w:rPr>
      </w:pPr>
      <w:r>
        <w:rPr>
          <w:rFonts w:hint="eastAsia" w:ascii="宋体" w:hAnsi="宋体" w:eastAsia="宋体" w:cs="宋体"/>
          <w:spacing w:val="4"/>
          <w:sz w:val="24"/>
          <w:highlight w:val="none"/>
          <w:lang w:val="en-US" w:eastAsia="zh-CN"/>
        </w:rPr>
        <w:t>2</w:t>
      </w:r>
      <w:r>
        <w:rPr>
          <w:rFonts w:hint="eastAsia" w:ascii="宋体" w:hAnsi="宋体" w:eastAsia="宋体" w:cs="宋体"/>
          <w:spacing w:val="4"/>
          <w:sz w:val="24"/>
          <w:highlight w:val="none"/>
        </w:rPr>
        <w:t>.不具备竞争性谈判文件中规定的资格要求的；</w:t>
      </w:r>
    </w:p>
    <w:p w14:paraId="76CD7BEA">
      <w:pPr>
        <w:pageBreakBefore w:val="0"/>
        <w:bidi w:val="0"/>
        <w:adjustRightInd w:val="0"/>
        <w:snapToGrid w:val="0"/>
        <w:spacing w:line="360" w:lineRule="auto"/>
        <w:ind w:firstLine="620" w:firstLineChars="250"/>
        <w:rPr>
          <w:rFonts w:hint="eastAsia" w:ascii="宋体" w:hAnsi="宋体" w:eastAsia="宋体" w:cs="宋体"/>
          <w:spacing w:val="4"/>
          <w:sz w:val="24"/>
          <w:highlight w:val="none"/>
        </w:rPr>
      </w:pPr>
      <w:r>
        <w:rPr>
          <w:rFonts w:hint="eastAsia" w:ascii="宋体" w:hAnsi="宋体" w:eastAsia="宋体" w:cs="宋体"/>
          <w:spacing w:val="4"/>
          <w:sz w:val="24"/>
          <w:highlight w:val="none"/>
          <w:lang w:val="en-US" w:eastAsia="zh-CN"/>
        </w:rPr>
        <w:t>3</w:t>
      </w:r>
      <w:r>
        <w:rPr>
          <w:rFonts w:hint="eastAsia" w:ascii="宋体" w:hAnsi="宋体" w:eastAsia="宋体" w:cs="宋体"/>
          <w:spacing w:val="4"/>
          <w:sz w:val="24"/>
          <w:highlight w:val="none"/>
        </w:rPr>
        <w:t>.报价超过竞争性谈判文件中规定的预算金额或者最高限价的；</w:t>
      </w:r>
    </w:p>
    <w:p w14:paraId="4417B6D8">
      <w:pPr>
        <w:pageBreakBefore w:val="0"/>
        <w:bidi w:val="0"/>
        <w:adjustRightInd w:val="0"/>
        <w:snapToGrid w:val="0"/>
        <w:spacing w:line="360" w:lineRule="auto"/>
        <w:ind w:firstLine="620" w:firstLineChars="250"/>
        <w:rPr>
          <w:rFonts w:hint="eastAsia" w:ascii="宋体" w:hAnsi="宋体" w:eastAsia="宋体" w:cs="宋体"/>
          <w:spacing w:val="4"/>
          <w:sz w:val="24"/>
          <w:highlight w:val="none"/>
        </w:rPr>
      </w:pPr>
      <w:r>
        <w:rPr>
          <w:rFonts w:hint="eastAsia" w:ascii="宋体" w:hAnsi="宋体" w:eastAsia="宋体" w:cs="宋体"/>
          <w:spacing w:val="4"/>
          <w:sz w:val="24"/>
          <w:highlight w:val="none"/>
          <w:lang w:val="en-US" w:eastAsia="zh-CN"/>
        </w:rPr>
        <w:t>4</w:t>
      </w:r>
      <w:r>
        <w:rPr>
          <w:rFonts w:hint="eastAsia" w:ascii="宋体" w:hAnsi="宋体" w:eastAsia="宋体" w:cs="宋体"/>
          <w:spacing w:val="4"/>
          <w:sz w:val="24"/>
          <w:highlight w:val="none"/>
        </w:rPr>
        <w:t>.竞争性谈判响应文件含有招标人不能接受的附加条件的；</w:t>
      </w:r>
    </w:p>
    <w:p w14:paraId="5CCE599A">
      <w:pPr>
        <w:pageBreakBefore w:val="0"/>
        <w:bidi w:val="0"/>
        <w:adjustRightInd w:val="0"/>
        <w:snapToGrid w:val="0"/>
        <w:spacing w:line="360" w:lineRule="auto"/>
        <w:ind w:firstLine="620" w:firstLineChars="250"/>
        <w:rPr>
          <w:rFonts w:hint="eastAsia" w:ascii="宋体" w:hAnsi="宋体" w:eastAsia="宋体" w:cs="宋体"/>
          <w:spacing w:val="4"/>
          <w:sz w:val="24"/>
          <w:szCs w:val="22"/>
          <w:highlight w:val="none"/>
        </w:rPr>
      </w:pPr>
      <w:r>
        <w:rPr>
          <w:rFonts w:hint="eastAsia" w:ascii="宋体" w:hAnsi="宋体" w:eastAsia="宋体" w:cs="宋体"/>
          <w:spacing w:val="4"/>
          <w:sz w:val="24"/>
          <w:szCs w:val="22"/>
          <w:highlight w:val="none"/>
          <w:lang w:val="en-US" w:eastAsia="zh-CN"/>
        </w:rPr>
        <w:t>5</w:t>
      </w:r>
      <w:r>
        <w:rPr>
          <w:rFonts w:hint="eastAsia" w:ascii="宋体" w:hAnsi="宋体" w:eastAsia="宋体" w:cs="宋体"/>
          <w:spacing w:val="4"/>
          <w:sz w:val="24"/>
          <w:szCs w:val="22"/>
          <w:highlight w:val="none"/>
        </w:rPr>
        <w:t>.单位负责人为同一人或者存在直接控股、管理关系的不同供应商，参加本项目同一合同项下的谈判的；</w:t>
      </w:r>
    </w:p>
    <w:p w14:paraId="735060AE">
      <w:pPr>
        <w:pageBreakBefore w:val="0"/>
        <w:bidi w:val="0"/>
        <w:adjustRightInd w:val="0"/>
        <w:snapToGrid w:val="0"/>
        <w:spacing w:line="360" w:lineRule="auto"/>
        <w:ind w:firstLine="496" w:firstLineChars="200"/>
        <w:rPr>
          <w:rFonts w:hint="eastAsia" w:ascii="宋体" w:hAnsi="宋体" w:eastAsia="宋体" w:cs="宋体"/>
          <w:spacing w:val="4"/>
          <w:sz w:val="24"/>
          <w:szCs w:val="22"/>
          <w:highlight w:val="none"/>
        </w:rPr>
      </w:pPr>
      <w:r>
        <w:rPr>
          <w:rFonts w:hint="eastAsia" w:ascii="宋体" w:hAnsi="宋体" w:eastAsia="宋体" w:cs="宋体"/>
          <w:spacing w:val="4"/>
          <w:sz w:val="24"/>
          <w:szCs w:val="22"/>
          <w:highlight w:val="none"/>
          <w:lang w:val="en-US" w:eastAsia="zh-CN"/>
        </w:rPr>
        <w:t>6</w:t>
      </w:r>
      <w:r>
        <w:rPr>
          <w:rFonts w:hint="eastAsia" w:ascii="宋体" w:hAnsi="宋体" w:eastAsia="宋体" w:cs="宋体"/>
          <w:spacing w:val="4"/>
          <w:sz w:val="24"/>
          <w:szCs w:val="22"/>
          <w:highlight w:val="none"/>
        </w:rPr>
        <w:t>.为本采购项目提供整体设计、规范编制或者项目管理、监理、检测等服务的供应商，参加本采购项目</w:t>
      </w:r>
      <w:r>
        <w:rPr>
          <w:rFonts w:hint="eastAsia" w:ascii="宋体" w:hAnsi="宋体" w:eastAsia="宋体" w:cs="宋体"/>
          <w:spacing w:val="4"/>
          <w:sz w:val="24"/>
          <w:highlight w:val="none"/>
        </w:rPr>
        <w:t>谈判</w:t>
      </w:r>
      <w:r>
        <w:rPr>
          <w:rFonts w:hint="eastAsia" w:ascii="宋体" w:hAnsi="宋体" w:eastAsia="宋体" w:cs="宋体"/>
          <w:spacing w:val="4"/>
          <w:sz w:val="24"/>
          <w:szCs w:val="22"/>
          <w:highlight w:val="none"/>
        </w:rPr>
        <w:t>的；</w:t>
      </w:r>
    </w:p>
    <w:p w14:paraId="6D99D717">
      <w:pPr>
        <w:pageBreakBefore w:val="0"/>
        <w:bidi w:val="0"/>
        <w:adjustRightInd w:val="0"/>
        <w:snapToGrid w:val="0"/>
        <w:spacing w:line="360" w:lineRule="auto"/>
        <w:ind w:firstLine="496" w:firstLineChars="200"/>
        <w:rPr>
          <w:rFonts w:hint="eastAsia" w:ascii="宋体" w:hAnsi="宋体" w:eastAsia="宋体" w:cs="宋体"/>
          <w:spacing w:val="4"/>
          <w:sz w:val="24"/>
          <w:szCs w:val="22"/>
          <w:highlight w:val="none"/>
        </w:rPr>
      </w:pPr>
      <w:r>
        <w:rPr>
          <w:rFonts w:hint="eastAsia" w:ascii="宋体" w:hAnsi="宋体" w:eastAsia="宋体" w:cs="宋体"/>
          <w:spacing w:val="4"/>
          <w:sz w:val="24"/>
          <w:szCs w:val="22"/>
          <w:highlight w:val="none"/>
          <w:lang w:val="en-US" w:eastAsia="zh-CN"/>
        </w:rPr>
        <w:t>7</w:t>
      </w:r>
      <w:r>
        <w:rPr>
          <w:rFonts w:hint="eastAsia" w:ascii="宋体" w:hAnsi="宋体" w:eastAsia="宋体" w:cs="宋体"/>
          <w:spacing w:val="4"/>
          <w:sz w:val="24"/>
          <w:szCs w:val="22"/>
          <w:highlight w:val="none"/>
        </w:rPr>
        <w:t>.</w:t>
      </w:r>
      <w:r>
        <w:rPr>
          <w:rFonts w:hint="eastAsia" w:ascii="宋体" w:hAnsi="宋体" w:eastAsia="宋体" w:cs="宋体"/>
          <w:spacing w:val="4"/>
          <w:sz w:val="24"/>
          <w:highlight w:val="none"/>
        </w:rPr>
        <w:t>谈判</w:t>
      </w:r>
      <w:r>
        <w:rPr>
          <w:rFonts w:hint="eastAsia" w:ascii="宋体" w:hAnsi="宋体" w:eastAsia="宋体" w:cs="宋体"/>
          <w:spacing w:val="4"/>
          <w:sz w:val="24"/>
          <w:szCs w:val="22"/>
          <w:highlight w:val="none"/>
        </w:rPr>
        <w:t>会议现场，无法提供样品或所提供的样品经</w:t>
      </w:r>
      <w:r>
        <w:rPr>
          <w:rFonts w:hint="eastAsia" w:ascii="宋体" w:hAnsi="宋体" w:eastAsia="宋体" w:cs="宋体"/>
          <w:spacing w:val="4"/>
          <w:sz w:val="24"/>
          <w:highlight w:val="none"/>
        </w:rPr>
        <w:t>谈判</w:t>
      </w:r>
      <w:r>
        <w:rPr>
          <w:rFonts w:hint="eastAsia" w:ascii="宋体" w:hAnsi="宋体" w:eastAsia="宋体" w:cs="宋体"/>
          <w:spacing w:val="4"/>
          <w:sz w:val="24"/>
          <w:szCs w:val="22"/>
          <w:highlight w:val="none"/>
        </w:rPr>
        <w:t>小组认定未能达到本项目竞争性</w:t>
      </w:r>
      <w:r>
        <w:rPr>
          <w:rFonts w:hint="eastAsia" w:ascii="宋体" w:hAnsi="宋体" w:eastAsia="宋体" w:cs="宋体"/>
          <w:spacing w:val="4"/>
          <w:sz w:val="24"/>
          <w:highlight w:val="none"/>
        </w:rPr>
        <w:t>谈判</w:t>
      </w:r>
      <w:r>
        <w:rPr>
          <w:rFonts w:hint="eastAsia" w:ascii="宋体" w:hAnsi="宋体" w:eastAsia="宋体" w:cs="宋体"/>
          <w:spacing w:val="4"/>
          <w:sz w:val="24"/>
          <w:szCs w:val="22"/>
          <w:highlight w:val="none"/>
        </w:rPr>
        <w:t>文件要求的；（如有）</w:t>
      </w:r>
    </w:p>
    <w:p w14:paraId="41DD6C24">
      <w:pPr>
        <w:pageBreakBefore w:val="0"/>
        <w:bidi w:val="0"/>
        <w:adjustRightInd w:val="0"/>
        <w:snapToGrid w:val="0"/>
        <w:spacing w:line="360" w:lineRule="auto"/>
        <w:ind w:firstLine="496" w:firstLineChars="200"/>
        <w:rPr>
          <w:rFonts w:hint="eastAsia" w:ascii="宋体" w:hAnsi="宋体" w:eastAsia="宋体" w:cs="宋体"/>
          <w:spacing w:val="4"/>
          <w:sz w:val="24"/>
          <w:szCs w:val="22"/>
          <w:highlight w:val="none"/>
        </w:rPr>
      </w:pPr>
      <w:r>
        <w:rPr>
          <w:rFonts w:hint="eastAsia" w:ascii="宋体" w:hAnsi="宋体" w:eastAsia="宋体" w:cs="宋体"/>
          <w:spacing w:val="4"/>
          <w:sz w:val="24"/>
          <w:szCs w:val="22"/>
          <w:highlight w:val="none"/>
          <w:lang w:val="en-US" w:eastAsia="zh-CN"/>
        </w:rPr>
        <w:t>8</w:t>
      </w:r>
      <w:r>
        <w:rPr>
          <w:rFonts w:hint="eastAsia" w:ascii="宋体" w:hAnsi="宋体" w:eastAsia="宋体" w:cs="宋体"/>
          <w:spacing w:val="4"/>
          <w:sz w:val="24"/>
          <w:szCs w:val="22"/>
          <w:highlight w:val="none"/>
        </w:rPr>
        <w:t>.提供虚假竞争性</w:t>
      </w:r>
      <w:r>
        <w:rPr>
          <w:rFonts w:hint="eastAsia" w:ascii="宋体" w:hAnsi="宋体" w:eastAsia="宋体" w:cs="宋体"/>
          <w:spacing w:val="4"/>
          <w:sz w:val="24"/>
          <w:highlight w:val="none"/>
        </w:rPr>
        <w:t>谈判</w:t>
      </w:r>
      <w:r>
        <w:rPr>
          <w:rFonts w:hint="eastAsia" w:ascii="宋体" w:hAnsi="宋体" w:eastAsia="宋体" w:cs="宋体"/>
          <w:spacing w:val="4"/>
          <w:sz w:val="24"/>
          <w:szCs w:val="22"/>
          <w:highlight w:val="none"/>
        </w:rPr>
        <w:t>响应文件和资料的；</w:t>
      </w:r>
    </w:p>
    <w:p w14:paraId="668A7260">
      <w:pPr>
        <w:pageBreakBefore w:val="0"/>
        <w:bidi w:val="0"/>
        <w:adjustRightInd w:val="0"/>
        <w:snapToGrid w:val="0"/>
        <w:spacing w:line="360" w:lineRule="auto"/>
        <w:ind w:firstLine="496" w:firstLineChars="200"/>
        <w:rPr>
          <w:rFonts w:hint="eastAsia" w:ascii="宋体" w:hAnsi="宋体" w:eastAsia="宋体" w:cs="宋体"/>
          <w:spacing w:val="4"/>
          <w:sz w:val="24"/>
          <w:highlight w:val="none"/>
        </w:rPr>
      </w:pPr>
      <w:r>
        <w:rPr>
          <w:rFonts w:hint="eastAsia" w:ascii="宋体" w:hAnsi="宋体" w:eastAsia="宋体" w:cs="宋体"/>
          <w:spacing w:val="4"/>
          <w:sz w:val="24"/>
          <w:highlight w:val="none"/>
          <w:lang w:val="en-US" w:eastAsia="zh-CN"/>
        </w:rPr>
        <w:t>9</w:t>
      </w:r>
      <w:r>
        <w:rPr>
          <w:rFonts w:hint="eastAsia" w:ascii="宋体" w:hAnsi="宋体" w:eastAsia="宋体" w:cs="宋体"/>
          <w:spacing w:val="4"/>
          <w:sz w:val="24"/>
          <w:highlight w:val="none"/>
        </w:rPr>
        <w:t>.法律、法规和竞争性谈判文件规定的其他无效情形。</w:t>
      </w:r>
    </w:p>
    <w:p w14:paraId="6852A9C9">
      <w:pPr>
        <w:pageBreakBefore w:val="0"/>
        <w:numPr>
          <w:ilvl w:val="0"/>
          <w:numId w:val="0"/>
        </w:numPr>
        <w:bidi w:val="0"/>
        <w:adjustRightInd w:val="0"/>
        <w:snapToGrid w:val="0"/>
        <w:spacing w:line="360" w:lineRule="auto"/>
        <w:ind w:firstLine="482" w:firstLineChars="200"/>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四、供应商有下列情形之一的，视为供应商串通谈判，其谈判无效：</w:t>
      </w:r>
    </w:p>
    <w:p w14:paraId="464866DA">
      <w:pPr>
        <w:pageBreakBefore w:val="0"/>
        <w:bidi w:val="0"/>
        <w:adjustRightInd w:val="0"/>
        <w:snapToGrid w:val="0"/>
        <w:spacing w:line="360" w:lineRule="auto"/>
        <w:ind w:firstLine="372" w:firstLineChars="150"/>
        <w:rPr>
          <w:rFonts w:hint="eastAsia" w:ascii="宋体" w:hAnsi="宋体" w:eastAsia="宋体" w:cs="宋体"/>
          <w:spacing w:val="4"/>
          <w:sz w:val="24"/>
          <w:highlight w:val="none"/>
        </w:rPr>
      </w:pPr>
      <w:r>
        <w:rPr>
          <w:rFonts w:hint="eastAsia" w:ascii="宋体" w:hAnsi="宋体" w:eastAsia="宋体" w:cs="宋体"/>
          <w:spacing w:val="4"/>
          <w:sz w:val="24"/>
          <w:highlight w:val="none"/>
        </w:rPr>
        <w:t>1.不同供应商的竞争性谈判响应文件由同一单位或者个人编制；</w:t>
      </w:r>
    </w:p>
    <w:p w14:paraId="629E8313">
      <w:pPr>
        <w:pageBreakBefore w:val="0"/>
        <w:bidi w:val="0"/>
        <w:adjustRightInd w:val="0"/>
        <w:snapToGrid w:val="0"/>
        <w:spacing w:line="360" w:lineRule="auto"/>
        <w:ind w:firstLine="372" w:firstLineChars="150"/>
        <w:rPr>
          <w:rFonts w:hint="eastAsia" w:ascii="宋体" w:hAnsi="宋体" w:eastAsia="宋体" w:cs="宋体"/>
          <w:spacing w:val="4"/>
          <w:sz w:val="24"/>
          <w:highlight w:val="none"/>
        </w:rPr>
      </w:pPr>
      <w:r>
        <w:rPr>
          <w:rFonts w:hint="eastAsia" w:ascii="宋体" w:hAnsi="宋体" w:eastAsia="宋体" w:cs="宋体"/>
          <w:spacing w:val="4"/>
          <w:sz w:val="24"/>
          <w:highlight w:val="none"/>
        </w:rPr>
        <w:t>2.不同供应商委托同一单位或者个人办理谈判事宜；</w:t>
      </w:r>
    </w:p>
    <w:p w14:paraId="76174D7C">
      <w:pPr>
        <w:pageBreakBefore w:val="0"/>
        <w:bidi w:val="0"/>
        <w:adjustRightInd w:val="0"/>
        <w:snapToGrid w:val="0"/>
        <w:spacing w:line="360" w:lineRule="auto"/>
        <w:ind w:firstLine="372" w:firstLineChars="150"/>
        <w:rPr>
          <w:rFonts w:hint="eastAsia" w:ascii="宋体" w:hAnsi="宋体" w:eastAsia="宋体" w:cs="宋体"/>
          <w:spacing w:val="4"/>
          <w:sz w:val="24"/>
          <w:highlight w:val="none"/>
        </w:rPr>
      </w:pPr>
      <w:r>
        <w:rPr>
          <w:rFonts w:hint="eastAsia" w:ascii="宋体" w:hAnsi="宋体" w:eastAsia="宋体" w:cs="宋体"/>
          <w:spacing w:val="4"/>
          <w:sz w:val="24"/>
          <w:highlight w:val="none"/>
        </w:rPr>
        <w:t>3.不同供应商的竞争性谈判响应文件载明的项目管理成员或者联系人员为同一人；</w:t>
      </w:r>
    </w:p>
    <w:p w14:paraId="7704893A">
      <w:pPr>
        <w:pageBreakBefore w:val="0"/>
        <w:bidi w:val="0"/>
        <w:adjustRightInd w:val="0"/>
        <w:snapToGrid w:val="0"/>
        <w:spacing w:line="360" w:lineRule="auto"/>
        <w:ind w:firstLine="372" w:firstLineChars="150"/>
        <w:rPr>
          <w:rFonts w:hint="eastAsia" w:ascii="宋体" w:hAnsi="宋体" w:eastAsia="宋体" w:cs="宋体"/>
          <w:spacing w:val="4"/>
          <w:sz w:val="24"/>
          <w:highlight w:val="none"/>
        </w:rPr>
      </w:pPr>
      <w:r>
        <w:rPr>
          <w:rFonts w:hint="eastAsia" w:ascii="宋体" w:hAnsi="宋体" w:eastAsia="宋体" w:cs="宋体"/>
          <w:spacing w:val="4"/>
          <w:sz w:val="24"/>
          <w:highlight w:val="none"/>
        </w:rPr>
        <w:t>4.不同供应商的竞争性谈判响应文件异常一致或者谈判报价呈规律性差异；</w:t>
      </w:r>
    </w:p>
    <w:p w14:paraId="04116797">
      <w:pPr>
        <w:pageBreakBefore w:val="0"/>
        <w:bidi w:val="0"/>
        <w:adjustRightInd w:val="0"/>
        <w:snapToGrid w:val="0"/>
        <w:spacing w:line="360" w:lineRule="auto"/>
        <w:ind w:firstLine="372" w:firstLineChars="150"/>
        <w:rPr>
          <w:rFonts w:hint="eastAsia" w:ascii="宋体" w:hAnsi="宋体" w:eastAsia="宋体" w:cs="宋体"/>
          <w:spacing w:val="4"/>
          <w:sz w:val="24"/>
          <w:highlight w:val="none"/>
        </w:rPr>
      </w:pPr>
      <w:r>
        <w:rPr>
          <w:rFonts w:hint="eastAsia" w:ascii="宋体" w:hAnsi="宋体" w:eastAsia="宋体" w:cs="宋体"/>
          <w:spacing w:val="4"/>
          <w:sz w:val="24"/>
          <w:highlight w:val="none"/>
        </w:rPr>
        <w:t>5.不同供应商的竞争性谈判响应文件相互混装；</w:t>
      </w:r>
    </w:p>
    <w:p w14:paraId="2ABFC687">
      <w:pPr>
        <w:pageBreakBefore w:val="0"/>
        <w:bidi w:val="0"/>
        <w:adjustRightInd w:val="0"/>
        <w:snapToGrid w:val="0"/>
        <w:spacing w:line="360" w:lineRule="auto"/>
        <w:ind w:firstLine="364" w:firstLineChars="147"/>
        <w:rPr>
          <w:rFonts w:hint="eastAsia" w:ascii="宋体" w:hAnsi="宋体" w:eastAsia="宋体" w:cs="宋体"/>
          <w:spacing w:val="4"/>
          <w:sz w:val="24"/>
          <w:highlight w:val="none"/>
          <w:u w:val="single"/>
        </w:rPr>
      </w:pPr>
      <w:r>
        <w:rPr>
          <w:rFonts w:hint="eastAsia" w:ascii="宋体" w:hAnsi="宋体" w:eastAsia="宋体" w:cs="宋体"/>
          <w:spacing w:val="4"/>
          <w:sz w:val="24"/>
          <w:highlight w:val="none"/>
        </w:rPr>
        <w:t>6.不同供应商的竞争性谈判保证金从同一单位或者个人的账户转出。</w:t>
      </w:r>
    </w:p>
    <w:p w14:paraId="1A2FE523">
      <w:pPr>
        <w:pageBreakBefore w:val="0"/>
        <w:numPr>
          <w:ilvl w:val="0"/>
          <w:numId w:val="0"/>
        </w:numPr>
        <w:bidi w:val="0"/>
        <w:adjustRightInd w:val="0"/>
        <w:snapToGrid w:val="0"/>
        <w:spacing w:line="360" w:lineRule="auto"/>
        <w:ind w:firstLine="482" w:firstLineChars="200"/>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五、谈判程序</w:t>
      </w:r>
    </w:p>
    <w:p w14:paraId="3A763D1E">
      <w:pPr>
        <w:pageBreakBefore w:val="0"/>
        <w:bidi w:val="0"/>
        <w:adjustRightInd w:val="0"/>
        <w:snapToGrid w:val="0"/>
        <w:spacing w:line="360" w:lineRule="auto"/>
        <w:ind w:firstLine="482" w:firstLineChars="200"/>
        <w:rPr>
          <w:rFonts w:hint="eastAsia" w:ascii="宋体" w:hAnsi="宋体" w:eastAsia="宋体" w:cs="宋体"/>
          <w:b/>
          <w:sz w:val="24"/>
          <w:highlight w:val="none"/>
        </w:rPr>
      </w:pPr>
      <w:r>
        <w:rPr>
          <w:rFonts w:hint="eastAsia" w:ascii="宋体" w:hAnsi="宋体" w:eastAsia="宋体" w:cs="宋体"/>
          <w:b/>
          <w:sz w:val="24"/>
          <w:highlight w:val="none"/>
        </w:rPr>
        <w:t>1.谈判前资格检查：谈判前由采购人或招标代理机构进行资格检查，具体审查内容以本文件竞争性谈判须知前附表为准。</w:t>
      </w:r>
    </w:p>
    <w:p w14:paraId="651373B9">
      <w:pPr>
        <w:pageBreakBefore w:val="0"/>
        <w:bidi w:val="0"/>
        <w:adjustRightInd w:val="0"/>
        <w:snapToGrid w:val="0"/>
        <w:spacing w:line="360" w:lineRule="auto"/>
        <w:ind w:firstLine="482" w:firstLineChars="200"/>
        <w:rPr>
          <w:rFonts w:hint="eastAsia" w:ascii="宋体" w:hAnsi="宋体" w:eastAsia="宋体" w:cs="宋体"/>
          <w:b/>
          <w:bCs/>
          <w:sz w:val="24"/>
          <w:highlight w:val="none"/>
        </w:rPr>
      </w:pPr>
      <w:r>
        <w:rPr>
          <w:rFonts w:hint="eastAsia" w:ascii="宋体" w:hAnsi="宋体" w:eastAsia="宋体" w:cs="宋体"/>
          <w:b/>
          <w:bCs/>
          <w:sz w:val="24"/>
          <w:highlight w:val="none"/>
        </w:rPr>
        <w:t>2.符合性审查：</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
        <w:gridCol w:w="6319"/>
        <w:gridCol w:w="1797"/>
      </w:tblGrid>
      <w:tr w14:paraId="7516F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vAlign w:val="center"/>
          </w:tcPr>
          <w:p w14:paraId="364B7984">
            <w:pPr>
              <w:pageBreakBefore w:val="0"/>
              <w:bidi w:val="0"/>
              <w:spacing w:line="360" w:lineRule="auto"/>
              <w:jc w:val="center"/>
              <w:rPr>
                <w:rFonts w:hint="eastAsia" w:ascii="宋体" w:hAnsi="宋体" w:eastAsia="宋体" w:cs="宋体"/>
                <w:sz w:val="24"/>
                <w:highlight w:val="none"/>
              </w:rPr>
            </w:pPr>
            <w:r>
              <w:rPr>
                <w:rFonts w:hint="eastAsia" w:ascii="宋体" w:hAnsi="宋体" w:eastAsia="宋体" w:cs="宋体"/>
                <w:b/>
                <w:sz w:val="24"/>
                <w:highlight w:val="none"/>
              </w:rPr>
              <w:t>序号</w:t>
            </w:r>
          </w:p>
        </w:tc>
        <w:tc>
          <w:tcPr>
            <w:tcW w:w="6319" w:type="dxa"/>
            <w:vAlign w:val="center"/>
          </w:tcPr>
          <w:p w14:paraId="088199B8">
            <w:pPr>
              <w:pageBreakBefore w:val="0"/>
              <w:bidi w:val="0"/>
              <w:spacing w:line="360" w:lineRule="auto"/>
              <w:jc w:val="center"/>
              <w:rPr>
                <w:rFonts w:hint="eastAsia" w:ascii="宋体" w:hAnsi="宋体" w:eastAsia="宋体" w:cs="宋体"/>
                <w:sz w:val="24"/>
                <w:highlight w:val="none"/>
              </w:rPr>
            </w:pPr>
            <w:r>
              <w:rPr>
                <w:rFonts w:hint="eastAsia" w:ascii="宋体" w:hAnsi="宋体" w:eastAsia="宋体" w:cs="宋体"/>
                <w:b/>
                <w:sz w:val="24"/>
                <w:highlight w:val="none"/>
              </w:rPr>
              <w:t>符合性审查内容</w:t>
            </w:r>
          </w:p>
        </w:tc>
        <w:tc>
          <w:tcPr>
            <w:tcW w:w="1797" w:type="dxa"/>
            <w:vAlign w:val="center"/>
          </w:tcPr>
          <w:p w14:paraId="6EF2D65F">
            <w:pPr>
              <w:pageBreakBefore w:val="0"/>
              <w:bidi w:val="0"/>
              <w:spacing w:line="360" w:lineRule="auto"/>
              <w:jc w:val="center"/>
              <w:rPr>
                <w:rFonts w:hint="eastAsia" w:ascii="宋体" w:hAnsi="宋体" w:eastAsia="宋体" w:cs="宋体"/>
                <w:sz w:val="24"/>
                <w:highlight w:val="none"/>
              </w:rPr>
            </w:pPr>
            <w:r>
              <w:rPr>
                <w:rFonts w:hint="eastAsia" w:ascii="宋体" w:hAnsi="宋体" w:eastAsia="宋体" w:cs="宋体"/>
                <w:b/>
                <w:sz w:val="24"/>
                <w:highlight w:val="none"/>
              </w:rPr>
              <w:t>结论</w:t>
            </w:r>
          </w:p>
        </w:tc>
      </w:tr>
      <w:tr w14:paraId="14E66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vAlign w:val="center"/>
          </w:tcPr>
          <w:p w14:paraId="0C74FD7A">
            <w:pPr>
              <w:pageBreakBefore w:val="0"/>
              <w:overflowPunct w:val="0"/>
              <w:bidi w:val="0"/>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A</w:t>
            </w:r>
          </w:p>
        </w:tc>
        <w:tc>
          <w:tcPr>
            <w:tcW w:w="6319" w:type="dxa"/>
            <w:vAlign w:val="center"/>
          </w:tcPr>
          <w:p w14:paraId="7F2CE6E4">
            <w:pPr>
              <w:pageBreakBefore w:val="0"/>
              <w:overflowPunct w:val="0"/>
              <w:bidi w:val="0"/>
              <w:adjustRightInd w:val="0"/>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谈判报价是否唯一且未超过采购预算；</w:t>
            </w:r>
          </w:p>
        </w:tc>
        <w:tc>
          <w:tcPr>
            <w:tcW w:w="1797" w:type="dxa"/>
          </w:tcPr>
          <w:p w14:paraId="78A2B428">
            <w:pPr>
              <w:pageBreakBefore w:val="0"/>
              <w:overflowPunct w:val="0"/>
              <w:bidi w:val="0"/>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合格/不合格</w:t>
            </w:r>
          </w:p>
        </w:tc>
      </w:tr>
      <w:tr w14:paraId="05EA2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vAlign w:val="center"/>
          </w:tcPr>
          <w:p w14:paraId="654F9914">
            <w:pPr>
              <w:pageBreakBefore w:val="0"/>
              <w:overflowPunct w:val="0"/>
              <w:bidi w:val="0"/>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B</w:t>
            </w:r>
          </w:p>
        </w:tc>
        <w:tc>
          <w:tcPr>
            <w:tcW w:w="6319" w:type="dxa"/>
            <w:vAlign w:val="center"/>
          </w:tcPr>
          <w:p w14:paraId="39B06F3B">
            <w:pPr>
              <w:pStyle w:val="11"/>
              <w:pageBreakBefore w:val="0"/>
              <w:overflowPunct w:val="0"/>
              <w:bidi w:val="0"/>
              <w:adjustRightInd w:val="0"/>
              <w:snapToGrid w:val="0"/>
              <w:spacing w:line="360" w:lineRule="auto"/>
              <w:rPr>
                <w:rFonts w:hint="eastAsia" w:ascii="宋体" w:hAnsi="宋体" w:eastAsia="宋体" w:cs="宋体"/>
                <w:sz w:val="24"/>
                <w:highlight w:val="none"/>
              </w:rPr>
            </w:pPr>
            <w:r>
              <w:rPr>
                <w:rFonts w:hint="eastAsia" w:ascii="宋体" w:hAnsi="宋体" w:eastAsia="宋体" w:cs="宋体"/>
                <w:sz w:val="24"/>
                <w:szCs w:val="24"/>
                <w:highlight w:val="none"/>
              </w:rPr>
              <w:t>供货期是否满足谈判文件要求；</w:t>
            </w:r>
          </w:p>
        </w:tc>
        <w:tc>
          <w:tcPr>
            <w:tcW w:w="1797" w:type="dxa"/>
          </w:tcPr>
          <w:p w14:paraId="40A7F18A">
            <w:pPr>
              <w:pageBreakBefore w:val="0"/>
              <w:overflowPunct w:val="0"/>
              <w:bidi w:val="0"/>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合格/不合格</w:t>
            </w:r>
          </w:p>
        </w:tc>
      </w:tr>
      <w:tr w14:paraId="15C21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vAlign w:val="center"/>
          </w:tcPr>
          <w:p w14:paraId="025E2D2C">
            <w:pPr>
              <w:pageBreakBefore w:val="0"/>
              <w:overflowPunct w:val="0"/>
              <w:bidi w:val="0"/>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C</w:t>
            </w:r>
          </w:p>
        </w:tc>
        <w:tc>
          <w:tcPr>
            <w:tcW w:w="6319" w:type="dxa"/>
            <w:vAlign w:val="center"/>
          </w:tcPr>
          <w:p w14:paraId="71F7AE46">
            <w:pPr>
              <w:pStyle w:val="11"/>
              <w:pageBreakBefore w:val="0"/>
              <w:overflowPunct w:val="0"/>
              <w:bidi w:val="0"/>
              <w:adjustRightInd w:val="0"/>
              <w:snapToGrid w:val="0"/>
              <w:spacing w:line="360" w:lineRule="auto"/>
              <w:rPr>
                <w:rFonts w:hint="eastAsia" w:ascii="宋体" w:hAnsi="宋体" w:eastAsia="宋体" w:cs="宋体"/>
                <w:sz w:val="24"/>
                <w:highlight w:val="none"/>
              </w:rPr>
            </w:pPr>
            <w:r>
              <w:rPr>
                <w:rFonts w:hint="eastAsia" w:ascii="宋体" w:hAnsi="宋体" w:eastAsia="宋体" w:cs="宋体"/>
                <w:sz w:val="24"/>
                <w:szCs w:val="24"/>
                <w:highlight w:val="none"/>
              </w:rPr>
              <w:t>质保期是否满足</w:t>
            </w:r>
            <w:r>
              <w:rPr>
                <w:rFonts w:hint="eastAsia" w:ascii="宋体" w:hAnsi="宋体" w:eastAsia="宋体" w:cs="宋体"/>
                <w:sz w:val="24"/>
                <w:highlight w:val="none"/>
              </w:rPr>
              <w:t>谈判</w:t>
            </w:r>
            <w:r>
              <w:rPr>
                <w:rFonts w:hint="eastAsia" w:ascii="宋体" w:hAnsi="宋体" w:eastAsia="宋体" w:cs="宋体"/>
                <w:sz w:val="24"/>
                <w:szCs w:val="24"/>
                <w:highlight w:val="none"/>
              </w:rPr>
              <w:t>文件要求</w:t>
            </w:r>
            <w:r>
              <w:rPr>
                <w:rFonts w:hint="eastAsia" w:ascii="宋体" w:hAnsi="宋体" w:eastAsia="宋体" w:cs="宋体"/>
                <w:sz w:val="24"/>
                <w:highlight w:val="none"/>
              </w:rPr>
              <w:t>；</w:t>
            </w:r>
          </w:p>
        </w:tc>
        <w:tc>
          <w:tcPr>
            <w:tcW w:w="1797" w:type="dxa"/>
          </w:tcPr>
          <w:p w14:paraId="45E5A39A">
            <w:pPr>
              <w:pageBreakBefore w:val="0"/>
              <w:overflowPunct w:val="0"/>
              <w:bidi w:val="0"/>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合格/不合格</w:t>
            </w:r>
          </w:p>
        </w:tc>
      </w:tr>
      <w:tr w14:paraId="6A709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vAlign w:val="center"/>
          </w:tcPr>
          <w:p w14:paraId="514124C3">
            <w:pPr>
              <w:pageBreakBefore w:val="0"/>
              <w:overflowPunct w:val="0"/>
              <w:bidi w:val="0"/>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D</w:t>
            </w:r>
          </w:p>
        </w:tc>
        <w:tc>
          <w:tcPr>
            <w:tcW w:w="6319" w:type="dxa"/>
            <w:vAlign w:val="center"/>
          </w:tcPr>
          <w:p w14:paraId="4B2C3ECE">
            <w:pPr>
              <w:pStyle w:val="11"/>
              <w:pageBreakBefore w:val="0"/>
              <w:overflowPunct w:val="0"/>
              <w:bidi w:val="0"/>
              <w:adjustRightInd w:val="0"/>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谈判/委托有效期是否满足谈判文件要求；</w:t>
            </w:r>
          </w:p>
        </w:tc>
        <w:tc>
          <w:tcPr>
            <w:tcW w:w="1797" w:type="dxa"/>
          </w:tcPr>
          <w:p w14:paraId="7B72493D">
            <w:pPr>
              <w:pageBreakBefore w:val="0"/>
              <w:overflowPunct w:val="0"/>
              <w:bidi w:val="0"/>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合格/不合格</w:t>
            </w:r>
          </w:p>
        </w:tc>
      </w:tr>
      <w:tr w14:paraId="7661F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vAlign w:val="center"/>
          </w:tcPr>
          <w:p w14:paraId="7BA8CE5C">
            <w:pPr>
              <w:pageBreakBefore w:val="0"/>
              <w:overflowPunct w:val="0"/>
              <w:bidi w:val="0"/>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E</w:t>
            </w:r>
          </w:p>
        </w:tc>
        <w:tc>
          <w:tcPr>
            <w:tcW w:w="6319" w:type="dxa"/>
            <w:vAlign w:val="center"/>
          </w:tcPr>
          <w:p w14:paraId="1601A971">
            <w:pPr>
              <w:pStyle w:val="11"/>
              <w:pageBreakBefore w:val="0"/>
              <w:overflowPunct w:val="0"/>
              <w:bidi w:val="0"/>
              <w:adjustRightInd w:val="0"/>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响应文件的签署盖章是否符合谈判文件要求；</w:t>
            </w:r>
          </w:p>
        </w:tc>
        <w:tc>
          <w:tcPr>
            <w:tcW w:w="1797" w:type="dxa"/>
          </w:tcPr>
          <w:p w14:paraId="58CE1E01">
            <w:pPr>
              <w:pageBreakBefore w:val="0"/>
              <w:overflowPunct w:val="0"/>
              <w:bidi w:val="0"/>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合格/不合格</w:t>
            </w:r>
          </w:p>
        </w:tc>
      </w:tr>
      <w:tr w14:paraId="66E86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vAlign w:val="center"/>
          </w:tcPr>
          <w:p w14:paraId="7ACFF2F7">
            <w:pPr>
              <w:pageBreakBefore w:val="0"/>
              <w:overflowPunct w:val="0"/>
              <w:bidi w:val="0"/>
              <w:adjustRightInd w:val="0"/>
              <w:snapToGrid w:val="0"/>
              <w:spacing w:line="360" w:lineRule="auto"/>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F</w:t>
            </w:r>
          </w:p>
        </w:tc>
        <w:tc>
          <w:tcPr>
            <w:tcW w:w="6319" w:type="dxa"/>
            <w:vAlign w:val="center"/>
          </w:tcPr>
          <w:p w14:paraId="16A8F0C8">
            <w:pPr>
              <w:pStyle w:val="11"/>
              <w:pageBreakBefore w:val="0"/>
              <w:overflowPunct w:val="0"/>
              <w:bidi w:val="0"/>
              <w:adjustRightInd w:val="0"/>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响应文件的真实性、有效性是否符合谈判文件要求；</w:t>
            </w:r>
          </w:p>
        </w:tc>
        <w:tc>
          <w:tcPr>
            <w:tcW w:w="1797" w:type="dxa"/>
          </w:tcPr>
          <w:p w14:paraId="6A29F6A8">
            <w:pPr>
              <w:pageBreakBefore w:val="0"/>
              <w:overflowPunct w:val="0"/>
              <w:bidi w:val="0"/>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合格/不合格</w:t>
            </w:r>
          </w:p>
        </w:tc>
      </w:tr>
    </w:tbl>
    <w:p w14:paraId="7CF3EADC">
      <w:pPr>
        <w:pageBreakBefore w:val="0"/>
        <w:bidi w:val="0"/>
        <w:adjustRightInd w:val="0"/>
        <w:snapToGrid w:val="0"/>
        <w:spacing w:line="360" w:lineRule="auto"/>
        <w:ind w:firstLine="482" w:firstLineChars="200"/>
        <w:rPr>
          <w:rFonts w:hint="eastAsia" w:ascii="宋体" w:hAnsi="宋体" w:eastAsia="宋体" w:cs="宋体"/>
          <w:b/>
          <w:bCs/>
          <w:sz w:val="24"/>
          <w:highlight w:val="none"/>
        </w:rPr>
      </w:pPr>
      <w:r>
        <w:rPr>
          <w:rFonts w:hint="eastAsia" w:ascii="宋体" w:hAnsi="宋体" w:eastAsia="宋体" w:cs="宋体"/>
          <w:b/>
          <w:bCs/>
          <w:sz w:val="24"/>
          <w:highlight w:val="none"/>
        </w:rPr>
        <w:t>2.3</w:t>
      </w:r>
      <w:r>
        <w:rPr>
          <w:rFonts w:hint="eastAsia" w:ascii="宋体" w:hAnsi="宋体" w:eastAsia="宋体" w:cs="宋体"/>
          <w:b/>
          <w:bCs/>
          <w:spacing w:val="4"/>
          <w:sz w:val="24"/>
          <w:highlight w:val="none"/>
        </w:rPr>
        <w:t>谈判</w:t>
      </w:r>
      <w:r>
        <w:rPr>
          <w:rFonts w:hint="eastAsia" w:ascii="宋体" w:hAnsi="宋体" w:eastAsia="宋体" w:cs="宋体"/>
          <w:b/>
          <w:bCs/>
          <w:sz w:val="24"/>
          <w:highlight w:val="none"/>
        </w:rPr>
        <w:t>响应文件的响应性审查。</w:t>
      </w:r>
    </w:p>
    <w:p w14:paraId="3486000B">
      <w:pPr>
        <w:pageBreakBefore w:val="0"/>
        <w:bidi w:val="0"/>
        <w:adjustRightInd w:val="0"/>
        <w:snapToGrid w:val="0"/>
        <w:spacing w:line="360" w:lineRule="auto"/>
        <w:ind w:firstLine="482" w:firstLineChars="200"/>
        <w:rPr>
          <w:rFonts w:hint="eastAsia" w:ascii="宋体" w:hAnsi="宋体" w:eastAsia="宋体" w:cs="宋体"/>
          <w:b/>
          <w:bCs/>
          <w:sz w:val="24"/>
          <w:highlight w:val="none"/>
        </w:rPr>
      </w:pPr>
      <w:r>
        <w:rPr>
          <w:rFonts w:hint="eastAsia" w:ascii="宋体" w:hAnsi="宋体" w:eastAsia="宋体" w:cs="宋体"/>
          <w:b/>
          <w:bCs/>
          <w:sz w:val="24"/>
          <w:highlight w:val="none"/>
        </w:rPr>
        <w:t>2.3.1</w:t>
      </w:r>
      <w:r>
        <w:rPr>
          <w:rFonts w:hint="eastAsia" w:ascii="宋体" w:hAnsi="宋体" w:eastAsia="宋体" w:cs="宋体"/>
          <w:b/>
          <w:bCs/>
          <w:spacing w:val="4"/>
          <w:sz w:val="24"/>
          <w:highlight w:val="none"/>
        </w:rPr>
        <w:t>谈判</w:t>
      </w:r>
      <w:r>
        <w:rPr>
          <w:rFonts w:hint="eastAsia" w:ascii="宋体" w:hAnsi="宋体" w:eastAsia="宋体" w:cs="宋体"/>
          <w:b/>
          <w:bCs/>
          <w:sz w:val="24"/>
          <w:highlight w:val="none"/>
        </w:rPr>
        <w:t>报价是否未超过采购预算（最高限价）价格；</w:t>
      </w:r>
    </w:p>
    <w:p w14:paraId="13BC853C">
      <w:pPr>
        <w:pageBreakBefore w:val="0"/>
        <w:bidi w:val="0"/>
        <w:adjustRightInd w:val="0"/>
        <w:snapToGrid w:val="0"/>
        <w:spacing w:line="360" w:lineRule="auto"/>
        <w:ind w:firstLine="482" w:firstLineChars="200"/>
        <w:rPr>
          <w:rFonts w:hint="eastAsia" w:ascii="宋体" w:hAnsi="宋体" w:eastAsia="宋体" w:cs="宋体"/>
          <w:b/>
          <w:bCs/>
          <w:sz w:val="24"/>
          <w:highlight w:val="none"/>
        </w:rPr>
      </w:pPr>
      <w:r>
        <w:rPr>
          <w:rFonts w:hint="eastAsia" w:ascii="宋体" w:hAnsi="宋体" w:eastAsia="宋体" w:cs="宋体"/>
          <w:b/>
          <w:bCs/>
          <w:sz w:val="24"/>
          <w:highlight w:val="none"/>
        </w:rPr>
        <w:t>2.3.2响应文件内容是否符合国家法律法规，是否响应了</w:t>
      </w:r>
      <w:r>
        <w:rPr>
          <w:rFonts w:hint="eastAsia" w:ascii="宋体" w:hAnsi="宋体" w:eastAsia="宋体" w:cs="宋体"/>
          <w:b/>
          <w:bCs/>
          <w:spacing w:val="4"/>
          <w:sz w:val="24"/>
          <w:highlight w:val="none"/>
        </w:rPr>
        <w:t>谈判</w:t>
      </w:r>
      <w:r>
        <w:rPr>
          <w:rFonts w:hint="eastAsia" w:ascii="宋体" w:hAnsi="宋体" w:eastAsia="宋体" w:cs="宋体"/>
          <w:b/>
          <w:bCs/>
          <w:sz w:val="24"/>
          <w:highlight w:val="none"/>
        </w:rPr>
        <w:t>文件要求的全部条款、条件和规格要求，并且提供了支持文件，没有重大偏离；</w:t>
      </w:r>
    </w:p>
    <w:p w14:paraId="424FFD1A">
      <w:pPr>
        <w:pageBreakBefore w:val="0"/>
        <w:bidi w:val="0"/>
        <w:adjustRightInd w:val="0"/>
        <w:snapToGrid w:val="0"/>
        <w:spacing w:line="360" w:lineRule="auto"/>
        <w:ind w:firstLine="482" w:firstLineChars="200"/>
        <w:rPr>
          <w:rFonts w:hint="eastAsia" w:ascii="宋体" w:hAnsi="宋体" w:eastAsia="宋体" w:cs="宋体"/>
          <w:b/>
          <w:bCs/>
          <w:sz w:val="24"/>
          <w:highlight w:val="none"/>
        </w:rPr>
      </w:pPr>
      <w:r>
        <w:rPr>
          <w:rFonts w:hint="eastAsia" w:ascii="宋体" w:hAnsi="宋体" w:eastAsia="宋体" w:cs="宋体"/>
          <w:b/>
          <w:bCs/>
          <w:sz w:val="24"/>
          <w:highlight w:val="none"/>
        </w:rPr>
        <w:t>2.3.3对合同中规定的双方的权利和义务是否做出了实质性响应。</w:t>
      </w:r>
    </w:p>
    <w:p w14:paraId="11ADB207">
      <w:pPr>
        <w:pageBreakBefore w:val="0"/>
        <w:bidi w:val="0"/>
        <w:adjustRightInd w:val="0"/>
        <w:snapToGrid w:val="0"/>
        <w:spacing w:line="360" w:lineRule="auto"/>
        <w:ind w:firstLine="482" w:firstLineChars="200"/>
        <w:rPr>
          <w:rFonts w:hint="eastAsia" w:ascii="宋体" w:hAnsi="宋体" w:eastAsia="宋体" w:cs="宋体"/>
          <w:b/>
          <w:bCs/>
          <w:sz w:val="24"/>
          <w:highlight w:val="none"/>
        </w:rPr>
      </w:pPr>
      <w:bookmarkStart w:id="25" w:name="_Toc27224"/>
      <w:r>
        <w:rPr>
          <w:rFonts w:hint="eastAsia" w:ascii="宋体" w:hAnsi="宋体" w:eastAsia="宋体" w:cs="宋体"/>
          <w:b/>
          <w:bCs/>
          <w:sz w:val="24"/>
          <w:highlight w:val="none"/>
        </w:rPr>
        <w:t>2.4</w:t>
      </w:r>
      <w:bookmarkStart w:id="26" w:name="_Toc494316261"/>
      <w:bookmarkStart w:id="27" w:name="_Toc498271422"/>
      <w:r>
        <w:rPr>
          <w:rFonts w:hint="eastAsia" w:ascii="宋体" w:hAnsi="宋体" w:eastAsia="宋体" w:cs="宋体"/>
          <w:b/>
          <w:bCs/>
          <w:sz w:val="24"/>
          <w:highlight w:val="none"/>
        </w:rPr>
        <w:t>最低报价不是中标的唯一依据。</w:t>
      </w:r>
      <w:r>
        <w:rPr>
          <w:rFonts w:hint="eastAsia" w:ascii="宋体" w:hAnsi="宋体" w:eastAsia="宋体" w:cs="宋体"/>
          <w:b/>
          <w:bCs/>
          <w:spacing w:val="4"/>
          <w:sz w:val="24"/>
          <w:highlight w:val="none"/>
        </w:rPr>
        <w:t>谈判</w:t>
      </w:r>
      <w:r>
        <w:rPr>
          <w:rFonts w:hint="eastAsia" w:ascii="宋体" w:hAnsi="宋体" w:eastAsia="宋体" w:cs="宋体"/>
          <w:b/>
          <w:bCs/>
          <w:sz w:val="24"/>
          <w:highlight w:val="none"/>
        </w:rPr>
        <w:t>小组认为</w:t>
      </w:r>
      <w:r>
        <w:rPr>
          <w:rFonts w:hint="eastAsia" w:ascii="宋体" w:hAnsi="宋体" w:eastAsia="宋体" w:cs="宋体"/>
          <w:b/>
          <w:bCs/>
          <w:spacing w:val="4"/>
          <w:sz w:val="24"/>
          <w:highlight w:val="none"/>
        </w:rPr>
        <w:t>供应商</w:t>
      </w:r>
      <w:r>
        <w:rPr>
          <w:rFonts w:hint="eastAsia" w:ascii="宋体" w:hAnsi="宋体" w:eastAsia="宋体" w:cs="宋体"/>
          <w:b/>
          <w:bCs/>
          <w:sz w:val="24"/>
          <w:highlight w:val="none"/>
        </w:rPr>
        <w:t>的报价明显低于其他通过符合性审查</w:t>
      </w:r>
      <w:r>
        <w:rPr>
          <w:rFonts w:hint="eastAsia" w:ascii="宋体" w:hAnsi="宋体" w:eastAsia="宋体" w:cs="宋体"/>
          <w:b/>
          <w:bCs/>
          <w:spacing w:val="4"/>
          <w:sz w:val="24"/>
          <w:highlight w:val="none"/>
        </w:rPr>
        <w:t>供应商</w:t>
      </w:r>
      <w:r>
        <w:rPr>
          <w:rFonts w:hint="eastAsia" w:ascii="宋体" w:hAnsi="宋体" w:eastAsia="宋体" w:cs="宋体"/>
          <w:b/>
          <w:bCs/>
          <w:sz w:val="24"/>
          <w:highlight w:val="none"/>
        </w:rPr>
        <w:t>的报价，有可能影响产品质量或者不能诚信履约的，应当要求其在评标现场合理的时间内提供书面说明，必要时提交相关证明材料；</w:t>
      </w:r>
      <w:r>
        <w:rPr>
          <w:rFonts w:hint="eastAsia" w:ascii="宋体" w:hAnsi="宋体" w:eastAsia="宋体" w:cs="宋体"/>
          <w:b/>
          <w:bCs/>
          <w:spacing w:val="4"/>
          <w:sz w:val="24"/>
          <w:highlight w:val="none"/>
        </w:rPr>
        <w:t>供应商</w:t>
      </w:r>
      <w:r>
        <w:rPr>
          <w:rFonts w:hint="eastAsia" w:ascii="宋体" w:hAnsi="宋体" w:eastAsia="宋体" w:cs="宋体"/>
          <w:b/>
          <w:bCs/>
          <w:sz w:val="24"/>
          <w:highlight w:val="none"/>
        </w:rPr>
        <w:t>不能证明其报价合理性的，</w:t>
      </w:r>
      <w:r>
        <w:rPr>
          <w:rFonts w:hint="eastAsia" w:ascii="宋体" w:hAnsi="宋体" w:eastAsia="宋体" w:cs="宋体"/>
          <w:b/>
          <w:bCs/>
          <w:spacing w:val="4"/>
          <w:sz w:val="24"/>
          <w:highlight w:val="none"/>
        </w:rPr>
        <w:t>谈判</w:t>
      </w:r>
      <w:r>
        <w:rPr>
          <w:rFonts w:hint="eastAsia" w:ascii="宋体" w:hAnsi="宋体" w:eastAsia="宋体" w:cs="宋体"/>
          <w:b/>
          <w:bCs/>
          <w:sz w:val="24"/>
          <w:highlight w:val="none"/>
        </w:rPr>
        <w:t>小组应当将其作为无效投标处理。</w:t>
      </w:r>
      <w:bookmarkEnd w:id="25"/>
      <w:bookmarkEnd w:id="26"/>
      <w:bookmarkEnd w:id="27"/>
    </w:p>
    <w:p w14:paraId="70868E69">
      <w:pPr>
        <w:pageBreakBefore w:val="0"/>
        <w:bidi w:val="0"/>
        <w:adjustRightInd w:val="0"/>
        <w:snapToGrid w:val="0"/>
        <w:spacing w:line="360" w:lineRule="auto"/>
        <w:ind w:firstLine="482" w:firstLineChars="200"/>
        <w:rPr>
          <w:rFonts w:hint="eastAsia" w:ascii="宋体" w:hAnsi="宋体" w:eastAsia="宋体" w:cs="宋体"/>
          <w:b/>
          <w:bCs/>
          <w:sz w:val="24"/>
          <w:highlight w:val="none"/>
        </w:rPr>
      </w:pPr>
      <w:r>
        <w:rPr>
          <w:rFonts w:hint="eastAsia" w:ascii="宋体" w:hAnsi="宋体" w:eastAsia="宋体" w:cs="宋体"/>
          <w:b/>
          <w:bCs/>
          <w:sz w:val="24"/>
          <w:highlight w:val="none"/>
        </w:rPr>
        <w:t>2.4.1对谈判文件所规定的技术参数未进行实质性响应的</w:t>
      </w:r>
      <w:r>
        <w:rPr>
          <w:rFonts w:hint="eastAsia" w:ascii="宋体" w:hAnsi="宋体" w:eastAsia="宋体" w:cs="宋体"/>
          <w:b/>
          <w:bCs/>
          <w:sz w:val="24"/>
          <w:highlight w:val="none"/>
          <w:lang w:eastAsia="zh-CN"/>
        </w:rPr>
        <w:t>，</w:t>
      </w:r>
      <w:r>
        <w:rPr>
          <w:rFonts w:hint="eastAsia" w:ascii="宋体" w:hAnsi="宋体" w:eastAsia="宋体" w:cs="宋体"/>
          <w:b/>
          <w:bCs/>
          <w:spacing w:val="4"/>
          <w:sz w:val="24"/>
          <w:highlight w:val="none"/>
        </w:rPr>
        <w:t>谈判</w:t>
      </w:r>
      <w:r>
        <w:rPr>
          <w:rFonts w:hint="eastAsia" w:ascii="宋体" w:hAnsi="宋体" w:eastAsia="宋体" w:cs="宋体"/>
          <w:b/>
          <w:bCs/>
          <w:sz w:val="24"/>
          <w:highlight w:val="none"/>
        </w:rPr>
        <w:t>小组应当将其作为无效投标处理</w:t>
      </w:r>
      <w:r>
        <w:rPr>
          <w:rFonts w:hint="eastAsia" w:ascii="宋体" w:hAnsi="宋体" w:eastAsia="宋体" w:cs="宋体"/>
          <w:b/>
          <w:bCs/>
          <w:sz w:val="24"/>
          <w:highlight w:val="none"/>
          <w:lang w:eastAsia="zh-CN"/>
        </w:rPr>
        <w:t>（</w:t>
      </w:r>
      <w:r>
        <w:rPr>
          <w:rFonts w:hint="eastAsia" w:ascii="宋体" w:hAnsi="宋体" w:eastAsia="宋体" w:cs="宋体"/>
          <w:b/>
          <w:bCs/>
          <w:sz w:val="24"/>
          <w:highlight w:val="none"/>
          <w:lang w:val="en-US" w:eastAsia="zh-CN"/>
        </w:rPr>
        <w:t>注：技术参数中标注*的</w:t>
      </w:r>
      <w:r>
        <w:rPr>
          <w:rFonts w:hint="eastAsia" w:eastAsia="宋体" w:cs="宋体"/>
          <w:b/>
          <w:bCs/>
          <w:kern w:val="2"/>
          <w:sz w:val="24"/>
          <w:szCs w:val="24"/>
          <w:highlight w:val="none"/>
          <w:lang w:val="en-US" w:eastAsia="zh-CN"/>
        </w:rPr>
        <w:t>条款为实质性要求和条件</w:t>
      </w:r>
      <w:r>
        <w:rPr>
          <w:rFonts w:hint="eastAsia" w:ascii="宋体" w:hAnsi="宋体" w:eastAsia="宋体" w:cs="宋体"/>
          <w:b/>
          <w:bCs/>
          <w:sz w:val="24"/>
          <w:highlight w:val="none"/>
          <w:lang w:eastAsia="zh-CN"/>
        </w:rPr>
        <w:t>）</w:t>
      </w:r>
      <w:r>
        <w:rPr>
          <w:rFonts w:hint="eastAsia" w:ascii="宋体" w:hAnsi="宋体" w:eastAsia="宋体" w:cs="宋体"/>
          <w:b/>
          <w:bCs/>
          <w:sz w:val="24"/>
          <w:highlight w:val="none"/>
        </w:rPr>
        <w:t>。</w:t>
      </w:r>
    </w:p>
    <w:p w14:paraId="6694D645">
      <w:pPr>
        <w:pageBreakBefore w:val="0"/>
        <w:bidi w:val="0"/>
        <w:adjustRightInd w:val="0"/>
        <w:snapToGrid w:val="0"/>
        <w:spacing w:line="360" w:lineRule="auto"/>
        <w:ind w:firstLine="482" w:firstLineChars="200"/>
        <w:rPr>
          <w:rFonts w:hint="eastAsia" w:ascii="宋体" w:hAnsi="宋体" w:eastAsia="宋体" w:cs="宋体"/>
          <w:b/>
          <w:sz w:val="24"/>
          <w:highlight w:val="none"/>
          <w:lang w:eastAsia="zh-CN"/>
        </w:rPr>
      </w:pPr>
      <w:r>
        <w:rPr>
          <w:rFonts w:hint="eastAsia" w:ascii="宋体" w:hAnsi="宋体" w:eastAsia="宋体" w:cs="宋体"/>
          <w:b/>
          <w:sz w:val="24"/>
          <w:highlight w:val="none"/>
          <w:lang w:val="en-US" w:eastAsia="zh-CN"/>
        </w:rPr>
        <w:t>3.</w:t>
      </w:r>
      <w:r>
        <w:rPr>
          <w:rFonts w:hint="eastAsia" w:ascii="宋体" w:hAnsi="宋体" w:eastAsia="宋体" w:cs="宋体"/>
          <w:b/>
          <w:sz w:val="24"/>
          <w:highlight w:val="none"/>
        </w:rPr>
        <w:t>竞争性谈判响应文件密封检查：本项目采用电子化谈判，不涉及纸质响应文件的递交与密封检查</w:t>
      </w:r>
      <w:r>
        <w:rPr>
          <w:rFonts w:hint="eastAsia" w:ascii="宋体" w:hAnsi="宋体" w:eastAsia="宋体" w:cs="宋体"/>
          <w:b/>
          <w:sz w:val="24"/>
          <w:highlight w:val="none"/>
          <w:lang w:eastAsia="zh-CN"/>
        </w:rPr>
        <w:t>。</w:t>
      </w:r>
    </w:p>
    <w:p w14:paraId="67A458F9">
      <w:pPr>
        <w:pageBreakBefore w:val="0"/>
        <w:numPr>
          <w:ilvl w:val="0"/>
          <w:numId w:val="0"/>
        </w:numPr>
        <w:bidi w:val="0"/>
        <w:adjustRightInd w:val="0"/>
        <w:snapToGrid w:val="0"/>
        <w:spacing w:line="360" w:lineRule="auto"/>
        <w:ind w:leftChars="0" w:firstLine="482" w:firstLineChars="200"/>
        <w:rPr>
          <w:rFonts w:hint="eastAsia" w:ascii="宋体" w:hAnsi="宋体" w:eastAsia="宋体" w:cs="宋体"/>
          <w:b/>
          <w:sz w:val="24"/>
          <w:highlight w:val="none"/>
        </w:rPr>
      </w:pPr>
      <w:r>
        <w:rPr>
          <w:rFonts w:hint="eastAsia" w:ascii="宋体" w:hAnsi="宋体" w:eastAsia="宋体" w:cs="宋体"/>
          <w:b/>
          <w:sz w:val="24"/>
          <w:highlight w:val="none"/>
        </w:rPr>
        <w:t>4.澄清有关问题：</w:t>
      </w:r>
    </w:p>
    <w:p w14:paraId="26F64763">
      <w:pPr>
        <w:pageBreakBefore w:val="0"/>
        <w:bidi w:val="0"/>
        <w:adjustRightInd w:val="0"/>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kern w:val="0"/>
          <w:sz w:val="24"/>
          <w:highlight w:val="none"/>
        </w:rPr>
        <w:t>4.1竞争性</w:t>
      </w:r>
      <w:r>
        <w:rPr>
          <w:rFonts w:hint="eastAsia" w:ascii="宋体" w:hAnsi="宋体" w:eastAsia="宋体" w:cs="宋体"/>
          <w:spacing w:val="4"/>
          <w:sz w:val="24"/>
          <w:highlight w:val="none"/>
        </w:rPr>
        <w:t>谈判</w:t>
      </w:r>
      <w:r>
        <w:rPr>
          <w:rFonts w:hint="eastAsia" w:ascii="宋体" w:hAnsi="宋体" w:eastAsia="宋体" w:cs="宋体"/>
          <w:kern w:val="0"/>
          <w:sz w:val="24"/>
          <w:highlight w:val="none"/>
        </w:rPr>
        <w:t>小组</w:t>
      </w:r>
      <w:r>
        <w:rPr>
          <w:rFonts w:hint="eastAsia" w:ascii="宋体" w:hAnsi="宋体" w:eastAsia="宋体" w:cs="宋体"/>
          <w:sz w:val="24"/>
          <w:highlight w:val="none"/>
        </w:rPr>
        <w:t>在对响应文件的有效性、完整性和响应程度进行审查时，可以要求供应商对响应文件中含义不明确、同类问题表述不一致或者有明显文字和计算错误的内容等作出必要的澄清、说明或者更正。</w:t>
      </w:r>
    </w:p>
    <w:p w14:paraId="511D6F44">
      <w:pPr>
        <w:pageBreakBefore w:val="0"/>
        <w:bidi w:val="0"/>
        <w:adjustRightInd w:val="0"/>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kern w:val="0"/>
          <w:sz w:val="24"/>
          <w:highlight w:val="none"/>
        </w:rPr>
        <w:t>竞争性</w:t>
      </w:r>
      <w:r>
        <w:rPr>
          <w:rFonts w:hint="eastAsia" w:ascii="宋体" w:hAnsi="宋体" w:eastAsia="宋体" w:cs="宋体"/>
          <w:spacing w:val="4"/>
          <w:sz w:val="24"/>
          <w:highlight w:val="none"/>
        </w:rPr>
        <w:t>谈判</w:t>
      </w:r>
      <w:r>
        <w:rPr>
          <w:rFonts w:hint="eastAsia" w:ascii="宋体" w:hAnsi="宋体" w:eastAsia="宋体" w:cs="宋体"/>
          <w:kern w:val="0"/>
          <w:sz w:val="24"/>
          <w:highlight w:val="none"/>
        </w:rPr>
        <w:t>小组</w:t>
      </w:r>
      <w:r>
        <w:rPr>
          <w:rFonts w:hint="eastAsia" w:ascii="宋体" w:hAnsi="宋体" w:eastAsia="宋体" w:cs="宋体"/>
          <w:sz w:val="24"/>
          <w:highlight w:val="none"/>
        </w:rPr>
        <w:t>要求供应商澄清、说明或者更正响应文件的，应当以书面形式提出。供应商的澄清、说明或者更正应当由法定代表人或其授权代表签字或者加盖公章。由授权代表签字的，应当提供法定代表人授权书。</w:t>
      </w:r>
    </w:p>
    <w:p w14:paraId="7142566C">
      <w:pPr>
        <w:pageBreakBefore w:val="0"/>
        <w:bidi w:val="0"/>
        <w:adjustRightInd w:val="0"/>
        <w:snapToGrid w:val="0"/>
        <w:spacing w:line="360" w:lineRule="auto"/>
        <w:ind w:firstLine="360" w:firstLineChars="150"/>
        <w:rPr>
          <w:rFonts w:hint="eastAsia" w:ascii="宋体" w:hAnsi="宋体" w:eastAsia="宋体" w:cs="宋体"/>
          <w:kern w:val="0"/>
          <w:sz w:val="24"/>
          <w:highlight w:val="none"/>
        </w:rPr>
      </w:pPr>
      <w:r>
        <w:rPr>
          <w:rFonts w:hint="eastAsia" w:ascii="宋体" w:hAnsi="宋体" w:eastAsia="宋体" w:cs="宋体"/>
          <w:kern w:val="0"/>
          <w:sz w:val="24"/>
          <w:highlight w:val="none"/>
        </w:rPr>
        <w:t xml:space="preserve"> 4.2竞争性</w:t>
      </w:r>
      <w:r>
        <w:rPr>
          <w:rFonts w:hint="eastAsia" w:ascii="宋体" w:hAnsi="宋体" w:eastAsia="宋体" w:cs="宋体"/>
          <w:spacing w:val="4"/>
          <w:sz w:val="24"/>
          <w:highlight w:val="none"/>
        </w:rPr>
        <w:t>谈判</w:t>
      </w:r>
      <w:r>
        <w:rPr>
          <w:rFonts w:hint="eastAsia" w:ascii="宋体" w:hAnsi="宋体" w:eastAsia="宋体" w:cs="宋体"/>
          <w:kern w:val="0"/>
          <w:sz w:val="24"/>
          <w:highlight w:val="none"/>
        </w:rPr>
        <w:t>响应文件报价出现前后不一致的，按照下列规定修正：</w:t>
      </w:r>
    </w:p>
    <w:p w14:paraId="18FA5B75">
      <w:pPr>
        <w:pageBreakBefore w:val="0"/>
        <w:bidi w:val="0"/>
        <w:adjustRightInd w:val="0"/>
        <w:snapToGrid w:val="0"/>
        <w:spacing w:line="360" w:lineRule="auto"/>
        <w:ind w:firstLine="496" w:firstLineChars="200"/>
        <w:rPr>
          <w:rFonts w:hint="eastAsia" w:ascii="宋体" w:hAnsi="宋体" w:eastAsia="宋体" w:cs="宋体"/>
          <w:spacing w:val="4"/>
          <w:sz w:val="24"/>
          <w:highlight w:val="none"/>
        </w:rPr>
      </w:pPr>
      <w:r>
        <w:rPr>
          <w:rFonts w:hint="eastAsia" w:ascii="宋体" w:hAnsi="宋体" w:eastAsia="宋体" w:cs="宋体"/>
          <w:spacing w:val="4"/>
          <w:sz w:val="24"/>
          <w:highlight w:val="none"/>
        </w:rPr>
        <w:t>①竞争性谈判响应文件中谈判一览表内容与竞争性谈判响应文件中相应内容不一致的，以谈判一览表为准；</w:t>
      </w:r>
    </w:p>
    <w:p w14:paraId="57935279">
      <w:pPr>
        <w:pageBreakBefore w:val="0"/>
        <w:bidi w:val="0"/>
        <w:adjustRightInd w:val="0"/>
        <w:snapToGrid w:val="0"/>
        <w:spacing w:line="360" w:lineRule="auto"/>
        <w:ind w:firstLine="496" w:firstLineChars="200"/>
        <w:rPr>
          <w:rFonts w:hint="eastAsia" w:ascii="宋体" w:hAnsi="宋体" w:eastAsia="宋体" w:cs="宋体"/>
          <w:spacing w:val="4"/>
          <w:sz w:val="24"/>
          <w:highlight w:val="none"/>
        </w:rPr>
      </w:pPr>
      <w:r>
        <w:rPr>
          <w:rFonts w:hint="eastAsia" w:ascii="宋体" w:hAnsi="宋体" w:eastAsia="宋体" w:cs="宋体"/>
          <w:spacing w:val="4"/>
          <w:sz w:val="24"/>
          <w:highlight w:val="none"/>
        </w:rPr>
        <w:t>②大写金额和小写金额不一致的，以大写金额为准；</w:t>
      </w:r>
    </w:p>
    <w:p w14:paraId="49CFC3EC">
      <w:pPr>
        <w:pageBreakBefore w:val="0"/>
        <w:bidi w:val="0"/>
        <w:adjustRightInd w:val="0"/>
        <w:snapToGrid w:val="0"/>
        <w:spacing w:line="360" w:lineRule="auto"/>
        <w:ind w:firstLine="496" w:firstLineChars="200"/>
        <w:rPr>
          <w:rFonts w:hint="eastAsia" w:ascii="宋体" w:hAnsi="宋体" w:eastAsia="宋体" w:cs="宋体"/>
          <w:spacing w:val="4"/>
          <w:sz w:val="24"/>
          <w:highlight w:val="none"/>
        </w:rPr>
      </w:pPr>
      <w:r>
        <w:rPr>
          <w:rFonts w:hint="eastAsia" w:ascii="宋体" w:hAnsi="宋体" w:eastAsia="宋体" w:cs="宋体"/>
          <w:spacing w:val="4"/>
          <w:sz w:val="24"/>
          <w:highlight w:val="none"/>
        </w:rPr>
        <w:t>③单价金额小数点或者百分比有明显错位的，以谈判一览表的总价为准，并修改单价；</w:t>
      </w:r>
    </w:p>
    <w:p w14:paraId="429C1804">
      <w:pPr>
        <w:pageBreakBefore w:val="0"/>
        <w:bidi w:val="0"/>
        <w:adjustRightInd w:val="0"/>
        <w:snapToGrid w:val="0"/>
        <w:spacing w:line="360" w:lineRule="auto"/>
        <w:ind w:firstLine="496" w:firstLineChars="200"/>
        <w:rPr>
          <w:rFonts w:hint="eastAsia" w:ascii="宋体" w:hAnsi="宋体" w:eastAsia="宋体" w:cs="宋体"/>
          <w:spacing w:val="4"/>
          <w:sz w:val="24"/>
          <w:highlight w:val="none"/>
        </w:rPr>
      </w:pPr>
      <w:r>
        <w:rPr>
          <w:rFonts w:hint="eastAsia" w:ascii="宋体" w:hAnsi="宋体" w:eastAsia="宋体" w:cs="宋体"/>
          <w:spacing w:val="4"/>
          <w:sz w:val="24"/>
          <w:highlight w:val="none"/>
        </w:rPr>
        <w:t>④总价金额与按单价汇总金额不一致的，以单价金额计算结果为准。</w:t>
      </w:r>
    </w:p>
    <w:p w14:paraId="79521EC7">
      <w:pPr>
        <w:pageBreakBefore w:val="0"/>
        <w:bidi w:val="0"/>
        <w:adjustRightInd w:val="0"/>
        <w:snapToGrid w:val="0"/>
        <w:spacing w:line="360" w:lineRule="auto"/>
        <w:ind w:firstLine="480" w:firstLineChars="200"/>
        <w:rPr>
          <w:rFonts w:hint="eastAsia" w:ascii="宋体" w:hAnsi="宋体" w:eastAsia="宋体" w:cs="宋体"/>
          <w:kern w:val="0"/>
          <w:sz w:val="24"/>
          <w:highlight w:val="none"/>
        </w:rPr>
      </w:pPr>
      <w:r>
        <w:rPr>
          <w:rFonts w:hint="eastAsia" w:ascii="宋体" w:hAnsi="宋体" w:eastAsia="宋体" w:cs="宋体"/>
          <w:kern w:val="0"/>
          <w:sz w:val="24"/>
          <w:highlight w:val="none"/>
        </w:rPr>
        <w:t>⑤同时出现两种以上不一致的，按照前款规定的顺序修正。修正后的报价经供应商书面确认后产生约束力，供应商不确认的，其</w:t>
      </w:r>
      <w:r>
        <w:rPr>
          <w:rFonts w:hint="eastAsia" w:ascii="宋体" w:hAnsi="宋体" w:eastAsia="宋体" w:cs="宋体"/>
          <w:spacing w:val="4"/>
          <w:sz w:val="24"/>
          <w:highlight w:val="none"/>
        </w:rPr>
        <w:t>谈判</w:t>
      </w:r>
      <w:r>
        <w:rPr>
          <w:rFonts w:hint="eastAsia" w:ascii="宋体" w:hAnsi="宋体" w:eastAsia="宋体" w:cs="宋体"/>
          <w:kern w:val="0"/>
          <w:sz w:val="24"/>
          <w:highlight w:val="none"/>
        </w:rPr>
        <w:t>无效。</w:t>
      </w:r>
    </w:p>
    <w:p w14:paraId="5E73A384">
      <w:pPr>
        <w:pageBreakBefore w:val="0"/>
        <w:bidi w:val="0"/>
        <w:adjustRightInd w:val="0"/>
        <w:snapToGrid w:val="0"/>
        <w:spacing w:line="360" w:lineRule="auto"/>
        <w:ind w:firstLine="482" w:firstLineChars="200"/>
        <w:rPr>
          <w:rFonts w:hint="eastAsia" w:ascii="宋体" w:hAnsi="宋体" w:eastAsia="宋体" w:cs="宋体"/>
          <w:sz w:val="24"/>
          <w:highlight w:val="none"/>
        </w:rPr>
      </w:pPr>
      <w:r>
        <w:rPr>
          <w:rFonts w:hint="eastAsia" w:ascii="宋体" w:hAnsi="宋体" w:eastAsia="宋体" w:cs="宋体"/>
          <w:b/>
          <w:kern w:val="0"/>
          <w:sz w:val="24"/>
          <w:highlight w:val="none"/>
        </w:rPr>
        <w:t>5.竞争性谈判小组</w:t>
      </w:r>
      <w:r>
        <w:rPr>
          <w:rFonts w:hint="eastAsia" w:ascii="宋体" w:hAnsi="宋体" w:eastAsia="宋体" w:cs="宋体"/>
          <w:b/>
          <w:sz w:val="24"/>
          <w:highlight w:val="none"/>
        </w:rPr>
        <w:t>逐一与实质性响应竞争性谈判文件要求的供应商进行谈判。谈判结束后有效供应商要求提交第二次报价。</w:t>
      </w:r>
    </w:p>
    <w:p w14:paraId="1554D619">
      <w:pPr>
        <w:pageBreakBefore w:val="0"/>
        <w:bidi w:val="0"/>
        <w:adjustRightInd w:val="0"/>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kern w:val="0"/>
          <w:sz w:val="24"/>
          <w:highlight w:val="none"/>
        </w:rPr>
        <w:t>根据</w:t>
      </w:r>
      <w:r>
        <w:rPr>
          <w:rFonts w:hint="eastAsia" w:ascii="宋体" w:hAnsi="宋体" w:eastAsia="宋体" w:cs="宋体"/>
          <w:sz w:val="24"/>
          <w:highlight w:val="none"/>
        </w:rPr>
        <w:t>相关法律法规的规定，在</w:t>
      </w:r>
      <w:r>
        <w:rPr>
          <w:rFonts w:hint="eastAsia" w:ascii="宋体" w:hAnsi="宋体" w:eastAsia="宋体" w:cs="宋体"/>
          <w:spacing w:val="4"/>
          <w:sz w:val="24"/>
          <w:highlight w:val="none"/>
        </w:rPr>
        <w:t>谈判</w:t>
      </w:r>
      <w:r>
        <w:rPr>
          <w:rFonts w:hint="eastAsia" w:ascii="宋体" w:hAnsi="宋体" w:eastAsia="宋体" w:cs="宋体"/>
          <w:sz w:val="24"/>
          <w:highlight w:val="none"/>
        </w:rPr>
        <w:t>过程中，</w:t>
      </w:r>
      <w:r>
        <w:rPr>
          <w:rFonts w:hint="eastAsia" w:ascii="宋体" w:hAnsi="宋体" w:eastAsia="宋体" w:cs="宋体"/>
          <w:spacing w:val="4"/>
          <w:sz w:val="24"/>
          <w:highlight w:val="none"/>
        </w:rPr>
        <w:t>谈判</w:t>
      </w:r>
      <w:r>
        <w:rPr>
          <w:rFonts w:hint="eastAsia" w:ascii="宋体" w:hAnsi="宋体" w:eastAsia="宋体" w:cs="宋体"/>
          <w:sz w:val="24"/>
          <w:highlight w:val="none"/>
        </w:rPr>
        <w:t>小组可以根据竞争性</w:t>
      </w:r>
      <w:r>
        <w:rPr>
          <w:rFonts w:hint="eastAsia" w:ascii="宋体" w:hAnsi="宋体" w:eastAsia="宋体" w:cs="宋体"/>
          <w:spacing w:val="4"/>
          <w:sz w:val="24"/>
          <w:highlight w:val="none"/>
        </w:rPr>
        <w:t>谈判</w:t>
      </w:r>
      <w:r>
        <w:rPr>
          <w:rFonts w:hint="eastAsia" w:ascii="宋体" w:hAnsi="宋体" w:eastAsia="宋体" w:cs="宋体"/>
          <w:sz w:val="24"/>
          <w:highlight w:val="none"/>
        </w:rPr>
        <w:t>文件和</w:t>
      </w:r>
      <w:r>
        <w:rPr>
          <w:rFonts w:hint="eastAsia" w:ascii="宋体" w:hAnsi="宋体" w:eastAsia="宋体" w:cs="宋体"/>
          <w:spacing w:val="4"/>
          <w:sz w:val="24"/>
          <w:highlight w:val="none"/>
        </w:rPr>
        <w:t>谈判</w:t>
      </w:r>
      <w:r>
        <w:rPr>
          <w:rFonts w:hint="eastAsia" w:ascii="宋体" w:hAnsi="宋体" w:eastAsia="宋体" w:cs="宋体"/>
          <w:sz w:val="24"/>
          <w:highlight w:val="none"/>
        </w:rPr>
        <w:t>情况实质性变动采购需求中的技术、服务要求以及合同草案条款，但不得变动竞争性</w:t>
      </w:r>
      <w:r>
        <w:rPr>
          <w:rFonts w:hint="eastAsia" w:ascii="宋体" w:hAnsi="宋体" w:eastAsia="宋体" w:cs="宋体"/>
          <w:spacing w:val="4"/>
          <w:sz w:val="24"/>
          <w:highlight w:val="none"/>
        </w:rPr>
        <w:t>谈判</w:t>
      </w:r>
      <w:r>
        <w:rPr>
          <w:rFonts w:hint="eastAsia" w:ascii="宋体" w:hAnsi="宋体" w:eastAsia="宋体" w:cs="宋体"/>
          <w:sz w:val="24"/>
          <w:highlight w:val="none"/>
        </w:rPr>
        <w:t>文件中的其他内容。</w:t>
      </w:r>
    </w:p>
    <w:p w14:paraId="72A63A12">
      <w:pPr>
        <w:pageBreakBefore w:val="0"/>
        <w:bidi w:val="0"/>
        <w:adjustRightInd w:val="0"/>
        <w:snapToGrid w:val="0"/>
        <w:spacing w:line="360" w:lineRule="auto"/>
        <w:ind w:firstLine="482" w:firstLineChars="200"/>
        <w:rPr>
          <w:rFonts w:hint="eastAsia" w:ascii="宋体" w:hAnsi="宋体" w:eastAsia="宋体" w:cs="宋体"/>
          <w:b/>
          <w:bCs/>
          <w:sz w:val="24"/>
          <w:highlight w:val="none"/>
        </w:rPr>
      </w:pPr>
      <w:r>
        <w:rPr>
          <w:rFonts w:hint="eastAsia" w:ascii="宋体" w:hAnsi="宋体" w:eastAsia="宋体" w:cs="宋体"/>
          <w:b/>
          <w:bCs/>
          <w:sz w:val="24"/>
          <w:highlight w:val="none"/>
        </w:rPr>
        <w:t>注：第二次报价为本项目</w:t>
      </w:r>
      <w:r>
        <w:rPr>
          <w:rFonts w:hint="eastAsia" w:ascii="宋体" w:hAnsi="宋体" w:eastAsia="宋体" w:cs="宋体"/>
          <w:b/>
          <w:bCs/>
          <w:spacing w:val="4"/>
          <w:sz w:val="24"/>
          <w:highlight w:val="none"/>
        </w:rPr>
        <w:t>谈判</w:t>
      </w:r>
      <w:r>
        <w:rPr>
          <w:rFonts w:hint="eastAsia" w:ascii="宋体" w:hAnsi="宋体" w:eastAsia="宋体" w:cs="宋体"/>
          <w:b/>
          <w:bCs/>
          <w:sz w:val="24"/>
          <w:highlight w:val="none"/>
        </w:rPr>
        <w:t>活动的最终商务报价。</w:t>
      </w:r>
    </w:p>
    <w:p w14:paraId="6E0EBF32">
      <w:pPr>
        <w:pageBreakBefore w:val="0"/>
        <w:bidi w:val="0"/>
        <w:adjustRightInd w:val="0"/>
        <w:snapToGrid w:val="0"/>
        <w:spacing w:line="360" w:lineRule="auto"/>
        <w:ind w:firstLine="482" w:firstLineChars="200"/>
        <w:rPr>
          <w:rFonts w:hint="eastAsia" w:ascii="宋体" w:hAnsi="宋体" w:eastAsia="宋体" w:cs="宋体"/>
          <w:b/>
          <w:sz w:val="24"/>
          <w:highlight w:val="none"/>
        </w:rPr>
      </w:pPr>
      <w:r>
        <w:rPr>
          <w:rFonts w:hint="eastAsia" w:ascii="宋体" w:hAnsi="宋体" w:eastAsia="宋体" w:cs="宋体"/>
          <w:b/>
          <w:sz w:val="24"/>
          <w:highlight w:val="none"/>
        </w:rPr>
        <w:t>6.比较与评价</w:t>
      </w:r>
    </w:p>
    <w:p w14:paraId="46C9C857">
      <w:pPr>
        <w:pageBreakBefore w:val="0"/>
        <w:bidi w:val="0"/>
        <w:adjustRightInd w:val="0"/>
        <w:snapToGrid w:val="0"/>
        <w:spacing w:line="360" w:lineRule="auto"/>
        <w:ind w:firstLine="480" w:firstLineChars="200"/>
        <w:rPr>
          <w:rFonts w:hint="eastAsia" w:ascii="宋体" w:hAnsi="宋体" w:eastAsia="宋体" w:cs="宋体"/>
          <w:spacing w:val="4"/>
          <w:sz w:val="24"/>
          <w:highlight w:val="none"/>
        </w:rPr>
      </w:pPr>
      <w:r>
        <w:rPr>
          <w:rFonts w:hint="eastAsia" w:ascii="宋体" w:hAnsi="宋体" w:eastAsia="宋体" w:cs="宋体"/>
          <w:sz w:val="24"/>
          <w:highlight w:val="none"/>
        </w:rPr>
        <w:t>（1）谈判小组评审竞争性谈判响应文件的响应性及符合性，并对供应商编制的竞争性谈判响应文件进行详细评审，对本项目谈判文件中要求的“采购内容和要求”和“商务要求”进行逐一核实，如供应商未对本项目谈判文件中要求的“采购内容和要求”和“商务要求”逐一进行实质性响应的，将按照无效谈判处理，不得继续参与后续的第二次商务报价。谈判小组</w:t>
      </w:r>
      <w:r>
        <w:rPr>
          <w:rFonts w:hint="eastAsia" w:ascii="宋体" w:hAnsi="宋体" w:eastAsia="宋体" w:cs="宋体"/>
          <w:spacing w:val="4"/>
          <w:sz w:val="24"/>
          <w:highlight w:val="none"/>
        </w:rPr>
        <w:t>只根据竞争性谈判响应文件本身的内容及本项目竞争性谈判文件的内容进行评审，而不寻求其他外部证据。</w:t>
      </w:r>
    </w:p>
    <w:p w14:paraId="46179017">
      <w:pPr>
        <w:pageBreakBefore w:val="0"/>
        <w:bidi w:val="0"/>
        <w:adjustRightInd w:val="0"/>
        <w:snapToGrid w:val="0"/>
        <w:spacing w:line="360" w:lineRule="auto"/>
        <w:ind w:firstLine="496" w:firstLineChars="200"/>
        <w:rPr>
          <w:rFonts w:hint="eastAsia" w:ascii="宋体" w:hAnsi="宋体" w:eastAsia="宋体" w:cs="宋体"/>
          <w:spacing w:val="4"/>
          <w:sz w:val="24"/>
          <w:highlight w:val="none"/>
        </w:rPr>
      </w:pPr>
      <w:r>
        <w:rPr>
          <w:rFonts w:hint="eastAsia" w:ascii="宋体" w:hAnsi="宋体" w:eastAsia="宋体" w:cs="宋体"/>
          <w:spacing w:val="4"/>
          <w:sz w:val="24"/>
          <w:highlight w:val="none"/>
        </w:rPr>
        <w:t>（2）谈判小组所有成员应当集中与单一供应商分别进行谈判，并给予所有参加谈判的供应商平等谈判的机会。</w:t>
      </w:r>
    </w:p>
    <w:p w14:paraId="10FF9E12">
      <w:pPr>
        <w:pageBreakBefore w:val="0"/>
        <w:bidi w:val="0"/>
        <w:adjustRightInd w:val="0"/>
        <w:snapToGrid w:val="0"/>
        <w:spacing w:line="360" w:lineRule="auto"/>
        <w:ind w:firstLine="496" w:firstLineChars="200"/>
        <w:rPr>
          <w:rFonts w:hint="eastAsia" w:ascii="宋体" w:hAnsi="宋体" w:eastAsia="宋体" w:cs="宋体"/>
          <w:spacing w:val="4"/>
          <w:sz w:val="24"/>
          <w:highlight w:val="none"/>
        </w:rPr>
      </w:pPr>
      <w:r>
        <w:rPr>
          <w:rFonts w:hint="eastAsia" w:ascii="宋体" w:hAnsi="宋体" w:eastAsia="宋体" w:cs="宋体"/>
          <w:spacing w:val="4"/>
          <w:sz w:val="24"/>
          <w:highlight w:val="none"/>
        </w:rPr>
        <w:t>（3）在谈判过程中，谈判小组应根据谈判文件的“采购内容和要求”和供应商就“采购内容和要求”中的技术、服务、商务要求以及合同主要条款内容是不是进行了实质性响应，是否变动了谈判文件中“采购内容和要求”的内容。如发现实质性变动的内容，必须经招标人代表书面确认。</w:t>
      </w:r>
    </w:p>
    <w:p w14:paraId="395FD89A">
      <w:pPr>
        <w:pageBreakBefore w:val="0"/>
        <w:bidi w:val="0"/>
        <w:adjustRightInd w:val="0"/>
        <w:snapToGrid w:val="0"/>
        <w:spacing w:line="360" w:lineRule="auto"/>
        <w:ind w:firstLine="496" w:firstLineChars="200"/>
        <w:rPr>
          <w:rFonts w:hint="eastAsia" w:ascii="宋体" w:hAnsi="宋体" w:eastAsia="宋体" w:cs="宋体"/>
          <w:spacing w:val="4"/>
          <w:sz w:val="24"/>
          <w:highlight w:val="none"/>
        </w:rPr>
      </w:pPr>
      <w:r>
        <w:rPr>
          <w:rFonts w:hint="eastAsia" w:ascii="宋体" w:hAnsi="宋体" w:eastAsia="宋体" w:cs="宋体"/>
          <w:spacing w:val="4"/>
          <w:sz w:val="24"/>
          <w:highlight w:val="none"/>
        </w:rPr>
        <w:t>（4）谈判结束后，谈判小组应当要求所有实质性响应的供应商在规定时间内提交最后报价。</w:t>
      </w:r>
    </w:p>
    <w:p w14:paraId="2D057166">
      <w:pPr>
        <w:pageBreakBefore w:val="0"/>
        <w:bidi w:val="0"/>
        <w:adjustRightInd w:val="0"/>
        <w:snapToGrid w:val="0"/>
        <w:spacing w:line="360" w:lineRule="auto"/>
        <w:ind w:firstLine="496" w:firstLineChars="200"/>
        <w:rPr>
          <w:rFonts w:hint="eastAsia" w:ascii="宋体" w:hAnsi="宋体" w:eastAsia="宋体" w:cs="宋体"/>
          <w:spacing w:val="4"/>
          <w:sz w:val="24"/>
          <w:highlight w:val="none"/>
        </w:rPr>
      </w:pPr>
      <w:r>
        <w:rPr>
          <w:rFonts w:hint="eastAsia" w:ascii="宋体" w:hAnsi="宋体" w:eastAsia="宋体" w:cs="宋体"/>
          <w:spacing w:val="4"/>
          <w:sz w:val="24"/>
          <w:highlight w:val="none"/>
        </w:rPr>
        <w:t>（5）评审采取逐项分步评审方式，每一步评审不符合者或不实质性响应采购内容和要求的，均不得进入下一步评审。谈判小组应当从质量和服务均能满足本谈判文件实质性响应要求的供应商中，按照谈判会议中最终报价由低到高的顺序，推荐成交供应商（中标单位）候选人。</w:t>
      </w:r>
    </w:p>
    <w:p w14:paraId="44DC2DA5">
      <w:pPr>
        <w:pageBreakBefore w:val="0"/>
        <w:bidi w:val="0"/>
        <w:adjustRightInd w:val="0"/>
        <w:snapToGrid w:val="0"/>
        <w:spacing w:line="360" w:lineRule="auto"/>
        <w:ind w:firstLine="496" w:firstLineChars="200"/>
        <w:rPr>
          <w:rFonts w:hint="eastAsia" w:ascii="宋体" w:hAnsi="宋体" w:eastAsia="宋体" w:cs="宋体"/>
          <w:spacing w:val="4"/>
          <w:sz w:val="24"/>
          <w:highlight w:val="none"/>
        </w:rPr>
      </w:pPr>
      <w:r>
        <w:rPr>
          <w:rFonts w:hint="eastAsia" w:ascii="宋体" w:hAnsi="宋体" w:eastAsia="宋体" w:cs="宋体"/>
          <w:spacing w:val="4"/>
          <w:sz w:val="24"/>
          <w:highlight w:val="none"/>
        </w:rPr>
        <w:t>（6）其他需说明的情况：</w:t>
      </w:r>
    </w:p>
    <w:p w14:paraId="4DCFF9BE">
      <w:pPr>
        <w:pageBreakBefore w:val="0"/>
        <w:bidi w:val="0"/>
        <w:adjustRightInd w:val="0"/>
        <w:snapToGrid w:val="0"/>
        <w:spacing w:line="360" w:lineRule="auto"/>
        <w:ind w:firstLine="496" w:firstLineChars="200"/>
        <w:rPr>
          <w:rFonts w:hint="eastAsia" w:ascii="宋体" w:hAnsi="宋体" w:eastAsia="宋体" w:cs="宋体"/>
          <w:spacing w:val="4"/>
          <w:sz w:val="24"/>
          <w:highlight w:val="none"/>
        </w:rPr>
      </w:pPr>
      <w:r>
        <w:rPr>
          <w:rFonts w:hint="eastAsia" w:ascii="宋体" w:hAnsi="宋体" w:eastAsia="宋体" w:cs="宋体"/>
          <w:spacing w:val="4"/>
          <w:sz w:val="24"/>
          <w:highlight w:val="none"/>
        </w:rPr>
        <w:t>A.对于竞争性谈判响应文件中不构成实质性偏差的小的不正规、不一致或不规则，招标人可以接受，但这种接受不能损害或影响任何供应商的相对排序；</w:t>
      </w:r>
    </w:p>
    <w:p w14:paraId="3EACCFF5">
      <w:pPr>
        <w:pageBreakBefore w:val="0"/>
        <w:bidi w:val="0"/>
        <w:adjustRightInd w:val="0"/>
        <w:snapToGrid w:val="0"/>
        <w:spacing w:line="360" w:lineRule="auto"/>
        <w:ind w:firstLine="496" w:firstLineChars="200"/>
        <w:rPr>
          <w:rFonts w:hint="eastAsia" w:ascii="宋体" w:hAnsi="宋体" w:eastAsia="宋体" w:cs="宋体"/>
          <w:spacing w:val="4"/>
          <w:sz w:val="24"/>
          <w:highlight w:val="none"/>
        </w:rPr>
      </w:pPr>
      <w:r>
        <w:rPr>
          <w:rFonts w:hint="eastAsia" w:ascii="宋体" w:hAnsi="宋体" w:eastAsia="宋体" w:cs="宋体"/>
          <w:spacing w:val="4"/>
          <w:sz w:val="24"/>
          <w:highlight w:val="none"/>
        </w:rPr>
        <w:t>B.如果谈判响应实质上没有响应竞争性谈判文件的要求，其谈判响应将被拒绝，供应商不得通过修正或撤消不合要求的偏离或保留从而使其谈判响应成为实质上响应的谈判响应。</w:t>
      </w:r>
    </w:p>
    <w:p w14:paraId="06B2ACFE">
      <w:pPr>
        <w:pageBreakBefore w:val="0"/>
        <w:bidi w:val="0"/>
        <w:adjustRightInd w:val="0"/>
        <w:snapToGrid w:val="0"/>
        <w:spacing w:line="360" w:lineRule="auto"/>
        <w:ind w:firstLine="496" w:firstLineChars="200"/>
        <w:rPr>
          <w:rFonts w:hint="eastAsia" w:ascii="宋体" w:hAnsi="宋体" w:eastAsia="宋体" w:cs="宋体"/>
          <w:spacing w:val="4"/>
          <w:sz w:val="24"/>
          <w:highlight w:val="none"/>
        </w:rPr>
      </w:pPr>
      <w:r>
        <w:rPr>
          <w:rFonts w:hint="eastAsia" w:ascii="宋体" w:hAnsi="宋体" w:eastAsia="宋体" w:cs="宋体"/>
          <w:spacing w:val="4"/>
          <w:sz w:val="24"/>
          <w:highlight w:val="none"/>
        </w:rPr>
        <w:t>C.无论谈判的结果如何，谈判期间一切费用自理。</w:t>
      </w:r>
    </w:p>
    <w:p w14:paraId="0FA34E97">
      <w:pPr>
        <w:pageBreakBefore w:val="0"/>
        <w:bidi w:val="0"/>
        <w:adjustRightInd w:val="0"/>
        <w:snapToGrid w:val="0"/>
        <w:spacing w:line="360" w:lineRule="auto"/>
        <w:ind w:firstLine="498" w:firstLineChars="200"/>
        <w:rPr>
          <w:rFonts w:hint="eastAsia" w:ascii="宋体" w:hAnsi="宋体" w:eastAsia="宋体" w:cs="宋体"/>
          <w:b/>
          <w:spacing w:val="4"/>
          <w:sz w:val="24"/>
          <w:highlight w:val="none"/>
        </w:rPr>
      </w:pPr>
      <w:r>
        <w:rPr>
          <w:rFonts w:hint="eastAsia" w:ascii="宋体" w:hAnsi="宋体" w:eastAsia="宋体" w:cs="宋体"/>
          <w:b/>
          <w:spacing w:val="4"/>
          <w:sz w:val="24"/>
          <w:highlight w:val="none"/>
        </w:rPr>
        <w:t>7.推荐成交候选供应商名单</w:t>
      </w:r>
    </w:p>
    <w:p w14:paraId="070AA0D2">
      <w:pPr>
        <w:pageBreakBefore w:val="0"/>
        <w:bidi w:val="0"/>
        <w:adjustRightInd w:val="0"/>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谈判小组依据谈判文件的要求，对供应商进行认真评审。经过评审、谈判、澄清、最后报价等程序后，从质量和服务均能满足谈判文件实质性响应要求的供应商中，按照最后报价由低到高的顺序推荐3名以上成交候选人。</w:t>
      </w:r>
    </w:p>
    <w:p w14:paraId="3DC840FA">
      <w:pPr>
        <w:pageBreakBefore w:val="0"/>
        <w:bidi w:val="0"/>
        <w:adjustRightInd w:val="0"/>
        <w:snapToGrid w:val="0"/>
        <w:spacing w:line="360" w:lineRule="auto"/>
        <w:ind w:firstLine="482" w:firstLineChars="200"/>
        <w:rPr>
          <w:rFonts w:hint="eastAsia" w:ascii="宋体" w:hAnsi="宋体" w:eastAsia="宋体" w:cs="宋体"/>
          <w:b/>
          <w:bCs/>
          <w:sz w:val="24"/>
          <w:highlight w:val="none"/>
        </w:rPr>
      </w:pPr>
      <w:r>
        <w:rPr>
          <w:rFonts w:hint="eastAsia" w:ascii="宋体" w:hAnsi="宋体" w:eastAsia="宋体" w:cs="宋体"/>
          <w:b/>
          <w:bCs/>
          <w:sz w:val="24"/>
          <w:highlight w:val="none"/>
        </w:rPr>
        <w:t>8.供应商及竞争性谈判响应文件（包括但不限于）出现下列情况之一者，按无效标处理：</w:t>
      </w:r>
    </w:p>
    <w:p w14:paraId="4671827F">
      <w:pPr>
        <w:pageBreakBefore w:val="0"/>
        <w:bidi w:val="0"/>
        <w:adjustRightInd w:val="0"/>
        <w:snapToGrid w:val="0"/>
        <w:spacing w:line="360" w:lineRule="auto"/>
        <w:ind w:firstLine="480" w:firstLineChars="200"/>
        <w:rPr>
          <w:rFonts w:hint="eastAsia" w:ascii="宋体" w:hAnsi="宋体" w:eastAsia="宋体" w:cs="宋体"/>
          <w:sz w:val="24"/>
          <w:highlight w:val="none"/>
        </w:rPr>
      </w:pPr>
      <w:bookmarkStart w:id="28" w:name="OLE_LINK43"/>
      <w:bookmarkStart w:id="29" w:name="OLE_LINK42"/>
      <w:r>
        <w:rPr>
          <w:rFonts w:hint="eastAsia" w:ascii="宋体" w:hAnsi="宋体" w:eastAsia="宋体" w:cs="宋体"/>
          <w:sz w:val="24"/>
          <w:highlight w:val="none"/>
        </w:rPr>
        <w:t>8.1</w:t>
      </w:r>
      <w:bookmarkStart w:id="30" w:name="OLE_LINK44"/>
      <w:r>
        <w:rPr>
          <w:rFonts w:hint="eastAsia" w:ascii="宋体" w:hAnsi="宋体" w:eastAsia="宋体" w:cs="宋体"/>
          <w:sz w:val="24"/>
          <w:highlight w:val="none"/>
        </w:rPr>
        <w:t>供应商未通过谈判流程正规渠道下载本竞争性谈判文件或供应商的名称与下载本竞争性谈判文件时登记下载本竞争性谈判文件单位的名称不符；</w:t>
      </w:r>
    </w:p>
    <w:bookmarkEnd w:id="30"/>
    <w:p w14:paraId="4DE6B93B">
      <w:pPr>
        <w:pageBreakBefore w:val="0"/>
        <w:bidi w:val="0"/>
        <w:adjustRightInd w:val="0"/>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8.</w:t>
      </w:r>
      <w:bookmarkStart w:id="31" w:name="OLE_LINK45"/>
      <w:r>
        <w:rPr>
          <w:rFonts w:hint="eastAsia" w:ascii="宋体" w:hAnsi="宋体" w:eastAsia="宋体" w:cs="宋体"/>
          <w:sz w:val="24"/>
          <w:highlight w:val="none"/>
          <w:lang w:val="en-US" w:eastAsia="zh-CN"/>
        </w:rPr>
        <w:t>2</w:t>
      </w:r>
      <w:r>
        <w:rPr>
          <w:rFonts w:hint="eastAsia" w:ascii="宋体" w:hAnsi="宋体" w:eastAsia="宋体" w:cs="宋体"/>
          <w:sz w:val="24"/>
          <w:highlight w:val="none"/>
        </w:rPr>
        <w:t>竞争性谈判响应文件未加盖供应商单位公章，未提供谈判有效期或有效期达不到本竞争性谈判文件要求的；</w:t>
      </w:r>
    </w:p>
    <w:bookmarkEnd w:id="31"/>
    <w:p w14:paraId="312066EE">
      <w:pPr>
        <w:pageBreakBefore w:val="0"/>
        <w:bidi w:val="0"/>
        <w:adjustRightInd w:val="0"/>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8.</w:t>
      </w:r>
      <w:bookmarkStart w:id="32" w:name="OLE_LINK46"/>
      <w:r>
        <w:rPr>
          <w:rFonts w:hint="eastAsia" w:ascii="宋体" w:hAnsi="宋体" w:eastAsia="宋体" w:cs="宋体"/>
          <w:sz w:val="24"/>
          <w:highlight w:val="none"/>
          <w:lang w:val="en-US" w:eastAsia="zh-CN"/>
        </w:rPr>
        <w:t>3</w:t>
      </w:r>
      <w:r>
        <w:rPr>
          <w:rFonts w:hint="eastAsia" w:ascii="宋体" w:hAnsi="宋体" w:eastAsia="宋体" w:cs="宋体"/>
          <w:sz w:val="24"/>
          <w:highlight w:val="none"/>
        </w:rPr>
        <w:t>未按本竞争性谈判文件规定的格式填写，内容不全或字迹模糊辨认不清；</w:t>
      </w:r>
    </w:p>
    <w:bookmarkEnd w:id="32"/>
    <w:p w14:paraId="43199825">
      <w:pPr>
        <w:pageBreakBefore w:val="0"/>
        <w:bidi w:val="0"/>
        <w:adjustRightInd w:val="0"/>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8.</w:t>
      </w:r>
      <w:bookmarkStart w:id="33" w:name="OLE_LINK47"/>
      <w:r>
        <w:rPr>
          <w:rFonts w:hint="eastAsia" w:ascii="宋体" w:hAnsi="宋体" w:eastAsia="宋体" w:cs="宋体"/>
          <w:sz w:val="24"/>
          <w:highlight w:val="none"/>
          <w:lang w:val="en-US" w:eastAsia="zh-CN"/>
        </w:rPr>
        <w:t>4</w:t>
      </w:r>
      <w:r>
        <w:rPr>
          <w:rFonts w:hint="eastAsia" w:ascii="宋体" w:hAnsi="宋体" w:eastAsia="宋体" w:cs="宋体"/>
          <w:sz w:val="24"/>
          <w:highlight w:val="none"/>
        </w:rPr>
        <w:t>必备资质的有效性或符合性不符合本竞争性谈判文件规定的；</w:t>
      </w:r>
    </w:p>
    <w:bookmarkEnd w:id="33"/>
    <w:p w14:paraId="47EE9B8F">
      <w:pPr>
        <w:pageBreakBefore w:val="0"/>
        <w:bidi w:val="0"/>
        <w:adjustRightInd w:val="0"/>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8.</w:t>
      </w:r>
      <w:r>
        <w:rPr>
          <w:rFonts w:hint="eastAsia" w:ascii="宋体" w:hAnsi="宋体" w:eastAsia="宋体" w:cs="宋体"/>
          <w:sz w:val="24"/>
          <w:highlight w:val="none"/>
          <w:lang w:val="en-US" w:eastAsia="zh-CN"/>
        </w:rPr>
        <w:t>5</w:t>
      </w:r>
      <w:bookmarkStart w:id="34" w:name="OLE_LINK48"/>
      <w:r>
        <w:rPr>
          <w:rFonts w:hint="eastAsia" w:ascii="宋体" w:hAnsi="宋体" w:eastAsia="宋体" w:cs="宋体"/>
          <w:sz w:val="24"/>
          <w:highlight w:val="none"/>
        </w:rPr>
        <w:t>供应商针对同一项目递交两份或多份内容不同的竞争性谈判响应文件，未书面声明哪一份是有效的；出现选择性报价的；谈判报价超出采购预算的；</w:t>
      </w:r>
    </w:p>
    <w:bookmarkEnd w:id="34"/>
    <w:p w14:paraId="27D287CE">
      <w:pPr>
        <w:pageBreakBefore w:val="0"/>
        <w:bidi w:val="0"/>
        <w:adjustRightInd w:val="0"/>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8.</w:t>
      </w:r>
      <w:r>
        <w:rPr>
          <w:rFonts w:hint="eastAsia" w:ascii="宋体" w:hAnsi="宋体" w:eastAsia="宋体" w:cs="宋体"/>
          <w:sz w:val="24"/>
          <w:highlight w:val="none"/>
          <w:lang w:val="en-US" w:eastAsia="zh-CN"/>
        </w:rPr>
        <w:t>6</w:t>
      </w:r>
      <w:bookmarkStart w:id="35" w:name="OLE_LINK49"/>
      <w:r>
        <w:rPr>
          <w:rFonts w:hint="eastAsia" w:ascii="宋体" w:hAnsi="宋体" w:eastAsia="宋体" w:cs="宋体"/>
          <w:sz w:val="24"/>
          <w:highlight w:val="none"/>
        </w:rPr>
        <w:t>竞争性谈判响应文件与竞争性谈判文件要求不一致（交货、付款、验收、售后服务等项），附加了招标人难以接受条件的；</w:t>
      </w:r>
    </w:p>
    <w:bookmarkEnd w:id="35"/>
    <w:p w14:paraId="5F335957">
      <w:pPr>
        <w:pageBreakBefore w:val="0"/>
        <w:bidi w:val="0"/>
        <w:adjustRightInd w:val="0"/>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8.</w:t>
      </w:r>
      <w:r>
        <w:rPr>
          <w:rFonts w:hint="eastAsia" w:ascii="宋体" w:hAnsi="宋体" w:eastAsia="宋体" w:cs="宋体"/>
          <w:sz w:val="24"/>
          <w:highlight w:val="none"/>
          <w:lang w:val="en-US" w:eastAsia="zh-CN"/>
        </w:rPr>
        <w:t>7</w:t>
      </w:r>
      <w:bookmarkStart w:id="36" w:name="OLE_LINK50"/>
      <w:r>
        <w:rPr>
          <w:rFonts w:hint="eastAsia" w:ascii="宋体" w:hAnsi="宋体" w:eastAsia="宋体" w:cs="宋体"/>
          <w:sz w:val="24"/>
          <w:highlight w:val="none"/>
        </w:rPr>
        <w:t>供应商超出自身经营范围的；</w:t>
      </w:r>
    </w:p>
    <w:bookmarkEnd w:id="36"/>
    <w:p w14:paraId="4FF754FE">
      <w:pPr>
        <w:pageBreakBefore w:val="0"/>
        <w:bidi w:val="0"/>
        <w:adjustRightInd w:val="0"/>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8.</w:t>
      </w:r>
      <w:r>
        <w:rPr>
          <w:rFonts w:hint="eastAsia" w:ascii="宋体" w:hAnsi="宋体" w:eastAsia="宋体" w:cs="宋体"/>
          <w:sz w:val="24"/>
          <w:highlight w:val="none"/>
          <w:lang w:val="en-US" w:eastAsia="zh-CN"/>
        </w:rPr>
        <w:t>8</w:t>
      </w:r>
      <w:bookmarkStart w:id="37" w:name="OLE_LINK51"/>
      <w:r>
        <w:rPr>
          <w:rFonts w:hint="eastAsia" w:ascii="宋体" w:hAnsi="宋体" w:eastAsia="宋体" w:cs="宋体"/>
          <w:sz w:val="24"/>
          <w:highlight w:val="none"/>
        </w:rPr>
        <w:t>供应商的必备资格证明文件或谈判产品的资质证明材料不全、无效或达不到本竞争性谈判文件规定要求的；</w:t>
      </w:r>
    </w:p>
    <w:bookmarkEnd w:id="37"/>
    <w:p w14:paraId="5E846DD0">
      <w:pPr>
        <w:pageBreakBefore w:val="0"/>
        <w:bidi w:val="0"/>
        <w:adjustRightInd w:val="0"/>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8.</w:t>
      </w:r>
      <w:r>
        <w:rPr>
          <w:rFonts w:hint="eastAsia" w:ascii="宋体" w:hAnsi="宋体" w:eastAsia="宋体" w:cs="宋体"/>
          <w:sz w:val="24"/>
          <w:highlight w:val="none"/>
          <w:lang w:val="en-US" w:eastAsia="zh-CN"/>
        </w:rPr>
        <w:t>9</w:t>
      </w:r>
      <w:bookmarkStart w:id="38" w:name="OLE_LINK52"/>
      <w:r>
        <w:rPr>
          <w:rFonts w:hint="eastAsia" w:ascii="宋体" w:hAnsi="宋体" w:eastAsia="宋体" w:cs="宋体"/>
          <w:sz w:val="24"/>
          <w:highlight w:val="none"/>
        </w:rPr>
        <w:t>谈判内容的技术要求不能达到本竞争性谈判文件的要求，少报、漏报、降低产品档次或影响了性能、功能、谈判目的实现的；</w:t>
      </w:r>
    </w:p>
    <w:bookmarkEnd w:id="38"/>
    <w:p w14:paraId="1975A0BA">
      <w:pPr>
        <w:pageBreakBefore w:val="0"/>
        <w:bidi w:val="0"/>
        <w:adjustRightInd w:val="0"/>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8.1</w:t>
      </w:r>
      <w:r>
        <w:rPr>
          <w:rFonts w:hint="eastAsia" w:ascii="宋体" w:hAnsi="宋体" w:eastAsia="宋体" w:cs="宋体"/>
          <w:sz w:val="24"/>
          <w:highlight w:val="none"/>
          <w:lang w:val="en-US" w:eastAsia="zh-CN"/>
        </w:rPr>
        <w:t>0</w:t>
      </w:r>
      <w:bookmarkStart w:id="39" w:name="OLE_LINK53"/>
      <w:r>
        <w:rPr>
          <w:rFonts w:hint="eastAsia" w:ascii="宋体" w:hAnsi="宋体" w:eastAsia="宋体" w:cs="宋体"/>
          <w:sz w:val="24"/>
          <w:highlight w:val="none"/>
        </w:rPr>
        <w:t>未按本竞争性谈判文件指定格式填写、签署、盖章及递交“谈判一览表”，或“分项报价表”出现漏项或谈判产品品目、数量与竞争性谈判文件要求不符的(数量不足的)；</w:t>
      </w:r>
    </w:p>
    <w:bookmarkEnd w:id="39"/>
    <w:p w14:paraId="50A3C314">
      <w:pPr>
        <w:pageBreakBefore w:val="0"/>
        <w:bidi w:val="0"/>
        <w:adjustRightInd w:val="0"/>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8.1</w:t>
      </w:r>
      <w:r>
        <w:rPr>
          <w:rFonts w:hint="eastAsia" w:ascii="宋体" w:hAnsi="宋体" w:eastAsia="宋体" w:cs="宋体"/>
          <w:sz w:val="24"/>
          <w:highlight w:val="none"/>
          <w:lang w:val="en-US" w:eastAsia="zh-CN"/>
        </w:rPr>
        <w:t>1</w:t>
      </w:r>
      <w:bookmarkStart w:id="40" w:name="OLE_LINK54"/>
      <w:r>
        <w:rPr>
          <w:rFonts w:hint="eastAsia" w:ascii="宋体" w:hAnsi="宋体" w:eastAsia="宋体" w:cs="宋体"/>
          <w:sz w:val="24"/>
          <w:highlight w:val="none"/>
        </w:rPr>
        <w:t>供应商拒不按照要求对竞争性谈判响应文件进行澄清、说明或者补正的，谈判小组可以否决其谈判；</w:t>
      </w:r>
    </w:p>
    <w:bookmarkEnd w:id="40"/>
    <w:p w14:paraId="357FC95B">
      <w:pPr>
        <w:pageBreakBefore w:val="0"/>
        <w:bidi w:val="0"/>
        <w:adjustRightInd w:val="0"/>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8.1</w:t>
      </w:r>
      <w:r>
        <w:rPr>
          <w:rFonts w:hint="eastAsia" w:ascii="宋体" w:hAnsi="宋体" w:eastAsia="宋体" w:cs="宋体"/>
          <w:sz w:val="24"/>
          <w:highlight w:val="none"/>
          <w:lang w:val="en-US" w:eastAsia="zh-CN"/>
        </w:rPr>
        <w:t>2</w:t>
      </w:r>
      <w:bookmarkStart w:id="41" w:name="OLE_LINK55"/>
      <w:r>
        <w:rPr>
          <w:rFonts w:hint="eastAsia" w:ascii="宋体" w:hAnsi="宋体" w:eastAsia="宋体" w:cs="宋体"/>
          <w:sz w:val="24"/>
          <w:highlight w:val="none"/>
        </w:rPr>
        <w:t>竞争性谈判响应文件中含有招标人不能接受的附加条件的；</w:t>
      </w:r>
    </w:p>
    <w:bookmarkEnd w:id="41"/>
    <w:p w14:paraId="025C81E7">
      <w:pPr>
        <w:pageBreakBefore w:val="0"/>
        <w:bidi w:val="0"/>
        <w:adjustRightInd w:val="0"/>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8.1</w:t>
      </w:r>
      <w:r>
        <w:rPr>
          <w:rFonts w:hint="eastAsia" w:ascii="宋体" w:hAnsi="宋体" w:eastAsia="宋体" w:cs="宋体"/>
          <w:sz w:val="24"/>
          <w:highlight w:val="none"/>
          <w:lang w:val="en-US" w:eastAsia="zh-CN"/>
        </w:rPr>
        <w:t>3</w:t>
      </w:r>
      <w:bookmarkStart w:id="42" w:name="OLE_LINK56"/>
      <w:r>
        <w:rPr>
          <w:rFonts w:hint="eastAsia" w:ascii="宋体" w:hAnsi="宋体" w:eastAsia="宋体" w:cs="宋体"/>
          <w:sz w:val="24"/>
          <w:highlight w:val="none"/>
        </w:rPr>
        <w:t>供应商提供虚假证明，开具虚假资质，除按无效标处理外，还进行相应的申报及处罚；</w:t>
      </w:r>
    </w:p>
    <w:bookmarkEnd w:id="42"/>
    <w:p w14:paraId="31F0263A">
      <w:pPr>
        <w:pageBreakBefore w:val="0"/>
        <w:bidi w:val="0"/>
        <w:adjustRightInd w:val="0"/>
        <w:snapToGrid w:val="0"/>
        <w:spacing w:line="360" w:lineRule="auto"/>
        <w:ind w:firstLine="480" w:firstLineChars="200"/>
        <w:rPr>
          <w:rFonts w:hint="eastAsia" w:ascii="宋体" w:hAnsi="宋体" w:eastAsia="宋体" w:cs="宋体"/>
          <w:spacing w:val="4"/>
          <w:sz w:val="24"/>
          <w:highlight w:val="none"/>
        </w:rPr>
      </w:pPr>
      <w:r>
        <w:rPr>
          <w:rFonts w:hint="eastAsia" w:ascii="宋体" w:hAnsi="宋体" w:eastAsia="宋体" w:cs="宋体"/>
          <w:sz w:val="24"/>
          <w:highlight w:val="none"/>
        </w:rPr>
        <w:t>8.1</w:t>
      </w:r>
      <w:r>
        <w:rPr>
          <w:rFonts w:hint="eastAsia" w:ascii="宋体" w:hAnsi="宋体" w:eastAsia="宋体" w:cs="宋体"/>
          <w:sz w:val="24"/>
          <w:highlight w:val="none"/>
          <w:lang w:val="en-US" w:eastAsia="zh-CN"/>
        </w:rPr>
        <w:t>4</w:t>
      </w:r>
      <w:bookmarkStart w:id="43" w:name="OLE_LINK57"/>
      <w:r>
        <w:rPr>
          <w:rFonts w:hint="eastAsia" w:ascii="宋体" w:hAnsi="宋体" w:eastAsia="宋体" w:cs="宋体"/>
          <w:sz w:val="24"/>
          <w:highlight w:val="none"/>
        </w:rPr>
        <w:t>经证实，供应商在招标人以往项目中有不良记录影响谈判或谈判资格的。</w:t>
      </w:r>
    </w:p>
    <w:bookmarkEnd w:id="43"/>
    <w:p w14:paraId="64F75876">
      <w:pPr>
        <w:pageBreakBefore w:val="0"/>
        <w:bidi w:val="0"/>
        <w:spacing w:line="360" w:lineRule="auto"/>
        <w:jc w:val="cente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 xml:space="preserve">  </w:t>
      </w:r>
    </w:p>
    <w:bookmarkEnd w:id="28"/>
    <w:p w14:paraId="00098C19">
      <w:pPr>
        <w:pageBreakBefore w:val="0"/>
        <w:numPr>
          <w:ilvl w:val="0"/>
          <w:numId w:val="0"/>
        </w:numPr>
        <w:bidi w:val="0"/>
        <w:adjustRightInd w:val="0"/>
        <w:snapToGrid w:val="0"/>
        <w:spacing w:line="360" w:lineRule="auto"/>
        <w:ind w:firstLine="723" w:firstLineChars="200"/>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br w:type="page"/>
      </w:r>
    </w:p>
    <w:bookmarkEnd w:id="29"/>
    <w:p w14:paraId="09505DC6">
      <w:pPr>
        <w:pStyle w:val="17"/>
        <w:keepNext w:val="0"/>
        <w:keepLines w:val="0"/>
        <w:pageBreakBefore w:val="0"/>
        <w:widowControl/>
        <w:kinsoku/>
        <w:wordWrap/>
        <w:overflowPunct/>
        <w:topLinePunct w:val="0"/>
        <w:autoSpaceDE/>
        <w:autoSpaceDN/>
        <w:bidi w:val="0"/>
        <w:adjustRightInd/>
        <w:snapToGrid/>
        <w:spacing w:beforeAutospacing="0" w:afterAutospacing="0" w:line="360" w:lineRule="auto"/>
        <w:ind w:firstLine="0"/>
        <w:jc w:val="center"/>
        <w:textAlignment w:val="auto"/>
        <w:outlineLvl w:val="0"/>
        <w:rPr>
          <w:rFonts w:hint="eastAsia" w:ascii="宋体" w:hAnsi="宋体" w:eastAsia="宋体" w:cs="宋体"/>
          <w:b/>
          <w:bCs/>
          <w:kern w:val="2"/>
          <w:sz w:val="32"/>
          <w:szCs w:val="32"/>
          <w:highlight w:val="none"/>
        </w:rPr>
      </w:pPr>
      <w:bookmarkStart w:id="44" w:name="_Toc10916"/>
      <w:r>
        <w:rPr>
          <w:rFonts w:hint="eastAsia" w:ascii="宋体" w:hAnsi="宋体" w:eastAsia="宋体" w:cs="宋体"/>
          <w:b/>
          <w:bCs/>
          <w:kern w:val="2"/>
          <w:sz w:val="32"/>
          <w:szCs w:val="32"/>
          <w:highlight w:val="none"/>
        </w:rPr>
        <w:t>第五部分  合同主要条款</w:t>
      </w:r>
      <w:bookmarkEnd w:id="44"/>
    </w:p>
    <w:p w14:paraId="6B2A1B5E">
      <w:pPr>
        <w:pageBreakBefore w:val="0"/>
        <w:bidi w:val="0"/>
        <w:spacing w:line="360" w:lineRule="auto"/>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  （仅供参考）</w:t>
      </w:r>
    </w:p>
    <w:p w14:paraId="4968D39C">
      <w:pPr>
        <w:pStyle w:val="30"/>
        <w:pageBreakBefore w:val="0"/>
        <w:bidi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根据《中华人民共和国政府采购法》、《中华人民共和国民法典》及相关规定，为明确甲、乙双方责任，经甲、乙双方充分协商，特订立本合同，以便共同遵守。 </w:t>
      </w:r>
      <w:bookmarkStart w:id="45" w:name="f_gp190"/>
      <w:bookmarkEnd w:id="45"/>
      <w:bookmarkStart w:id="46" w:name="f_gp191"/>
      <w:bookmarkEnd w:id="46"/>
      <w:bookmarkStart w:id="47" w:name="f_gp192"/>
      <w:bookmarkEnd w:id="47"/>
      <w:bookmarkStart w:id="48" w:name="f_gp193"/>
      <w:bookmarkEnd w:id="48"/>
    </w:p>
    <w:p w14:paraId="558AF60A">
      <w:pPr>
        <w:pStyle w:val="30"/>
        <w:pageBreakBefore w:val="0"/>
        <w:bidi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一、合同价款：</w:t>
      </w:r>
    </w:p>
    <w:p w14:paraId="4F0DCCD3">
      <w:pPr>
        <w:pStyle w:val="30"/>
        <w:pageBreakBefore w:val="0"/>
        <w:bidi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1.合同总价包括：即供应商的谈判具体内容及其成交金额；</w:t>
      </w:r>
    </w:p>
    <w:p w14:paraId="5F77A9C5">
      <w:pPr>
        <w:pStyle w:val="30"/>
        <w:pageBreakBefore w:val="0"/>
        <w:bidi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2.合同价不受市场价格变化因素的影响；</w:t>
      </w:r>
    </w:p>
    <w:p w14:paraId="22C4F305">
      <w:pPr>
        <w:pStyle w:val="30"/>
        <w:pageBreakBefore w:val="0"/>
        <w:bidi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3.付款方式：</w:t>
      </w:r>
      <w:r>
        <w:rPr>
          <w:rFonts w:hint="eastAsia" w:ascii="宋体" w:hAnsi="宋体" w:eastAsia="宋体" w:cs="宋体"/>
          <w:sz w:val="24"/>
          <w:szCs w:val="24"/>
          <w:highlight w:val="none"/>
          <w:lang w:val="en-US" w:eastAsia="zh-CN"/>
        </w:rPr>
        <w:t>全部货物交付至采购人指定地点，完成安装、调试并通过最终验收合格后，采购人于收到成交供应商开具的合法有效发票之日起【15个工作日内】一次性支付合同总价款的100%。质保期为1年，自验收合格通过之日起计算。</w:t>
      </w:r>
    </w:p>
    <w:p w14:paraId="2978A2C1">
      <w:pPr>
        <w:pStyle w:val="30"/>
        <w:pageBreakBefore w:val="0"/>
        <w:bidi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二、知识产权：即供应商应保证采购人在使用管理过程中，不承担任何涉及知识产权法律诉讼的责任。</w:t>
      </w:r>
    </w:p>
    <w:p w14:paraId="14088BA6">
      <w:pPr>
        <w:pStyle w:val="30"/>
        <w:pageBreakBefore w:val="0"/>
        <w:bidi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三、供货期：</w:t>
      </w:r>
      <w:r>
        <w:rPr>
          <w:rFonts w:hint="eastAsia" w:ascii="宋体" w:hAnsi="宋体" w:cs="宋体"/>
          <w:sz w:val="24"/>
          <w:szCs w:val="24"/>
          <w:highlight w:val="none"/>
          <w:lang w:val="en-US" w:eastAsia="zh-CN"/>
        </w:rPr>
        <w:t>自合同签订之日起60日历天</w:t>
      </w:r>
      <w:r>
        <w:rPr>
          <w:rFonts w:hint="eastAsia" w:ascii="宋体" w:hAnsi="宋体" w:eastAsia="宋体" w:cs="宋体"/>
          <w:sz w:val="24"/>
          <w:szCs w:val="24"/>
          <w:highlight w:val="none"/>
        </w:rPr>
        <w:t>，质保期：1年。</w:t>
      </w:r>
    </w:p>
    <w:p w14:paraId="26E2285D">
      <w:pPr>
        <w:pStyle w:val="30"/>
        <w:pageBreakBefore w:val="0"/>
        <w:bidi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四、交付地点：</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rPr>
        <w:t>指定地点。</w:t>
      </w:r>
    </w:p>
    <w:p w14:paraId="4D332F15">
      <w:pPr>
        <w:pStyle w:val="30"/>
        <w:pageBreakBefore w:val="0"/>
        <w:bidi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五、采购内容和要求：详见采购内容</w:t>
      </w:r>
    </w:p>
    <w:p w14:paraId="3FA2146B">
      <w:pPr>
        <w:pStyle w:val="30"/>
        <w:pageBreakBefore w:val="0"/>
        <w:bidi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六、质保措施</w:t>
      </w:r>
    </w:p>
    <w:p w14:paraId="47F613E7">
      <w:pPr>
        <w:pStyle w:val="30"/>
        <w:pageBreakBefore w:val="0"/>
        <w:bidi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供应商在项目内有义务在质保期内监督承建单位的售后服务。</w:t>
      </w:r>
    </w:p>
    <w:p w14:paraId="46666640">
      <w:pPr>
        <w:pStyle w:val="30"/>
        <w:pageBreakBefore w:val="0"/>
        <w:bidi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七、违约责任：</w:t>
      </w:r>
    </w:p>
    <w:p w14:paraId="616D7D37">
      <w:pPr>
        <w:pStyle w:val="30"/>
        <w:pageBreakBefore w:val="0"/>
        <w:bidi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7.1按照《民法典》中的相关条款执行；</w:t>
      </w:r>
    </w:p>
    <w:p w14:paraId="40698A43">
      <w:pPr>
        <w:pStyle w:val="30"/>
        <w:pageBreakBefore w:val="0"/>
        <w:bidi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7.2未按合同要求提供服务或服务服务质量不能满足技术要求的，采购单位会同有关单位，有权终止合同和对供货方违约进行追究。</w:t>
      </w:r>
    </w:p>
    <w:p w14:paraId="2BE9F9AB">
      <w:pPr>
        <w:pStyle w:val="30"/>
        <w:pageBreakBefore w:val="0"/>
        <w:bidi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八、验收：验收须以竞争性谈判文件、响应文件、合同、国家相应的标准、规范等为依据。</w:t>
      </w:r>
    </w:p>
    <w:p w14:paraId="4A1BD9FB">
      <w:pPr>
        <w:pStyle w:val="30"/>
        <w:pageBreakBefore w:val="0"/>
        <w:bidi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九、合同争议的解决：合同执行中发生争议的，当事人双方应协商解决，协商达不成一致时，可向延安仲裁委员会申请仲裁或者向采购人所在地的人民法院提请诉讼。</w:t>
      </w:r>
    </w:p>
    <w:p w14:paraId="29864941">
      <w:pPr>
        <w:pStyle w:val="30"/>
        <w:pageBreakBefore w:val="0"/>
        <w:bidi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十、合同一经签订，不得擅自变更、中止或者终止合同。对确需变更、调整或者中止、终止合同的，应按规定履行相应的手续。</w:t>
      </w:r>
    </w:p>
    <w:p w14:paraId="1FB4F8A4">
      <w:pPr>
        <w:pStyle w:val="30"/>
        <w:pageBreakBefore w:val="0"/>
        <w:bidi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十一、本合同从签订之日起生效，合同规定的全部事宜和程序结束后终止。本合同一式三份，甲、乙双方和采购代理机构各一份。</w:t>
      </w:r>
    </w:p>
    <w:p w14:paraId="7CB35DA0">
      <w:pPr>
        <w:pStyle w:val="30"/>
        <w:pageBreakBefore w:val="0"/>
        <w:bidi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十二、合同期内，未尽事宜，双方可根据服务需要，另立补充协议，补充协议是本合同的重要组成部分，具有同等法律效力。</w:t>
      </w:r>
    </w:p>
    <w:p w14:paraId="081BD038">
      <w:pPr>
        <w:pageBreakBefore w:val="0"/>
        <w:autoSpaceDE w:val="0"/>
        <w:autoSpaceDN w:val="0"/>
        <w:bidi w:val="0"/>
        <w:adjustRightInd w:val="0"/>
        <w:spacing w:line="360" w:lineRule="auto"/>
        <w:ind w:firstLine="645"/>
        <w:rPr>
          <w:rFonts w:hint="eastAsia" w:ascii="宋体" w:hAnsi="宋体" w:eastAsia="宋体" w:cs="宋体"/>
          <w:sz w:val="24"/>
          <w:highlight w:val="none"/>
        </w:rPr>
      </w:pPr>
      <w:r>
        <w:rPr>
          <w:rFonts w:hint="eastAsia" w:ascii="宋体" w:hAnsi="宋体" w:eastAsia="宋体" w:cs="宋体"/>
          <w:bCs/>
          <w:sz w:val="24"/>
          <w:highlight w:val="none"/>
        </w:rPr>
        <w:t>本合同须经</w:t>
      </w:r>
      <w:r>
        <w:rPr>
          <w:rFonts w:hint="eastAsia" w:ascii="宋体" w:hAnsi="宋体" w:eastAsia="宋体" w:cs="宋体"/>
          <w:bCs/>
          <w:sz w:val="24"/>
          <w:highlight w:val="none"/>
          <w:lang w:eastAsia="zh-CN"/>
        </w:rPr>
        <w:t>华睿诚项目管理有限公司</w:t>
      </w:r>
      <w:r>
        <w:rPr>
          <w:rFonts w:hint="eastAsia" w:ascii="宋体" w:hAnsi="宋体" w:eastAsia="宋体" w:cs="宋体"/>
          <w:bCs/>
          <w:sz w:val="24"/>
          <w:highlight w:val="none"/>
        </w:rPr>
        <w:t>确认，否则无效。（合同的服务承诺则长期有效）。</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18"/>
        <w:gridCol w:w="3018"/>
        <w:gridCol w:w="3018"/>
      </w:tblGrid>
      <w:tr w14:paraId="56729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3018" w:type="dxa"/>
          </w:tcPr>
          <w:p w14:paraId="2E0FA905">
            <w:pPr>
              <w:pageBreakBefore w:val="0"/>
              <w:bidi w:val="0"/>
              <w:spacing w:line="360" w:lineRule="auto"/>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甲  方</w:t>
            </w:r>
          </w:p>
        </w:tc>
        <w:tc>
          <w:tcPr>
            <w:tcW w:w="3018" w:type="dxa"/>
          </w:tcPr>
          <w:p w14:paraId="29D3F2E5">
            <w:pPr>
              <w:pageBreakBefore w:val="0"/>
              <w:bidi w:val="0"/>
              <w:spacing w:line="360" w:lineRule="auto"/>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乙  方</w:t>
            </w:r>
          </w:p>
        </w:tc>
        <w:tc>
          <w:tcPr>
            <w:tcW w:w="3018" w:type="dxa"/>
          </w:tcPr>
          <w:p w14:paraId="4319F902">
            <w:pPr>
              <w:pageBreakBefore w:val="0"/>
              <w:bidi w:val="0"/>
              <w:spacing w:line="360" w:lineRule="auto"/>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确 认 方</w:t>
            </w:r>
          </w:p>
        </w:tc>
      </w:tr>
      <w:tr w14:paraId="42CB4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9" w:hRule="atLeast"/>
        </w:trPr>
        <w:tc>
          <w:tcPr>
            <w:tcW w:w="3018" w:type="dxa"/>
            <w:vAlign w:val="center"/>
          </w:tcPr>
          <w:p w14:paraId="04EF450D">
            <w:pPr>
              <w:pageBreakBefore w:val="0"/>
              <w:bidi w:val="0"/>
              <w:spacing w:line="360" w:lineRule="auto"/>
              <w:jc w:val="center"/>
              <w:rPr>
                <w:rFonts w:hint="eastAsia" w:ascii="宋体" w:hAnsi="宋体" w:eastAsia="宋体" w:cs="宋体"/>
                <w:bCs/>
                <w:color w:val="000000"/>
                <w:sz w:val="24"/>
                <w:highlight w:val="none"/>
              </w:rPr>
            </w:pPr>
          </w:p>
          <w:p w14:paraId="6A38B8EB">
            <w:pPr>
              <w:pageBreakBefore w:val="0"/>
              <w:bidi w:val="0"/>
              <w:spacing w:line="360" w:lineRule="auto"/>
              <w:jc w:val="center"/>
              <w:rPr>
                <w:rFonts w:hint="eastAsia" w:ascii="宋体" w:hAnsi="宋体" w:eastAsia="宋体" w:cs="宋体"/>
                <w:bCs/>
                <w:color w:val="000000"/>
                <w:sz w:val="24"/>
                <w:highlight w:val="none"/>
              </w:rPr>
            </w:pPr>
          </w:p>
          <w:p w14:paraId="1D1B0E3A">
            <w:pPr>
              <w:pageBreakBefore w:val="0"/>
              <w:bidi w:val="0"/>
              <w:spacing w:line="360" w:lineRule="auto"/>
              <w:jc w:val="center"/>
              <w:rPr>
                <w:rFonts w:hint="eastAsia" w:ascii="宋体" w:hAnsi="宋体" w:eastAsia="宋体" w:cs="宋体"/>
                <w:bCs/>
                <w:color w:val="000000"/>
                <w:sz w:val="24"/>
                <w:highlight w:val="none"/>
              </w:rPr>
            </w:pPr>
          </w:p>
          <w:p w14:paraId="31FD8E67">
            <w:pPr>
              <w:pageBreakBefore w:val="0"/>
              <w:bidi w:val="0"/>
              <w:spacing w:line="360" w:lineRule="auto"/>
              <w:jc w:val="center"/>
              <w:rPr>
                <w:rFonts w:hint="eastAsia" w:ascii="宋体" w:hAnsi="宋体" w:eastAsia="宋体" w:cs="宋体"/>
                <w:bCs/>
                <w:color w:val="000000"/>
                <w:sz w:val="24"/>
                <w:highlight w:val="none"/>
              </w:rPr>
            </w:pPr>
          </w:p>
          <w:p w14:paraId="674CDC42">
            <w:pPr>
              <w:pageBreakBefore w:val="0"/>
              <w:bidi w:val="0"/>
              <w:spacing w:line="360" w:lineRule="auto"/>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（盖章）</w:t>
            </w:r>
          </w:p>
        </w:tc>
        <w:tc>
          <w:tcPr>
            <w:tcW w:w="3018" w:type="dxa"/>
            <w:vAlign w:val="center"/>
          </w:tcPr>
          <w:p w14:paraId="0AAABDD3">
            <w:pPr>
              <w:pageBreakBefore w:val="0"/>
              <w:bidi w:val="0"/>
              <w:spacing w:line="360" w:lineRule="auto"/>
              <w:jc w:val="center"/>
              <w:rPr>
                <w:rFonts w:hint="eastAsia" w:ascii="宋体" w:hAnsi="宋体" w:eastAsia="宋体" w:cs="宋体"/>
                <w:bCs/>
                <w:color w:val="000000"/>
                <w:sz w:val="24"/>
                <w:highlight w:val="none"/>
              </w:rPr>
            </w:pPr>
          </w:p>
          <w:p w14:paraId="53410611">
            <w:pPr>
              <w:pageBreakBefore w:val="0"/>
              <w:bidi w:val="0"/>
              <w:spacing w:line="360" w:lineRule="auto"/>
              <w:jc w:val="center"/>
              <w:rPr>
                <w:rFonts w:hint="eastAsia" w:ascii="宋体" w:hAnsi="宋体" w:eastAsia="宋体" w:cs="宋体"/>
                <w:bCs/>
                <w:color w:val="000000"/>
                <w:sz w:val="24"/>
                <w:highlight w:val="none"/>
              </w:rPr>
            </w:pPr>
          </w:p>
          <w:p w14:paraId="00929FC8">
            <w:pPr>
              <w:pageBreakBefore w:val="0"/>
              <w:bidi w:val="0"/>
              <w:spacing w:line="360" w:lineRule="auto"/>
              <w:jc w:val="center"/>
              <w:rPr>
                <w:rFonts w:hint="eastAsia" w:ascii="宋体" w:hAnsi="宋体" w:eastAsia="宋体" w:cs="宋体"/>
                <w:bCs/>
                <w:color w:val="000000"/>
                <w:sz w:val="24"/>
                <w:highlight w:val="none"/>
              </w:rPr>
            </w:pPr>
          </w:p>
          <w:p w14:paraId="14087AD3">
            <w:pPr>
              <w:pageBreakBefore w:val="0"/>
              <w:bidi w:val="0"/>
              <w:spacing w:line="360" w:lineRule="auto"/>
              <w:jc w:val="center"/>
              <w:rPr>
                <w:rFonts w:hint="eastAsia" w:ascii="宋体" w:hAnsi="宋体" w:eastAsia="宋体" w:cs="宋体"/>
                <w:bCs/>
                <w:color w:val="000000"/>
                <w:sz w:val="24"/>
                <w:highlight w:val="none"/>
              </w:rPr>
            </w:pPr>
          </w:p>
          <w:p w14:paraId="245CA8DA">
            <w:pPr>
              <w:pageBreakBefore w:val="0"/>
              <w:bidi w:val="0"/>
              <w:spacing w:line="360" w:lineRule="auto"/>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（盖章）</w:t>
            </w:r>
          </w:p>
        </w:tc>
        <w:tc>
          <w:tcPr>
            <w:tcW w:w="3018" w:type="dxa"/>
            <w:vAlign w:val="center"/>
          </w:tcPr>
          <w:p w14:paraId="11C67B04">
            <w:pPr>
              <w:pageBreakBefore w:val="0"/>
              <w:bidi w:val="0"/>
              <w:spacing w:line="360" w:lineRule="auto"/>
              <w:jc w:val="center"/>
              <w:rPr>
                <w:rFonts w:hint="eastAsia" w:ascii="宋体" w:hAnsi="宋体" w:eastAsia="宋体" w:cs="宋体"/>
                <w:bCs/>
                <w:color w:val="000000"/>
                <w:sz w:val="24"/>
                <w:highlight w:val="none"/>
              </w:rPr>
            </w:pPr>
          </w:p>
          <w:p w14:paraId="066A130C">
            <w:pPr>
              <w:pageBreakBefore w:val="0"/>
              <w:bidi w:val="0"/>
              <w:spacing w:line="360" w:lineRule="auto"/>
              <w:jc w:val="center"/>
              <w:rPr>
                <w:rFonts w:hint="eastAsia" w:ascii="宋体" w:hAnsi="宋体" w:eastAsia="宋体" w:cs="宋体"/>
                <w:bCs/>
                <w:color w:val="000000"/>
                <w:sz w:val="24"/>
                <w:highlight w:val="none"/>
              </w:rPr>
            </w:pPr>
          </w:p>
          <w:p w14:paraId="2E69733D">
            <w:pPr>
              <w:pageBreakBefore w:val="0"/>
              <w:bidi w:val="0"/>
              <w:spacing w:line="360" w:lineRule="auto"/>
              <w:jc w:val="center"/>
              <w:rPr>
                <w:rFonts w:hint="eastAsia" w:ascii="宋体" w:hAnsi="宋体" w:eastAsia="宋体" w:cs="宋体"/>
                <w:bCs/>
                <w:color w:val="000000"/>
                <w:sz w:val="24"/>
                <w:highlight w:val="none"/>
              </w:rPr>
            </w:pPr>
          </w:p>
          <w:p w14:paraId="1E76AC03">
            <w:pPr>
              <w:pageBreakBefore w:val="0"/>
              <w:bidi w:val="0"/>
              <w:spacing w:line="360" w:lineRule="auto"/>
              <w:jc w:val="center"/>
              <w:rPr>
                <w:rFonts w:hint="eastAsia" w:ascii="宋体" w:hAnsi="宋体" w:eastAsia="宋体" w:cs="宋体"/>
                <w:bCs/>
                <w:color w:val="000000"/>
                <w:sz w:val="24"/>
                <w:highlight w:val="none"/>
              </w:rPr>
            </w:pPr>
          </w:p>
          <w:p w14:paraId="49B1BDCD">
            <w:pPr>
              <w:pageBreakBefore w:val="0"/>
              <w:bidi w:val="0"/>
              <w:spacing w:line="360" w:lineRule="auto"/>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（盖章）</w:t>
            </w:r>
          </w:p>
        </w:tc>
      </w:tr>
      <w:tr w14:paraId="654DC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atLeast"/>
        </w:trPr>
        <w:tc>
          <w:tcPr>
            <w:tcW w:w="3018" w:type="dxa"/>
          </w:tcPr>
          <w:p w14:paraId="0B7C98F2">
            <w:pPr>
              <w:pageBreakBefore w:val="0"/>
              <w:bidi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地址：</w:t>
            </w:r>
          </w:p>
        </w:tc>
        <w:tc>
          <w:tcPr>
            <w:tcW w:w="3018" w:type="dxa"/>
          </w:tcPr>
          <w:p w14:paraId="46042234">
            <w:pPr>
              <w:pageBreakBefore w:val="0"/>
              <w:bidi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地址：</w:t>
            </w:r>
          </w:p>
        </w:tc>
        <w:tc>
          <w:tcPr>
            <w:tcW w:w="3018" w:type="dxa"/>
          </w:tcPr>
          <w:p w14:paraId="27A0F7C3">
            <w:pPr>
              <w:pageBreakBefore w:val="0"/>
              <w:bidi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地址：</w:t>
            </w:r>
          </w:p>
        </w:tc>
      </w:tr>
      <w:tr w14:paraId="196FA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3018" w:type="dxa"/>
          </w:tcPr>
          <w:p w14:paraId="743D24DD">
            <w:pPr>
              <w:pageBreakBefore w:val="0"/>
              <w:bidi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邮编：</w:t>
            </w:r>
          </w:p>
        </w:tc>
        <w:tc>
          <w:tcPr>
            <w:tcW w:w="3018" w:type="dxa"/>
          </w:tcPr>
          <w:p w14:paraId="68BC2A65">
            <w:pPr>
              <w:pageBreakBefore w:val="0"/>
              <w:bidi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邮编：</w:t>
            </w:r>
          </w:p>
        </w:tc>
        <w:tc>
          <w:tcPr>
            <w:tcW w:w="3018" w:type="dxa"/>
          </w:tcPr>
          <w:p w14:paraId="15B34521">
            <w:pPr>
              <w:pageBreakBefore w:val="0"/>
              <w:bidi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邮编：</w:t>
            </w:r>
          </w:p>
        </w:tc>
      </w:tr>
      <w:tr w14:paraId="01CFB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3018" w:type="dxa"/>
          </w:tcPr>
          <w:p w14:paraId="6C677408">
            <w:pPr>
              <w:pageBreakBefore w:val="0"/>
              <w:bidi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 </w:t>
            </w:r>
          </w:p>
        </w:tc>
        <w:tc>
          <w:tcPr>
            <w:tcW w:w="3018" w:type="dxa"/>
          </w:tcPr>
          <w:p w14:paraId="57DB4619">
            <w:pPr>
              <w:pageBreakBefore w:val="0"/>
              <w:bidi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法定代表人：</w:t>
            </w:r>
          </w:p>
        </w:tc>
        <w:tc>
          <w:tcPr>
            <w:tcW w:w="3018" w:type="dxa"/>
          </w:tcPr>
          <w:p w14:paraId="121D1C34">
            <w:pPr>
              <w:pageBreakBefore w:val="0"/>
              <w:bidi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法定代表人：</w:t>
            </w:r>
          </w:p>
        </w:tc>
      </w:tr>
      <w:tr w14:paraId="689D5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 w:hRule="atLeast"/>
        </w:trPr>
        <w:tc>
          <w:tcPr>
            <w:tcW w:w="3018" w:type="dxa"/>
          </w:tcPr>
          <w:p w14:paraId="18ECB11F">
            <w:pPr>
              <w:pageBreakBefore w:val="0"/>
              <w:bidi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被授权代表：</w:t>
            </w:r>
          </w:p>
        </w:tc>
        <w:tc>
          <w:tcPr>
            <w:tcW w:w="3018" w:type="dxa"/>
          </w:tcPr>
          <w:p w14:paraId="4B53B7CC">
            <w:pPr>
              <w:pageBreakBefore w:val="0"/>
              <w:bidi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被授权代表：</w:t>
            </w:r>
          </w:p>
        </w:tc>
        <w:tc>
          <w:tcPr>
            <w:tcW w:w="3018" w:type="dxa"/>
          </w:tcPr>
          <w:p w14:paraId="65BEED2A">
            <w:pPr>
              <w:pageBreakBefore w:val="0"/>
              <w:bidi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承办人：</w:t>
            </w:r>
          </w:p>
        </w:tc>
      </w:tr>
      <w:tr w14:paraId="6606C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018" w:type="dxa"/>
          </w:tcPr>
          <w:p w14:paraId="785A9D97">
            <w:pPr>
              <w:pageBreakBefore w:val="0"/>
              <w:bidi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电话：</w:t>
            </w:r>
          </w:p>
        </w:tc>
        <w:tc>
          <w:tcPr>
            <w:tcW w:w="3018" w:type="dxa"/>
          </w:tcPr>
          <w:p w14:paraId="475C972D">
            <w:pPr>
              <w:pageBreakBefore w:val="0"/>
              <w:bidi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电话：</w:t>
            </w:r>
          </w:p>
        </w:tc>
        <w:tc>
          <w:tcPr>
            <w:tcW w:w="3018" w:type="dxa"/>
          </w:tcPr>
          <w:p w14:paraId="462073C9">
            <w:pPr>
              <w:pageBreakBefore w:val="0"/>
              <w:bidi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电话：</w:t>
            </w:r>
          </w:p>
        </w:tc>
      </w:tr>
      <w:tr w14:paraId="5BCFE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018" w:type="dxa"/>
          </w:tcPr>
          <w:p w14:paraId="2D5CBCB0">
            <w:pPr>
              <w:pageBreakBefore w:val="0"/>
              <w:bidi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传真：</w:t>
            </w:r>
          </w:p>
        </w:tc>
        <w:tc>
          <w:tcPr>
            <w:tcW w:w="3018" w:type="dxa"/>
          </w:tcPr>
          <w:p w14:paraId="59BF7D29">
            <w:pPr>
              <w:pageBreakBefore w:val="0"/>
              <w:bidi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传真：</w:t>
            </w:r>
          </w:p>
        </w:tc>
        <w:tc>
          <w:tcPr>
            <w:tcW w:w="3018" w:type="dxa"/>
          </w:tcPr>
          <w:p w14:paraId="223163D7">
            <w:pPr>
              <w:pageBreakBefore w:val="0"/>
              <w:bidi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传真：</w:t>
            </w:r>
          </w:p>
        </w:tc>
      </w:tr>
      <w:tr w14:paraId="5B63E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3018" w:type="dxa"/>
          </w:tcPr>
          <w:p w14:paraId="532B492B">
            <w:pPr>
              <w:pageBreakBefore w:val="0"/>
              <w:bidi w:val="0"/>
              <w:spacing w:line="360" w:lineRule="auto"/>
              <w:rPr>
                <w:rFonts w:hint="eastAsia" w:ascii="宋体" w:hAnsi="宋体" w:eastAsia="宋体" w:cs="宋体"/>
                <w:bCs/>
                <w:color w:val="000000"/>
                <w:sz w:val="24"/>
                <w:highlight w:val="none"/>
              </w:rPr>
            </w:pPr>
          </w:p>
        </w:tc>
        <w:tc>
          <w:tcPr>
            <w:tcW w:w="3018" w:type="dxa"/>
          </w:tcPr>
          <w:p w14:paraId="3EA2D7BB">
            <w:pPr>
              <w:pageBreakBefore w:val="0"/>
              <w:bidi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开户银行：</w:t>
            </w:r>
          </w:p>
          <w:p w14:paraId="083AE400">
            <w:pPr>
              <w:pageBreakBefore w:val="0"/>
              <w:bidi w:val="0"/>
              <w:spacing w:line="360" w:lineRule="auto"/>
              <w:rPr>
                <w:rFonts w:hint="eastAsia" w:ascii="宋体" w:hAnsi="宋体" w:eastAsia="宋体" w:cs="宋体"/>
                <w:bCs/>
                <w:color w:val="000000"/>
                <w:sz w:val="24"/>
                <w:highlight w:val="none"/>
              </w:rPr>
            </w:pPr>
          </w:p>
        </w:tc>
        <w:tc>
          <w:tcPr>
            <w:tcW w:w="3018" w:type="dxa"/>
          </w:tcPr>
          <w:p w14:paraId="564976EA">
            <w:pPr>
              <w:pageBreakBefore w:val="0"/>
              <w:bidi w:val="0"/>
              <w:spacing w:line="360" w:lineRule="auto"/>
              <w:rPr>
                <w:rFonts w:hint="eastAsia" w:ascii="宋体" w:hAnsi="宋体" w:eastAsia="宋体" w:cs="宋体"/>
                <w:bCs/>
                <w:color w:val="000000"/>
                <w:sz w:val="24"/>
                <w:highlight w:val="none"/>
              </w:rPr>
            </w:pPr>
          </w:p>
        </w:tc>
      </w:tr>
      <w:tr w14:paraId="4D903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3018" w:type="dxa"/>
          </w:tcPr>
          <w:p w14:paraId="21D193D4">
            <w:pPr>
              <w:pageBreakBefore w:val="0"/>
              <w:bidi w:val="0"/>
              <w:spacing w:line="360" w:lineRule="auto"/>
              <w:rPr>
                <w:rFonts w:hint="eastAsia" w:ascii="宋体" w:hAnsi="宋体" w:eastAsia="宋体" w:cs="宋体"/>
                <w:bCs/>
                <w:color w:val="000000"/>
                <w:sz w:val="24"/>
                <w:highlight w:val="none"/>
              </w:rPr>
            </w:pPr>
          </w:p>
        </w:tc>
        <w:tc>
          <w:tcPr>
            <w:tcW w:w="3018" w:type="dxa"/>
          </w:tcPr>
          <w:p w14:paraId="0020F42D">
            <w:pPr>
              <w:pageBreakBefore w:val="0"/>
              <w:bidi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帐号：</w:t>
            </w:r>
          </w:p>
        </w:tc>
        <w:tc>
          <w:tcPr>
            <w:tcW w:w="3018" w:type="dxa"/>
          </w:tcPr>
          <w:p w14:paraId="0B4412C1">
            <w:pPr>
              <w:pageBreakBefore w:val="0"/>
              <w:bidi w:val="0"/>
              <w:spacing w:line="360" w:lineRule="auto"/>
              <w:rPr>
                <w:rFonts w:hint="eastAsia" w:ascii="宋体" w:hAnsi="宋体" w:eastAsia="宋体" w:cs="宋体"/>
                <w:bCs/>
                <w:color w:val="000000"/>
                <w:sz w:val="24"/>
                <w:highlight w:val="none"/>
              </w:rPr>
            </w:pPr>
          </w:p>
        </w:tc>
      </w:tr>
      <w:tr w14:paraId="1AEC9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3018" w:type="dxa"/>
          </w:tcPr>
          <w:p w14:paraId="308C8F67">
            <w:pPr>
              <w:pageBreakBefore w:val="0"/>
              <w:bidi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日期：     年   月   日</w:t>
            </w:r>
          </w:p>
        </w:tc>
        <w:tc>
          <w:tcPr>
            <w:tcW w:w="3018" w:type="dxa"/>
          </w:tcPr>
          <w:p w14:paraId="1B663391">
            <w:pPr>
              <w:pageBreakBefore w:val="0"/>
              <w:bidi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日期：     年   月   日</w:t>
            </w:r>
          </w:p>
        </w:tc>
        <w:tc>
          <w:tcPr>
            <w:tcW w:w="3018" w:type="dxa"/>
          </w:tcPr>
          <w:p w14:paraId="3AD510A7">
            <w:pPr>
              <w:pageBreakBefore w:val="0"/>
              <w:bidi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日期：     年   月   日</w:t>
            </w:r>
          </w:p>
        </w:tc>
      </w:tr>
    </w:tbl>
    <w:p w14:paraId="0211A15F">
      <w:pPr>
        <w:pageBreakBefore w:val="0"/>
        <w:bidi w:val="0"/>
        <w:spacing w:line="360" w:lineRule="auto"/>
        <w:rPr>
          <w:rFonts w:hint="eastAsia" w:ascii="宋体" w:hAnsi="宋体" w:eastAsia="宋体" w:cs="宋体"/>
          <w:b/>
          <w:sz w:val="44"/>
          <w:szCs w:val="44"/>
          <w:highlight w:val="none"/>
        </w:rPr>
      </w:pPr>
      <w:r>
        <w:rPr>
          <w:rFonts w:hint="eastAsia" w:ascii="宋体" w:hAnsi="宋体" w:eastAsia="宋体" w:cs="宋体"/>
          <w:b/>
          <w:sz w:val="44"/>
          <w:szCs w:val="44"/>
          <w:highlight w:val="none"/>
        </w:rPr>
        <w:br w:type="page"/>
      </w:r>
    </w:p>
    <w:p w14:paraId="796877C6">
      <w:pPr>
        <w:pageBreakBefore w:val="0"/>
        <w:bidi w:val="0"/>
        <w:spacing w:line="360" w:lineRule="auto"/>
        <w:jc w:val="center"/>
        <w:rPr>
          <w:rFonts w:hint="eastAsia" w:ascii="宋体" w:hAnsi="宋体" w:eastAsia="宋体" w:cs="宋体"/>
          <w:b/>
          <w:bCs/>
          <w:sz w:val="36"/>
          <w:szCs w:val="36"/>
          <w:highlight w:val="none"/>
        </w:rPr>
      </w:pPr>
      <w:bookmarkStart w:id="49" w:name="OLE_LINK58"/>
      <w:bookmarkStart w:id="50" w:name="OLE_LINK77"/>
      <w:r>
        <w:rPr>
          <w:rFonts w:hint="eastAsia" w:ascii="宋体" w:hAnsi="宋体" w:eastAsia="宋体" w:cs="宋体"/>
          <w:b/>
          <w:bCs/>
          <w:sz w:val="36"/>
          <w:szCs w:val="36"/>
          <w:highlight w:val="none"/>
        </w:rPr>
        <w:t>第</w:t>
      </w:r>
      <w:r>
        <w:rPr>
          <w:rFonts w:hint="eastAsia" w:ascii="宋体" w:hAnsi="宋体" w:eastAsia="宋体" w:cs="宋体"/>
          <w:b/>
          <w:bCs/>
          <w:sz w:val="36"/>
          <w:szCs w:val="36"/>
          <w:highlight w:val="none"/>
          <w:lang w:val="en-US" w:eastAsia="zh-CN"/>
        </w:rPr>
        <w:t>六</w:t>
      </w:r>
      <w:r>
        <w:rPr>
          <w:rFonts w:hint="eastAsia" w:ascii="宋体" w:hAnsi="宋体" w:eastAsia="宋体" w:cs="宋体"/>
          <w:b/>
          <w:bCs/>
          <w:sz w:val="36"/>
          <w:szCs w:val="36"/>
          <w:highlight w:val="none"/>
        </w:rPr>
        <w:t>部分 响应文件格式</w:t>
      </w:r>
    </w:p>
    <w:p w14:paraId="37C7E4F6">
      <w:pPr>
        <w:pageBreakBefore w:val="0"/>
        <w:tabs>
          <w:tab w:val="left" w:pos="840"/>
        </w:tabs>
        <w:kinsoku w:val="0"/>
        <w:bidi w:val="0"/>
        <w:spacing w:line="360" w:lineRule="auto"/>
        <w:ind w:firstLine="6505" w:firstLineChars="1800"/>
        <w:jc w:val="left"/>
        <w:rPr>
          <w:rFonts w:hint="eastAsia" w:ascii="宋体" w:hAnsi="宋体" w:eastAsia="宋体" w:cs="宋体"/>
          <w:b/>
          <w:bCs/>
          <w:sz w:val="36"/>
          <w:szCs w:val="44"/>
          <w:highlight w:val="none"/>
        </w:rPr>
      </w:pPr>
      <w:r>
        <w:rPr>
          <w:rFonts w:hint="eastAsia" w:ascii="宋体" w:hAnsi="宋体" w:eastAsia="宋体" w:cs="宋体"/>
          <w:b/>
          <w:bCs/>
          <w:sz w:val="36"/>
          <w:szCs w:val="44"/>
          <w:highlight w:val="none"/>
        </w:rPr>
        <w:t xml:space="preserve"> </w:t>
      </w:r>
    </w:p>
    <w:p w14:paraId="0AA78FDB">
      <w:pPr>
        <w:pageBreakBefore w:val="0"/>
        <w:tabs>
          <w:tab w:val="left" w:pos="840"/>
        </w:tabs>
        <w:kinsoku w:val="0"/>
        <w:bidi w:val="0"/>
        <w:spacing w:line="360" w:lineRule="auto"/>
        <w:ind w:firstLine="5060" w:firstLineChars="1800"/>
        <w:jc w:val="right"/>
        <w:rPr>
          <w:rFonts w:hint="eastAsia" w:ascii="宋体" w:hAnsi="宋体" w:eastAsia="宋体" w:cs="宋体"/>
          <w:b/>
          <w:sz w:val="44"/>
          <w:szCs w:val="44"/>
          <w:highlight w:val="none"/>
        </w:rPr>
      </w:pPr>
      <w:r>
        <w:rPr>
          <w:rFonts w:hint="eastAsia" w:ascii="宋体" w:hAnsi="宋体" w:eastAsia="宋体" w:cs="宋体"/>
          <w:b/>
          <w:sz w:val="28"/>
          <w:szCs w:val="28"/>
          <w:highlight w:val="none"/>
        </w:rPr>
        <w:t>（正本／副本）</w:t>
      </w:r>
    </w:p>
    <w:p w14:paraId="594679E8">
      <w:pPr>
        <w:pageBreakBefore w:val="0"/>
        <w:tabs>
          <w:tab w:val="left" w:pos="840"/>
        </w:tabs>
        <w:kinsoku w:val="0"/>
        <w:bidi w:val="0"/>
        <w:snapToGrid w:val="0"/>
        <w:spacing w:line="360" w:lineRule="auto"/>
        <w:rPr>
          <w:rFonts w:hint="eastAsia" w:ascii="宋体" w:hAnsi="宋体" w:eastAsia="宋体" w:cs="宋体"/>
          <w:b/>
          <w:sz w:val="44"/>
          <w:szCs w:val="44"/>
          <w:highlight w:val="none"/>
        </w:rPr>
      </w:pPr>
    </w:p>
    <w:p w14:paraId="7988F795">
      <w:pPr>
        <w:pStyle w:val="7"/>
        <w:pageBreakBefore w:val="0"/>
        <w:bidi w:val="0"/>
        <w:spacing w:line="360" w:lineRule="auto"/>
        <w:jc w:val="center"/>
        <w:rPr>
          <w:rFonts w:hint="eastAsia" w:ascii="宋体" w:hAnsi="宋体" w:eastAsia="宋体" w:cs="宋体"/>
          <w:b/>
          <w:color w:val="000000"/>
          <w:sz w:val="52"/>
          <w:szCs w:val="144"/>
          <w:highlight w:val="none"/>
        </w:rPr>
      </w:pPr>
      <w:r>
        <w:rPr>
          <w:rFonts w:hint="eastAsia" w:ascii="宋体" w:hAnsi="宋体" w:eastAsia="宋体" w:cs="宋体"/>
          <w:b/>
          <w:color w:val="000000"/>
          <w:sz w:val="48"/>
          <w:szCs w:val="48"/>
          <w:highlight w:val="none"/>
          <w:lang w:eastAsia="zh-CN"/>
        </w:rPr>
        <w:t>宜川县云岩中心卫生院县域医疗次中心建设项目（三次）</w:t>
      </w:r>
    </w:p>
    <w:p w14:paraId="11210FAD">
      <w:pPr>
        <w:pStyle w:val="13"/>
        <w:pageBreakBefore w:val="0"/>
        <w:bidi w:val="0"/>
        <w:spacing w:line="360" w:lineRule="auto"/>
        <w:rPr>
          <w:rFonts w:hint="eastAsia" w:ascii="宋体" w:hAnsi="宋体" w:eastAsia="宋体" w:cs="宋体"/>
          <w:highlight w:val="none"/>
        </w:rPr>
      </w:pPr>
    </w:p>
    <w:p w14:paraId="0A5E7B1D">
      <w:pPr>
        <w:pStyle w:val="13"/>
        <w:pageBreakBefore w:val="0"/>
        <w:bidi w:val="0"/>
        <w:spacing w:line="360" w:lineRule="auto"/>
        <w:rPr>
          <w:rFonts w:hint="eastAsia" w:ascii="宋体" w:hAnsi="宋体" w:eastAsia="宋体" w:cs="宋体"/>
          <w:highlight w:val="none"/>
        </w:rPr>
      </w:pPr>
    </w:p>
    <w:p w14:paraId="1169EDA7">
      <w:pPr>
        <w:pageBreakBefore w:val="0"/>
        <w:bidi w:val="0"/>
        <w:spacing w:line="360" w:lineRule="auto"/>
        <w:rPr>
          <w:rFonts w:hint="eastAsia" w:ascii="宋体" w:hAnsi="宋体" w:eastAsia="宋体" w:cs="宋体"/>
          <w:highlight w:val="none"/>
        </w:rPr>
      </w:pPr>
    </w:p>
    <w:p w14:paraId="5344A836">
      <w:pPr>
        <w:pageBreakBefore w:val="0"/>
        <w:overflowPunct w:val="0"/>
        <w:topLinePunct/>
        <w:bidi w:val="0"/>
        <w:spacing w:line="360" w:lineRule="auto"/>
        <w:jc w:val="center"/>
        <w:rPr>
          <w:rFonts w:hint="eastAsia" w:ascii="宋体" w:hAnsi="宋体" w:eastAsia="宋体" w:cs="宋体"/>
          <w:b/>
          <w:color w:val="000000"/>
          <w:sz w:val="52"/>
          <w:szCs w:val="144"/>
          <w:highlight w:val="none"/>
        </w:rPr>
      </w:pPr>
      <w:r>
        <w:rPr>
          <w:rFonts w:hint="eastAsia" w:ascii="宋体" w:hAnsi="宋体" w:eastAsia="宋体" w:cs="宋体"/>
          <w:b/>
          <w:color w:val="000000"/>
          <w:sz w:val="52"/>
          <w:szCs w:val="144"/>
          <w:highlight w:val="none"/>
        </w:rPr>
        <w:t>响 应 文 件</w:t>
      </w:r>
    </w:p>
    <w:p w14:paraId="0BF6042D">
      <w:pPr>
        <w:pageBreakBefore w:val="0"/>
        <w:overflowPunct w:val="0"/>
        <w:topLinePunct/>
        <w:bidi w:val="0"/>
        <w:spacing w:line="360" w:lineRule="auto"/>
        <w:jc w:val="center"/>
        <w:rPr>
          <w:rFonts w:hint="eastAsia" w:ascii="宋体" w:hAnsi="宋体" w:eastAsia="宋体" w:cs="宋体"/>
          <w:b/>
          <w:bCs/>
          <w:spacing w:val="20"/>
          <w:sz w:val="24"/>
          <w:highlight w:val="none"/>
        </w:rPr>
      </w:pPr>
      <w:r>
        <w:rPr>
          <w:rFonts w:hint="eastAsia" w:ascii="宋体" w:hAnsi="宋体" w:eastAsia="宋体" w:cs="宋体"/>
          <w:b/>
          <w:bCs/>
          <w:sz w:val="24"/>
          <w:highlight w:val="none"/>
        </w:rPr>
        <w:t>（项目编号：</w:t>
      </w:r>
      <w:r>
        <w:rPr>
          <w:rFonts w:hint="eastAsia" w:ascii="宋体" w:hAnsi="宋体" w:eastAsia="宋体" w:cs="宋体"/>
          <w:b/>
          <w:bCs/>
          <w:sz w:val="24"/>
          <w:highlight w:val="none"/>
          <w:lang w:eastAsia="zh-CN"/>
        </w:rPr>
        <w:t>HRC-ZBDL-2026-00708.1B</w:t>
      </w:r>
      <w:r>
        <w:rPr>
          <w:rFonts w:hint="eastAsia" w:ascii="宋体" w:hAnsi="宋体" w:eastAsia="宋体" w:cs="宋体"/>
          <w:b/>
          <w:bCs/>
          <w:sz w:val="24"/>
          <w:highlight w:val="none"/>
          <w:lang w:val="en-US" w:eastAsia="zh-CN"/>
        </w:rPr>
        <w:t>2</w:t>
      </w:r>
      <w:r>
        <w:rPr>
          <w:rFonts w:hint="eastAsia" w:ascii="宋体" w:hAnsi="宋体" w:eastAsia="宋体" w:cs="宋体"/>
          <w:b/>
          <w:bCs/>
          <w:sz w:val="24"/>
          <w:highlight w:val="none"/>
        </w:rPr>
        <w:t>）</w:t>
      </w:r>
    </w:p>
    <w:p w14:paraId="780ADCAE">
      <w:pPr>
        <w:pStyle w:val="12"/>
        <w:pageBreakBefore w:val="0"/>
        <w:bidi w:val="0"/>
        <w:spacing w:line="360" w:lineRule="auto"/>
        <w:ind w:firstLine="1706" w:firstLineChars="500"/>
        <w:rPr>
          <w:rFonts w:hint="eastAsia" w:ascii="宋体" w:hAnsi="宋体" w:eastAsia="宋体" w:cs="宋体"/>
          <w:b/>
          <w:bCs/>
          <w:spacing w:val="20"/>
          <w:sz w:val="30"/>
          <w:szCs w:val="30"/>
          <w:highlight w:val="none"/>
        </w:rPr>
      </w:pPr>
      <w:r>
        <w:rPr>
          <w:rFonts w:hint="eastAsia" w:ascii="宋体" w:hAnsi="宋体" w:eastAsia="宋体" w:cs="宋体"/>
          <w:b/>
          <w:bCs/>
          <w:spacing w:val="20"/>
          <w:sz w:val="30"/>
          <w:szCs w:val="30"/>
          <w:highlight w:val="none"/>
        </w:rPr>
        <w:t xml:space="preserve">              </w:t>
      </w:r>
    </w:p>
    <w:p w14:paraId="53C0F11A">
      <w:pPr>
        <w:pStyle w:val="12"/>
        <w:pageBreakBefore w:val="0"/>
        <w:bidi w:val="0"/>
        <w:spacing w:line="360" w:lineRule="auto"/>
        <w:ind w:firstLine="1706" w:firstLineChars="500"/>
        <w:rPr>
          <w:rFonts w:hint="eastAsia" w:ascii="宋体" w:hAnsi="宋体" w:eastAsia="宋体" w:cs="宋体"/>
          <w:b/>
          <w:bCs/>
          <w:spacing w:val="20"/>
          <w:sz w:val="30"/>
          <w:szCs w:val="30"/>
          <w:highlight w:val="none"/>
        </w:rPr>
      </w:pPr>
      <w:r>
        <w:rPr>
          <w:rFonts w:hint="eastAsia" w:ascii="宋体" w:hAnsi="宋体" w:eastAsia="宋体" w:cs="宋体"/>
          <w:b/>
          <w:bCs/>
          <w:spacing w:val="20"/>
          <w:sz w:val="30"/>
          <w:szCs w:val="30"/>
          <w:highlight w:val="none"/>
        </w:rPr>
        <w:t xml:space="preserve"> </w:t>
      </w:r>
    </w:p>
    <w:p w14:paraId="2BEE4FE2">
      <w:pPr>
        <w:pStyle w:val="12"/>
        <w:pageBreakBefore w:val="0"/>
        <w:bidi w:val="0"/>
        <w:spacing w:line="360" w:lineRule="auto"/>
        <w:ind w:left="0" w:leftChars="0"/>
        <w:rPr>
          <w:rFonts w:hint="eastAsia" w:ascii="宋体" w:hAnsi="宋体" w:eastAsia="宋体" w:cs="宋体"/>
          <w:b/>
          <w:bCs/>
          <w:spacing w:val="20"/>
          <w:sz w:val="22"/>
          <w:szCs w:val="22"/>
          <w:highlight w:val="none"/>
        </w:rPr>
      </w:pPr>
    </w:p>
    <w:p w14:paraId="707B57FB">
      <w:pPr>
        <w:pStyle w:val="12"/>
        <w:pageBreakBefore w:val="0"/>
        <w:bidi w:val="0"/>
        <w:spacing w:line="360" w:lineRule="auto"/>
        <w:ind w:left="0" w:leftChars="0"/>
        <w:rPr>
          <w:rFonts w:hint="eastAsia" w:ascii="宋体" w:hAnsi="宋体" w:eastAsia="宋体" w:cs="宋体"/>
          <w:b/>
          <w:bCs/>
          <w:spacing w:val="20"/>
          <w:sz w:val="22"/>
          <w:szCs w:val="22"/>
          <w:highlight w:val="none"/>
        </w:rPr>
      </w:pPr>
    </w:p>
    <w:p w14:paraId="46EB31F1">
      <w:pPr>
        <w:pageBreakBefore w:val="0"/>
        <w:bidi w:val="0"/>
        <w:spacing w:line="360" w:lineRule="auto"/>
        <w:ind w:firstLine="167" w:firstLineChars="49"/>
        <w:rPr>
          <w:rFonts w:hint="eastAsia" w:ascii="宋体" w:hAnsi="宋体" w:eastAsia="宋体" w:cs="宋体"/>
          <w:b/>
          <w:bCs/>
          <w:spacing w:val="20"/>
          <w:sz w:val="30"/>
          <w:szCs w:val="30"/>
          <w:highlight w:val="none"/>
        </w:rPr>
      </w:pPr>
      <w:r>
        <w:rPr>
          <w:rFonts w:hint="eastAsia" w:ascii="宋体" w:hAnsi="宋体" w:eastAsia="宋体" w:cs="宋体"/>
          <w:b/>
          <w:bCs/>
          <w:spacing w:val="20"/>
          <w:sz w:val="30"/>
          <w:szCs w:val="30"/>
          <w:highlight w:val="none"/>
        </w:rPr>
        <w:t>供   应  商：</w:t>
      </w:r>
      <w:r>
        <w:rPr>
          <w:rFonts w:hint="eastAsia" w:ascii="宋体" w:hAnsi="宋体" w:eastAsia="宋体" w:cs="宋体"/>
          <w:b/>
          <w:bCs/>
          <w:spacing w:val="20"/>
          <w:sz w:val="30"/>
          <w:szCs w:val="30"/>
          <w:highlight w:val="none"/>
          <w:u w:val="single"/>
        </w:rPr>
        <w:t xml:space="preserve">                     </w:t>
      </w:r>
      <w:r>
        <w:rPr>
          <w:rFonts w:hint="eastAsia" w:ascii="宋体" w:hAnsi="宋体" w:eastAsia="宋体" w:cs="宋体"/>
          <w:b/>
          <w:bCs/>
          <w:spacing w:val="20"/>
          <w:sz w:val="30"/>
          <w:szCs w:val="30"/>
          <w:highlight w:val="none"/>
        </w:rPr>
        <w:t>（盖单位公章）</w:t>
      </w:r>
    </w:p>
    <w:p w14:paraId="47E7CAD5">
      <w:pPr>
        <w:pageBreakBefore w:val="0"/>
        <w:bidi w:val="0"/>
        <w:spacing w:line="360" w:lineRule="auto"/>
        <w:ind w:firstLine="167" w:firstLineChars="49"/>
        <w:rPr>
          <w:rFonts w:hint="eastAsia" w:ascii="宋体" w:hAnsi="宋体" w:eastAsia="宋体" w:cs="宋体"/>
          <w:b/>
          <w:bCs/>
          <w:spacing w:val="20"/>
          <w:sz w:val="30"/>
          <w:szCs w:val="30"/>
          <w:highlight w:val="none"/>
        </w:rPr>
      </w:pPr>
      <w:r>
        <w:rPr>
          <w:rFonts w:hint="eastAsia" w:ascii="宋体" w:hAnsi="宋体" w:eastAsia="宋体" w:cs="宋体"/>
          <w:b/>
          <w:bCs/>
          <w:spacing w:val="20"/>
          <w:sz w:val="30"/>
          <w:szCs w:val="30"/>
          <w:highlight w:val="none"/>
        </w:rPr>
        <w:t>法定代表人或</w:t>
      </w:r>
    </w:p>
    <w:p w14:paraId="225D36E1">
      <w:pPr>
        <w:pageBreakBefore w:val="0"/>
        <w:bidi w:val="0"/>
        <w:spacing w:line="360" w:lineRule="auto"/>
        <w:ind w:firstLine="167" w:firstLineChars="49"/>
        <w:rPr>
          <w:rFonts w:hint="eastAsia" w:ascii="宋体" w:hAnsi="宋体" w:eastAsia="宋体" w:cs="宋体"/>
          <w:b/>
          <w:bCs/>
          <w:spacing w:val="20"/>
          <w:sz w:val="30"/>
          <w:szCs w:val="30"/>
          <w:highlight w:val="none"/>
        </w:rPr>
      </w:pPr>
      <w:r>
        <w:rPr>
          <w:rFonts w:hint="eastAsia" w:ascii="宋体" w:hAnsi="宋体" w:eastAsia="宋体" w:cs="宋体"/>
          <w:b/>
          <w:bCs/>
          <w:spacing w:val="20"/>
          <w:sz w:val="30"/>
          <w:szCs w:val="30"/>
          <w:highlight w:val="none"/>
        </w:rPr>
        <w:t>其委托代理人：</w:t>
      </w:r>
      <w:r>
        <w:rPr>
          <w:rFonts w:hint="eastAsia" w:ascii="宋体" w:hAnsi="宋体" w:eastAsia="宋体" w:cs="宋体"/>
          <w:b/>
          <w:bCs/>
          <w:spacing w:val="20"/>
          <w:sz w:val="30"/>
          <w:szCs w:val="30"/>
          <w:highlight w:val="none"/>
          <w:u w:val="single"/>
        </w:rPr>
        <w:t xml:space="preserve">                    </w:t>
      </w:r>
      <w:r>
        <w:rPr>
          <w:rFonts w:hint="eastAsia" w:ascii="宋体" w:hAnsi="宋体" w:eastAsia="宋体" w:cs="宋体"/>
          <w:b/>
          <w:bCs/>
          <w:spacing w:val="20"/>
          <w:sz w:val="30"/>
          <w:szCs w:val="30"/>
          <w:highlight w:val="none"/>
        </w:rPr>
        <w:t xml:space="preserve"> （签字或盖章）</w:t>
      </w:r>
    </w:p>
    <w:p w14:paraId="6D0F25FC">
      <w:pPr>
        <w:pageBreakBefore w:val="0"/>
        <w:bidi w:val="0"/>
        <w:spacing w:line="360" w:lineRule="auto"/>
        <w:ind w:firstLine="167" w:firstLineChars="49"/>
        <w:rPr>
          <w:rFonts w:hint="eastAsia" w:ascii="宋体" w:hAnsi="宋体" w:eastAsia="宋体" w:cs="宋体"/>
          <w:b/>
          <w:bCs/>
          <w:spacing w:val="20"/>
          <w:sz w:val="30"/>
          <w:szCs w:val="30"/>
          <w:highlight w:val="none"/>
        </w:rPr>
      </w:pPr>
      <w:r>
        <w:rPr>
          <w:rFonts w:hint="eastAsia" w:ascii="宋体" w:hAnsi="宋体" w:eastAsia="宋体" w:cs="宋体"/>
          <w:b/>
          <w:bCs/>
          <w:spacing w:val="20"/>
          <w:sz w:val="30"/>
          <w:szCs w:val="30"/>
          <w:highlight w:val="none"/>
        </w:rPr>
        <w:t>日       期：</w:t>
      </w:r>
      <w:r>
        <w:rPr>
          <w:rFonts w:hint="eastAsia" w:ascii="宋体" w:hAnsi="宋体" w:eastAsia="宋体" w:cs="宋体"/>
          <w:b/>
          <w:bCs/>
          <w:spacing w:val="20"/>
          <w:sz w:val="30"/>
          <w:szCs w:val="30"/>
          <w:highlight w:val="none"/>
          <w:u w:val="single"/>
        </w:rPr>
        <w:t xml:space="preserve">      </w:t>
      </w:r>
      <w:r>
        <w:rPr>
          <w:rFonts w:hint="eastAsia" w:ascii="宋体" w:hAnsi="宋体" w:eastAsia="宋体" w:cs="宋体"/>
          <w:b/>
          <w:bCs/>
          <w:spacing w:val="20"/>
          <w:sz w:val="30"/>
          <w:szCs w:val="30"/>
          <w:highlight w:val="none"/>
        </w:rPr>
        <w:t>年</w:t>
      </w:r>
      <w:r>
        <w:rPr>
          <w:rFonts w:hint="eastAsia" w:ascii="宋体" w:hAnsi="宋体" w:eastAsia="宋体" w:cs="宋体"/>
          <w:b/>
          <w:bCs/>
          <w:spacing w:val="20"/>
          <w:sz w:val="30"/>
          <w:szCs w:val="30"/>
          <w:highlight w:val="none"/>
          <w:u w:val="single"/>
        </w:rPr>
        <w:t xml:space="preserve">     </w:t>
      </w:r>
      <w:r>
        <w:rPr>
          <w:rFonts w:hint="eastAsia" w:ascii="宋体" w:hAnsi="宋体" w:eastAsia="宋体" w:cs="宋体"/>
          <w:b/>
          <w:bCs/>
          <w:spacing w:val="20"/>
          <w:sz w:val="30"/>
          <w:szCs w:val="30"/>
          <w:highlight w:val="none"/>
        </w:rPr>
        <w:t>月</w:t>
      </w:r>
      <w:r>
        <w:rPr>
          <w:rFonts w:hint="eastAsia" w:ascii="宋体" w:hAnsi="宋体" w:eastAsia="宋体" w:cs="宋体"/>
          <w:b/>
          <w:bCs/>
          <w:spacing w:val="20"/>
          <w:sz w:val="30"/>
          <w:szCs w:val="30"/>
          <w:highlight w:val="none"/>
          <w:u w:val="single"/>
        </w:rPr>
        <w:t xml:space="preserve">     </w:t>
      </w:r>
      <w:r>
        <w:rPr>
          <w:rFonts w:hint="eastAsia" w:ascii="宋体" w:hAnsi="宋体" w:eastAsia="宋体" w:cs="宋体"/>
          <w:b/>
          <w:bCs/>
          <w:spacing w:val="20"/>
          <w:sz w:val="30"/>
          <w:szCs w:val="30"/>
          <w:highlight w:val="none"/>
        </w:rPr>
        <w:t>日</w:t>
      </w:r>
    </w:p>
    <w:p w14:paraId="48DEF82B">
      <w:pPr>
        <w:pageBreakBefore w:val="0"/>
        <w:bidi w:val="0"/>
        <w:spacing w:line="360" w:lineRule="auto"/>
        <w:ind w:firstLine="167" w:firstLineChars="49"/>
        <w:rPr>
          <w:rFonts w:hint="eastAsia" w:ascii="宋体" w:hAnsi="宋体" w:eastAsia="宋体" w:cs="宋体"/>
          <w:b/>
          <w:bCs/>
          <w:spacing w:val="20"/>
          <w:sz w:val="30"/>
          <w:szCs w:val="30"/>
          <w:highlight w:val="none"/>
        </w:rPr>
      </w:pPr>
    </w:p>
    <w:p w14:paraId="582DB805">
      <w:pPr>
        <w:pageBreakBefore w:val="0"/>
        <w:bidi w:val="0"/>
        <w:spacing w:line="360" w:lineRule="auto"/>
        <w:ind w:firstLine="167" w:firstLineChars="49"/>
        <w:rPr>
          <w:rFonts w:hint="eastAsia" w:ascii="宋体" w:hAnsi="宋体" w:eastAsia="宋体" w:cs="宋体"/>
          <w:b/>
          <w:bCs/>
          <w:spacing w:val="20"/>
          <w:sz w:val="30"/>
          <w:szCs w:val="30"/>
          <w:highlight w:val="none"/>
        </w:rPr>
      </w:pPr>
    </w:p>
    <w:bookmarkEnd w:id="49"/>
    <w:p w14:paraId="793122FD">
      <w:pPr>
        <w:pageBreakBefore w:val="0"/>
        <w:bidi w:val="0"/>
        <w:spacing w:line="360" w:lineRule="auto"/>
        <w:jc w:val="center"/>
        <w:rPr>
          <w:rFonts w:hint="eastAsia" w:ascii="宋体" w:hAnsi="宋体" w:eastAsia="宋体" w:cs="宋体"/>
          <w:b/>
          <w:bCs/>
          <w:highlight w:val="none"/>
        </w:rPr>
      </w:pPr>
      <w:r>
        <w:rPr>
          <w:rFonts w:hint="eastAsia" w:ascii="宋体" w:hAnsi="宋体" w:eastAsia="宋体" w:cs="宋体"/>
          <w:b/>
          <w:bCs/>
          <w:sz w:val="48"/>
          <w:szCs w:val="48"/>
          <w:highlight w:val="none"/>
        </w:rPr>
        <w:t>目    录</w:t>
      </w:r>
    </w:p>
    <w:p w14:paraId="6D183A38">
      <w:pPr>
        <w:pageBreakBefore w:val="0"/>
        <w:bidi w:val="0"/>
        <w:spacing w:line="360" w:lineRule="auto"/>
        <w:rPr>
          <w:rFonts w:hint="eastAsia" w:ascii="宋体" w:hAnsi="宋体" w:eastAsia="宋体" w:cs="宋体"/>
          <w:highlight w:val="none"/>
        </w:rPr>
      </w:pPr>
    </w:p>
    <w:p w14:paraId="0CC6B785">
      <w:pPr>
        <w:pageBreakBefore w:val="0"/>
        <w:bidi w:val="0"/>
        <w:spacing w:line="360" w:lineRule="auto"/>
        <w:ind w:left="360"/>
        <w:rPr>
          <w:rFonts w:hint="eastAsia" w:ascii="宋体" w:hAnsi="宋体" w:eastAsia="宋体" w:cs="宋体"/>
          <w:sz w:val="28"/>
          <w:szCs w:val="28"/>
          <w:highlight w:val="none"/>
        </w:rPr>
      </w:pPr>
      <w:r>
        <w:rPr>
          <w:rFonts w:hint="eastAsia" w:ascii="宋体" w:hAnsi="宋体" w:eastAsia="宋体" w:cs="宋体"/>
          <w:sz w:val="28"/>
          <w:szCs w:val="28"/>
          <w:highlight w:val="none"/>
        </w:rPr>
        <w:t>一、谈判响应函</w:t>
      </w:r>
    </w:p>
    <w:p w14:paraId="3E7B18BF">
      <w:pPr>
        <w:pageBreakBefore w:val="0"/>
        <w:bidi w:val="0"/>
        <w:spacing w:line="360" w:lineRule="auto"/>
        <w:ind w:left="360"/>
        <w:rPr>
          <w:rFonts w:hint="eastAsia" w:ascii="宋体" w:hAnsi="宋体" w:eastAsia="宋体" w:cs="宋体"/>
          <w:sz w:val="28"/>
          <w:szCs w:val="28"/>
          <w:highlight w:val="none"/>
        </w:rPr>
      </w:pPr>
    </w:p>
    <w:p w14:paraId="13713068">
      <w:pPr>
        <w:pageBreakBefore w:val="0"/>
        <w:bidi w:val="0"/>
        <w:spacing w:line="360" w:lineRule="auto"/>
        <w:ind w:left="360"/>
        <w:rPr>
          <w:rFonts w:hint="eastAsia" w:ascii="宋体" w:hAnsi="宋体" w:eastAsia="宋体" w:cs="宋体"/>
          <w:sz w:val="28"/>
          <w:szCs w:val="28"/>
          <w:highlight w:val="none"/>
        </w:rPr>
      </w:pPr>
      <w:r>
        <w:rPr>
          <w:rFonts w:hint="eastAsia" w:ascii="宋体" w:hAnsi="宋体" w:eastAsia="宋体" w:cs="宋体"/>
          <w:sz w:val="28"/>
          <w:szCs w:val="28"/>
          <w:highlight w:val="none"/>
        </w:rPr>
        <w:t>二、法定代表人证明书与授权书</w:t>
      </w:r>
    </w:p>
    <w:p w14:paraId="785AB129">
      <w:pPr>
        <w:pageBreakBefore w:val="0"/>
        <w:bidi w:val="0"/>
        <w:spacing w:line="360" w:lineRule="auto"/>
        <w:ind w:left="360"/>
        <w:rPr>
          <w:rFonts w:hint="eastAsia" w:ascii="宋体" w:hAnsi="宋体" w:eastAsia="宋体" w:cs="宋体"/>
          <w:sz w:val="28"/>
          <w:szCs w:val="28"/>
          <w:highlight w:val="none"/>
        </w:rPr>
      </w:pPr>
    </w:p>
    <w:p w14:paraId="4A4B789E">
      <w:pPr>
        <w:pageBreakBefore w:val="0"/>
        <w:bidi w:val="0"/>
        <w:spacing w:line="360" w:lineRule="auto"/>
        <w:ind w:left="360"/>
        <w:rPr>
          <w:rFonts w:hint="eastAsia" w:ascii="宋体" w:hAnsi="宋体" w:eastAsia="宋体" w:cs="宋体"/>
          <w:sz w:val="28"/>
          <w:szCs w:val="28"/>
          <w:highlight w:val="none"/>
        </w:rPr>
      </w:pPr>
      <w:r>
        <w:rPr>
          <w:rFonts w:hint="eastAsia" w:ascii="宋体" w:hAnsi="宋体" w:eastAsia="宋体" w:cs="宋体"/>
          <w:sz w:val="28"/>
          <w:szCs w:val="28"/>
          <w:highlight w:val="none"/>
        </w:rPr>
        <w:t>三、响应报价表</w:t>
      </w:r>
    </w:p>
    <w:p w14:paraId="4C5F0FA7">
      <w:pPr>
        <w:pageBreakBefore w:val="0"/>
        <w:bidi w:val="0"/>
        <w:spacing w:line="360" w:lineRule="auto"/>
        <w:ind w:left="360"/>
        <w:rPr>
          <w:rFonts w:hint="eastAsia" w:ascii="宋体" w:hAnsi="宋体" w:eastAsia="宋体" w:cs="宋体"/>
          <w:sz w:val="28"/>
          <w:szCs w:val="28"/>
          <w:highlight w:val="none"/>
        </w:rPr>
      </w:pPr>
    </w:p>
    <w:p w14:paraId="3C050B32">
      <w:pPr>
        <w:pageBreakBefore w:val="0"/>
        <w:bidi w:val="0"/>
        <w:spacing w:line="360" w:lineRule="auto"/>
        <w:ind w:left="360"/>
        <w:rPr>
          <w:rFonts w:hint="eastAsia" w:ascii="宋体" w:hAnsi="宋体" w:eastAsia="宋体" w:cs="宋体"/>
          <w:sz w:val="28"/>
          <w:szCs w:val="28"/>
          <w:highlight w:val="none"/>
        </w:rPr>
      </w:pPr>
      <w:r>
        <w:rPr>
          <w:rFonts w:hint="eastAsia" w:ascii="宋体" w:hAnsi="宋体" w:eastAsia="宋体" w:cs="宋体"/>
          <w:sz w:val="28"/>
          <w:szCs w:val="28"/>
          <w:highlight w:val="none"/>
        </w:rPr>
        <w:t>四、资格证明文件</w:t>
      </w:r>
    </w:p>
    <w:p w14:paraId="6CE11382">
      <w:pPr>
        <w:pageBreakBefore w:val="0"/>
        <w:bidi w:val="0"/>
        <w:spacing w:line="360" w:lineRule="auto"/>
        <w:ind w:left="360"/>
        <w:rPr>
          <w:rFonts w:hint="eastAsia" w:ascii="宋体" w:hAnsi="宋体" w:eastAsia="宋体" w:cs="宋体"/>
          <w:sz w:val="28"/>
          <w:szCs w:val="28"/>
          <w:highlight w:val="none"/>
        </w:rPr>
      </w:pPr>
    </w:p>
    <w:p w14:paraId="7F0056F6">
      <w:pPr>
        <w:pageBreakBefore w:val="0"/>
        <w:bidi w:val="0"/>
        <w:spacing w:line="360" w:lineRule="auto"/>
        <w:ind w:left="360"/>
        <w:rPr>
          <w:rFonts w:hint="eastAsia" w:ascii="宋体" w:hAnsi="宋体" w:eastAsia="宋体" w:cs="宋体"/>
          <w:sz w:val="28"/>
          <w:szCs w:val="28"/>
          <w:highlight w:val="none"/>
        </w:rPr>
      </w:pPr>
      <w:r>
        <w:rPr>
          <w:rFonts w:hint="eastAsia" w:ascii="宋体" w:hAnsi="宋体" w:eastAsia="宋体" w:cs="宋体"/>
          <w:sz w:val="28"/>
          <w:szCs w:val="28"/>
          <w:highlight w:val="none"/>
        </w:rPr>
        <w:t>五、</w:t>
      </w:r>
      <w:bookmarkStart w:id="51" w:name="OLE_LINK12"/>
      <w:r>
        <w:rPr>
          <w:rFonts w:hint="eastAsia" w:ascii="宋体" w:hAnsi="宋体" w:eastAsia="宋体" w:cs="宋体"/>
          <w:sz w:val="28"/>
          <w:szCs w:val="28"/>
          <w:highlight w:val="none"/>
        </w:rPr>
        <w:t>谈判响应技术方案</w:t>
      </w:r>
    </w:p>
    <w:bookmarkEnd w:id="51"/>
    <w:p w14:paraId="1B023DB2">
      <w:pPr>
        <w:pageBreakBefore w:val="0"/>
        <w:bidi w:val="0"/>
        <w:spacing w:line="360" w:lineRule="auto"/>
        <w:ind w:left="360"/>
        <w:rPr>
          <w:rFonts w:hint="eastAsia" w:ascii="宋体" w:hAnsi="宋体" w:eastAsia="宋体" w:cs="宋体"/>
          <w:sz w:val="28"/>
          <w:szCs w:val="28"/>
          <w:highlight w:val="none"/>
        </w:rPr>
      </w:pPr>
    </w:p>
    <w:p w14:paraId="47B373FC">
      <w:pPr>
        <w:pageBreakBefore w:val="0"/>
        <w:bidi w:val="0"/>
        <w:spacing w:line="360" w:lineRule="auto"/>
        <w:ind w:left="360"/>
        <w:rPr>
          <w:rFonts w:hint="eastAsia" w:ascii="宋体" w:hAnsi="宋体" w:eastAsia="宋体" w:cs="宋体"/>
          <w:sz w:val="28"/>
          <w:szCs w:val="28"/>
          <w:highlight w:val="none"/>
        </w:rPr>
      </w:pPr>
      <w:r>
        <w:rPr>
          <w:rFonts w:hint="eastAsia" w:ascii="宋体" w:hAnsi="宋体" w:eastAsia="宋体" w:cs="宋体"/>
          <w:sz w:val="28"/>
          <w:szCs w:val="28"/>
          <w:highlight w:val="none"/>
        </w:rPr>
        <w:t>六、商务响应方案</w:t>
      </w:r>
    </w:p>
    <w:p w14:paraId="31E63F2C">
      <w:pPr>
        <w:pageBreakBefore w:val="0"/>
        <w:bidi w:val="0"/>
        <w:spacing w:line="360" w:lineRule="auto"/>
        <w:ind w:left="360"/>
        <w:rPr>
          <w:rFonts w:hint="eastAsia" w:ascii="宋体" w:hAnsi="宋体" w:eastAsia="宋体" w:cs="宋体"/>
          <w:sz w:val="28"/>
          <w:szCs w:val="28"/>
          <w:highlight w:val="none"/>
        </w:rPr>
      </w:pPr>
    </w:p>
    <w:p w14:paraId="691237F9">
      <w:pPr>
        <w:pageBreakBefore w:val="0"/>
        <w:bidi w:val="0"/>
        <w:spacing w:line="360" w:lineRule="auto"/>
        <w:ind w:left="3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七、供应商承诺</w:t>
      </w:r>
      <w:r>
        <w:rPr>
          <w:rFonts w:hint="eastAsia" w:ascii="宋体" w:hAnsi="宋体" w:eastAsia="宋体" w:cs="宋体"/>
          <w:sz w:val="28"/>
          <w:szCs w:val="28"/>
          <w:highlight w:val="none"/>
          <w:lang w:val="en-US" w:eastAsia="zh-CN"/>
        </w:rPr>
        <w:t>书</w:t>
      </w:r>
    </w:p>
    <w:p w14:paraId="7AFA461D">
      <w:pPr>
        <w:pageBreakBefore w:val="0"/>
        <w:bidi w:val="0"/>
        <w:spacing w:line="360" w:lineRule="auto"/>
        <w:ind w:left="360"/>
        <w:rPr>
          <w:rFonts w:hint="eastAsia" w:ascii="宋体" w:hAnsi="宋体" w:eastAsia="宋体" w:cs="宋体"/>
          <w:sz w:val="28"/>
          <w:szCs w:val="28"/>
          <w:highlight w:val="none"/>
        </w:rPr>
      </w:pPr>
    </w:p>
    <w:p w14:paraId="160A834B">
      <w:pPr>
        <w:pageBreakBefore w:val="0"/>
        <w:widowControl/>
        <w:tabs>
          <w:tab w:val="right" w:leader="dot" w:pos="9072"/>
        </w:tabs>
        <w:bidi w:val="0"/>
        <w:spacing w:line="360" w:lineRule="auto"/>
        <w:ind w:firstLine="280" w:firstLineChars="10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八、供应商认为有必要补充说明的事项</w:t>
      </w:r>
    </w:p>
    <w:p w14:paraId="0DF21DA9">
      <w:pPr>
        <w:pageBreakBefore w:val="0"/>
        <w:widowControl/>
        <w:tabs>
          <w:tab w:val="right" w:leader="dot" w:pos="9072"/>
        </w:tabs>
        <w:bidi w:val="0"/>
        <w:spacing w:line="360" w:lineRule="auto"/>
        <w:jc w:val="center"/>
        <w:rPr>
          <w:rFonts w:hint="eastAsia" w:ascii="宋体" w:hAnsi="宋体" w:eastAsia="宋体" w:cs="宋体"/>
          <w:b/>
          <w:kern w:val="0"/>
          <w:sz w:val="24"/>
          <w:szCs w:val="20"/>
          <w:highlight w:val="none"/>
        </w:rPr>
      </w:pPr>
      <w:r>
        <w:rPr>
          <w:rFonts w:hint="eastAsia" w:ascii="宋体" w:hAnsi="宋体" w:eastAsia="宋体" w:cs="宋体"/>
          <w:color w:val="000000"/>
          <w:kern w:val="0"/>
          <w:sz w:val="28"/>
          <w:szCs w:val="28"/>
          <w:highlight w:val="none"/>
        </w:rPr>
        <w:br w:type="page"/>
      </w:r>
    </w:p>
    <w:p w14:paraId="1C688EF9">
      <w:pPr>
        <w:pageBreakBefore w:val="0"/>
        <w:bidi w:val="0"/>
        <w:spacing w:line="360" w:lineRule="auto"/>
        <w:jc w:val="center"/>
        <w:rPr>
          <w:rFonts w:hint="eastAsia" w:ascii="宋体" w:hAnsi="宋体" w:eastAsia="宋体" w:cs="宋体"/>
          <w:b/>
          <w:sz w:val="32"/>
          <w:highlight w:val="none"/>
        </w:rPr>
      </w:pPr>
      <w:r>
        <w:rPr>
          <w:rFonts w:hint="eastAsia" w:ascii="宋体" w:hAnsi="宋体" w:eastAsia="宋体" w:cs="宋体"/>
          <w:b/>
          <w:sz w:val="32"/>
          <w:highlight w:val="none"/>
        </w:rPr>
        <w:t>一、谈判</w:t>
      </w:r>
      <w:r>
        <w:rPr>
          <w:rFonts w:hint="eastAsia" w:ascii="宋体" w:hAnsi="宋体" w:eastAsia="宋体" w:cs="宋体"/>
          <w:b/>
          <w:sz w:val="32"/>
          <w:szCs w:val="32"/>
          <w:highlight w:val="none"/>
        </w:rPr>
        <w:t>响应函</w:t>
      </w:r>
    </w:p>
    <w:p w14:paraId="5D392F46">
      <w:pPr>
        <w:pageBreakBefore w:val="0"/>
        <w:kinsoku w:val="0"/>
        <w:bidi w:val="0"/>
        <w:spacing w:line="360" w:lineRule="auto"/>
        <w:rPr>
          <w:rFonts w:hint="eastAsia" w:ascii="宋体" w:hAnsi="宋体" w:eastAsia="宋体" w:cs="宋体"/>
          <w:sz w:val="24"/>
          <w:highlight w:val="none"/>
        </w:rPr>
      </w:pPr>
      <w:r>
        <w:rPr>
          <w:rFonts w:hint="eastAsia" w:ascii="宋体" w:hAnsi="宋体" w:eastAsia="宋体" w:cs="宋体"/>
          <w:spacing w:val="-6"/>
          <w:sz w:val="24"/>
          <w:highlight w:val="none"/>
          <w:lang w:eastAsia="zh-CN"/>
        </w:rPr>
        <w:t xml:space="preserve">华睿诚项目管理有限公司 </w:t>
      </w:r>
      <w:r>
        <w:rPr>
          <w:rFonts w:hint="eastAsia" w:ascii="宋体" w:hAnsi="宋体" w:eastAsia="宋体" w:cs="宋体"/>
          <w:sz w:val="24"/>
          <w:highlight w:val="none"/>
        </w:rPr>
        <w:t>：</w:t>
      </w:r>
    </w:p>
    <w:p w14:paraId="75D78098">
      <w:pPr>
        <w:pageBreakBefore w:val="0"/>
        <w:bidi w:val="0"/>
        <w:spacing w:line="360" w:lineRule="auto"/>
        <w:ind w:firstLine="307" w:firstLineChars="128"/>
        <w:rPr>
          <w:rFonts w:hint="eastAsia" w:ascii="宋体" w:hAnsi="宋体" w:eastAsia="宋体" w:cs="宋体"/>
          <w:sz w:val="24"/>
          <w:highlight w:val="none"/>
        </w:rPr>
      </w:pPr>
      <w:r>
        <w:rPr>
          <w:rFonts w:hint="eastAsia" w:ascii="宋体" w:hAnsi="宋体" w:eastAsia="宋体" w:cs="宋体"/>
          <w:sz w:val="24"/>
          <w:highlight w:val="none"/>
        </w:rPr>
        <w:t>我公司收到贵单位</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谈判文件，经详细研究，决定参加本次谈判活动。为此，我方郑重声明以下几点，并愿负法律责任。</w:t>
      </w:r>
    </w:p>
    <w:p w14:paraId="676D4432">
      <w:pPr>
        <w:pageBreakBefore w:val="0"/>
        <w:bidi w:val="0"/>
        <w:spacing w:line="360" w:lineRule="auto"/>
        <w:ind w:firstLine="307" w:firstLineChars="128"/>
        <w:rPr>
          <w:rFonts w:hint="eastAsia" w:ascii="宋体" w:hAnsi="宋体" w:eastAsia="宋体" w:cs="宋体"/>
          <w:sz w:val="24"/>
          <w:highlight w:val="none"/>
        </w:rPr>
      </w:pPr>
      <w:r>
        <w:rPr>
          <w:rFonts w:hint="eastAsia" w:ascii="宋体" w:hAnsi="宋体" w:eastAsia="宋体" w:cs="宋体"/>
          <w:sz w:val="24"/>
          <w:highlight w:val="none"/>
        </w:rPr>
        <w:t>1．按照谈判文件中的一切要求，提供完全满足采购需求的合格货物和全面技术、售后货物保障。</w:t>
      </w:r>
    </w:p>
    <w:p w14:paraId="65DE3177">
      <w:pPr>
        <w:pageBreakBefore w:val="0"/>
        <w:bidi w:val="0"/>
        <w:spacing w:line="360" w:lineRule="auto"/>
        <w:ind w:firstLine="307" w:firstLineChars="128"/>
        <w:rPr>
          <w:rFonts w:hint="eastAsia" w:ascii="宋体" w:hAnsi="宋体" w:eastAsia="宋体" w:cs="宋体"/>
          <w:sz w:val="24"/>
          <w:highlight w:val="none"/>
        </w:rPr>
      </w:pPr>
      <w:r>
        <w:rPr>
          <w:rFonts w:hint="eastAsia" w:ascii="宋体" w:hAnsi="宋体" w:eastAsia="宋体" w:cs="宋体"/>
          <w:sz w:val="24"/>
          <w:highlight w:val="none"/>
        </w:rPr>
        <w:t>2．如若成交，将根据谈判文件的要求、响应文件及承诺条件，全面签约并履行合同规定的责任和义务。</w:t>
      </w:r>
    </w:p>
    <w:p w14:paraId="181C9360">
      <w:pPr>
        <w:pageBreakBefore w:val="0"/>
        <w:bidi w:val="0"/>
        <w:spacing w:line="360" w:lineRule="auto"/>
        <w:ind w:firstLine="307" w:firstLineChars="128"/>
        <w:rPr>
          <w:rFonts w:hint="eastAsia" w:ascii="宋体" w:hAnsi="宋体" w:eastAsia="宋体" w:cs="宋体"/>
          <w:sz w:val="24"/>
          <w:highlight w:val="none"/>
        </w:rPr>
      </w:pPr>
      <w:r>
        <w:rPr>
          <w:rFonts w:hint="eastAsia" w:ascii="宋体" w:hAnsi="宋体" w:eastAsia="宋体" w:cs="宋体"/>
          <w:sz w:val="24"/>
          <w:highlight w:val="none"/>
        </w:rPr>
        <w:t>3．我方提交的谈判响应文件共</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份，其中正本</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份，副本</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份</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电子版</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lang w:val="en-US" w:eastAsia="zh-CN"/>
        </w:rPr>
        <w:t>份</w:t>
      </w:r>
      <w:r>
        <w:rPr>
          <w:rFonts w:hint="eastAsia" w:ascii="宋体" w:hAnsi="宋体" w:eastAsia="宋体" w:cs="宋体"/>
          <w:sz w:val="24"/>
          <w:highlight w:val="none"/>
        </w:rPr>
        <w:t>。</w:t>
      </w:r>
    </w:p>
    <w:p w14:paraId="2EC3E501">
      <w:pPr>
        <w:pageBreakBefore w:val="0"/>
        <w:bidi w:val="0"/>
        <w:spacing w:line="360" w:lineRule="auto"/>
        <w:ind w:firstLine="307" w:firstLineChars="128"/>
        <w:rPr>
          <w:rFonts w:hint="eastAsia" w:ascii="宋体" w:hAnsi="宋体" w:eastAsia="宋体" w:cs="宋体"/>
          <w:sz w:val="24"/>
          <w:highlight w:val="none"/>
        </w:rPr>
      </w:pPr>
      <w:r>
        <w:rPr>
          <w:rFonts w:hint="eastAsia" w:ascii="宋体" w:hAnsi="宋体" w:eastAsia="宋体" w:cs="宋体"/>
          <w:sz w:val="24"/>
          <w:highlight w:val="none"/>
          <w:lang w:val="en-US" w:eastAsia="zh-CN"/>
        </w:rPr>
        <w:t>4</w:t>
      </w:r>
      <w:r>
        <w:rPr>
          <w:rFonts w:hint="eastAsia" w:ascii="宋体" w:hAnsi="宋体" w:eastAsia="宋体" w:cs="宋体"/>
          <w:sz w:val="24"/>
          <w:highlight w:val="none"/>
        </w:rPr>
        <w:t>．我方已详细阅读和核实谈判文件全部内容，完全理解并同意放弃提出含糊不清和误解问题的权力。</w:t>
      </w:r>
    </w:p>
    <w:p w14:paraId="2C352703">
      <w:pPr>
        <w:pageBreakBefore w:val="0"/>
        <w:bidi w:val="0"/>
        <w:spacing w:line="360" w:lineRule="auto"/>
        <w:ind w:firstLine="307" w:firstLineChars="128"/>
        <w:rPr>
          <w:rFonts w:hint="eastAsia" w:ascii="宋体" w:hAnsi="宋体" w:eastAsia="宋体" w:cs="宋体"/>
          <w:sz w:val="24"/>
          <w:highlight w:val="none"/>
        </w:rPr>
      </w:pPr>
      <w:r>
        <w:rPr>
          <w:rFonts w:hint="eastAsia" w:ascii="宋体" w:hAnsi="宋体" w:eastAsia="宋体" w:cs="宋体"/>
          <w:sz w:val="24"/>
          <w:highlight w:val="none"/>
          <w:lang w:val="en-US" w:eastAsia="zh-CN"/>
        </w:rPr>
        <w:t>5</w:t>
      </w:r>
      <w:r>
        <w:rPr>
          <w:rFonts w:hint="eastAsia" w:ascii="宋体" w:hAnsi="宋体" w:eastAsia="宋体" w:cs="宋体"/>
          <w:sz w:val="24"/>
          <w:highlight w:val="none"/>
        </w:rPr>
        <w:t>．同意提供贵方要求的与本次谈判有关的任何证明资料。</w:t>
      </w:r>
    </w:p>
    <w:p w14:paraId="0E267B27">
      <w:pPr>
        <w:pageBreakBefore w:val="0"/>
        <w:bidi w:val="0"/>
        <w:spacing w:line="360" w:lineRule="auto"/>
        <w:ind w:firstLine="307" w:firstLineChars="128"/>
        <w:rPr>
          <w:rFonts w:hint="eastAsia" w:ascii="宋体" w:hAnsi="宋体" w:eastAsia="宋体" w:cs="宋体"/>
          <w:sz w:val="24"/>
          <w:highlight w:val="none"/>
        </w:rPr>
      </w:pPr>
      <w:r>
        <w:rPr>
          <w:rFonts w:hint="eastAsia" w:ascii="宋体" w:hAnsi="宋体" w:eastAsia="宋体" w:cs="宋体"/>
          <w:sz w:val="24"/>
          <w:highlight w:val="none"/>
          <w:lang w:val="en-US" w:eastAsia="zh-CN"/>
        </w:rPr>
        <w:t>6</w:t>
      </w:r>
      <w:r>
        <w:rPr>
          <w:rFonts w:hint="eastAsia" w:ascii="宋体" w:hAnsi="宋体" w:eastAsia="宋体" w:cs="宋体"/>
          <w:sz w:val="24"/>
          <w:highlight w:val="none"/>
        </w:rPr>
        <w:t>．我方的谈判响应文件自谈判大会之日计算有效为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个日历日。</w:t>
      </w:r>
    </w:p>
    <w:p w14:paraId="754F5192">
      <w:pPr>
        <w:pageBreakBefore w:val="0"/>
        <w:bidi w:val="0"/>
        <w:spacing w:line="360" w:lineRule="auto"/>
        <w:ind w:firstLine="307" w:firstLineChars="128"/>
        <w:rPr>
          <w:rFonts w:hint="eastAsia" w:ascii="宋体" w:hAnsi="宋体" w:eastAsia="宋体" w:cs="宋体"/>
          <w:sz w:val="24"/>
          <w:highlight w:val="none"/>
        </w:rPr>
      </w:pPr>
      <w:r>
        <w:rPr>
          <w:rFonts w:hint="eastAsia" w:ascii="宋体" w:hAnsi="宋体" w:eastAsia="宋体" w:cs="宋体"/>
          <w:sz w:val="24"/>
          <w:highlight w:val="none"/>
          <w:lang w:val="en-US" w:eastAsia="zh-CN"/>
        </w:rPr>
        <w:t>7</w:t>
      </w:r>
      <w:r>
        <w:rPr>
          <w:rFonts w:hint="eastAsia" w:ascii="宋体" w:hAnsi="宋体" w:eastAsia="宋体" w:cs="宋体"/>
          <w:sz w:val="24"/>
          <w:highlight w:val="none"/>
        </w:rPr>
        <w:t>．所有关于本次谈判的函电，请按下列地址、方式联系：</w:t>
      </w:r>
    </w:p>
    <w:p w14:paraId="7EF93609">
      <w:pPr>
        <w:pageBreakBefore w:val="0"/>
        <w:bidi w:val="0"/>
        <w:spacing w:line="360" w:lineRule="auto"/>
        <w:ind w:firstLine="307" w:firstLineChars="128"/>
        <w:rPr>
          <w:rFonts w:hint="eastAsia" w:ascii="宋体" w:hAnsi="宋体" w:eastAsia="宋体" w:cs="宋体"/>
          <w:sz w:val="24"/>
          <w:highlight w:val="none"/>
        </w:rPr>
      </w:pPr>
      <w:r>
        <w:rPr>
          <w:rFonts w:hint="eastAsia" w:ascii="宋体" w:hAnsi="宋体" w:eastAsia="宋体" w:cs="宋体"/>
          <w:sz w:val="24"/>
          <w:highlight w:val="none"/>
        </w:rPr>
        <w:t>地    址：</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p>
    <w:p w14:paraId="399AFBF8">
      <w:pPr>
        <w:pageBreakBefore w:val="0"/>
        <w:bidi w:val="0"/>
        <w:spacing w:line="360" w:lineRule="auto"/>
        <w:ind w:firstLine="307" w:firstLineChars="128"/>
        <w:rPr>
          <w:rFonts w:hint="eastAsia" w:ascii="宋体" w:hAnsi="宋体" w:eastAsia="宋体" w:cs="宋体"/>
          <w:sz w:val="24"/>
          <w:highlight w:val="none"/>
        </w:rPr>
      </w:pPr>
      <w:r>
        <w:rPr>
          <w:rFonts w:hint="eastAsia" w:ascii="宋体" w:hAnsi="宋体" w:eastAsia="宋体" w:cs="宋体"/>
          <w:sz w:val="24"/>
          <w:highlight w:val="none"/>
        </w:rPr>
        <w:t>电    话：</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p>
    <w:p w14:paraId="09C126F3">
      <w:pPr>
        <w:pageBreakBefore w:val="0"/>
        <w:bidi w:val="0"/>
        <w:spacing w:line="360" w:lineRule="auto"/>
        <w:ind w:firstLine="307" w:firstLineChars="128"/>
        <w:rPr>
          <w:rFonts w:hint="eastAsia" w:ascii="宋体" w:hAnsi="宋体" w:eastAsia="宋体" w:cs="宋体"/>
          <w:sz w:val="24"/>
          <w:highlight w:val="none"/>
        </w:rPr>
      </w:pPr>
      <w:r>
        <w:rPr>
          <w:rFonts w:hint="eastAsia" w:ascii="宋体" w:hAnsi="宋体" w:eastAsia="宋体" w:cs="宋体"/>
          <w:sz w:val="24"/>
          <w:highlight w:val="none"/>
        </w:rPr>
        <w:t>传    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p>
    <w:p w14:paraId="51FFE130">
      <w:pPr>
        <w:pageBreakBefore w:val="0"/>
        <w:bidi w:val="0"/>
        <w:spacing w:line="360" w:lineRule="auto"/>
        <w:ind w:firstLine="307" w:firstLineChars="128"/>
        <w:rPr>
          <w:rFonts w:hint="eastAsia" w:ascii="宋体" w:hAnsi="宋体" w:eastAsia="宋体" w:cs="宋体"/>
          <w:sz w:val="24"/>
          <w:highlight w:val="none"/>
        </w:rPr>
      </w:pPr>
      <w:r>
        <w:rPr>
          <w:rFonts w:hint="eastAsia" w:ascii="宋体" w:hAnsi="宋体" w:eastAsia="宋体" w:cs="宋体"/>
          <w:sz w:val="24"/>
          <w:highlight w:val="none"/>
        </w:rPr>
        <w:t>邮    编：</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p>
    <w:p w14:paraId="606ECF05">
      <w:pPr>
        <w:pageBreakBefore w:val="0"/>
        <w:bidi w:val="0"/>
        <w:spacing w:line="360" w:lineRule="auto"/>
        <w:ind w:firstLine="307" w:firstLineChars="128"/>
        <w:rPr>
          <w:rFonts w:hint="eastAsia" w:ascii="宋体" w:hAnsi="宋体" w:eastAsia="宋体" w:cs="宋体"/>
          <w:sz w:val="24"/>
          <w:highlight w:val="none"/>
        </w:rPr>
      </w:pPr>
      <w:r>
        <w:rPr>
          <w:rFonts w:hint="eastAsia" w:ascii="宋体" w:hAnsi="宋体" w:eastAsia="宋体" w:cs="宋体"/>
          <w:sz w:val="24"/>
          <w:highlight w:val="none"/>
        </w:rPr>
        <w:t>谈判供应商：</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（公章）</w:t>
      </w:r>
    </w:p>
    <w:p w14:paraId="1608D1D4">
      <w:pPr>
        <w:pageBreakBefore w:val="0"/>
        <w:bidi w:val="0"/>
        <w:spacing w:line="360" w:lineRule="auto"/>
        <w:ind w:firstLine="307" w:firstLineChars="128"/>
        <w:rPr>
          <w:rFonts w:hint="eastAsia" w:ascii="宋体" w:hAnsi="宋体" w:eastAsia="宋体" w:cs="宋体"/>
          <w:sz w:val="24"/>
          <w:highlight w:val="none"/>
          <w:u w:val="single"/>
        </w:rPr>
      </w:pPr>
      <w:r>
        <w:rPr>
          <w:rFonts w:hint="eastAsia" w:ascii="宋体" w:hAnsi="宋体" w:eastAsia="宋体" w:cs="宋体"/>
          <w:sz w:val="24"/>
          <w:highlight w:val="none"/>
        </w:rPr>
        <w:t xml:space="preserve">法定代表人/被授权人（签字或盖章）：  </w:t>
      </w:r>
      <w:r>
        <w:rPr>
          <w:rFonts w:hint="eastAsia" w:ascii="宋体" w:hAnsi="宋体" w:eastAsia="宋体" w:cs="宋体"/>
          <w:sz w:val="24"/>
          <w:highlight w:val="none"/>
          <w:u w:val="single"/>
        </w:rPr>
        <w:t xml:space="preserve">            </w:t>
      </w:r>
    </w:p>
    <w:p w14:paraId="6B6671C7">
      <w:pPr>
        <w:pageBreakBefore w:val="0"/>
        <w:bidi w:val="0"/>
        <w:spacing w:line="360" w:lineRule="auto"/>
        <w:ind w:firstLine="307" w:firstLineChars="128"/>
        <w:rPr>
          <w:rFonts w:hint="eastAsia" w:ascii="宋体" w:hAnsi="宋体" w:eastAsia="宋体" w:cs="宋体"/>
          <w:sz w:val="24"/>
          <w:highlight w:val="none"/>
        </w:rPr>
      </w:pPr>
      <w:r>
        <w:rPr>
          <w:rFonts w:hint="eastAsia" w:ascii="宋体" w:hAnsi="宋体" w:eastAsia="宋体" w:cs="宋体"/>
          <w:sz w:val="24"/>
          <w:highlight w:val="none"/>
        </w:rPr>
        <w:t xml:space="preserve">                                                年   月   日</w:t>
      </w:r>
    </w:p>
    <w:p w14:paraId="5427CF3C">
      <w:pPr>
        <w:pageBreakBefore w:val="0"/>
        <w:overflowPunct w:val="0"/>
        <w:bidi w:val="0"/>
        <w:spacing w:line="360" w:lineRule="auto"/>
        <w:ind w:firstLine="480" w:firstLineChars="200"/>
        <w:rPr>
          <w:rFonts w:hint="eastAsia" w:ascii="宋体" w:hAnsi="宋体" w:eastAsia="宋体" w:cs="宋体"/>
          <w:color w:val="000000"/>
          <w:sz w:val="24"/>
          <w:highlight w:val="none"/>
        </w:rPr>
      </w:pPr>
    </w:p>
    <w:p w14:paraId="16461906">
      <w:pPr>
        <w:pStyle w:val="31"/>
        <w:pageBreakBefore w:val="0"/>
        <w:tabs>
          <w:tab w:val="right" w:leader="dot" w:pos="9072"/>
        </w:tabs>
        <w:bidi w:val="0"/>
        <w:spacing w:line="360" w:lineRule="auto"/>
        <w:jc w:val="center"/>
        <w:rPr>
          <w:rFonts w:hint="eastAsia" w:ascii="宋体" w:hAnsi="宋体" w:eastAsia="宋体" w:cs="宋体"/>
          <w:b/>
          <w:kern w:val="2"/>
          <w:sz w:val="28"/>
          <w:szCs w:val="28"/>
          <w:highlight w:val="none"/>
        </w:rPr>
      </w:pPr>
      <w:r>
        <w:rPr>
          <w:rFonts w:hint="eastAsia" w:ascii="宋体" w:hAnsi="宋体" w:eastAsia="宋体" w:cs="宋体"/>
          <w:sz w:val="32"/>
          <w:szCs w:val="32"/>
          <w:highlight w:val="none"/>
        </w:rPr>
        <w:br w:type="page"/>
      </w:r>
      <w:bookmarkStart w:id="52" w:name="OLE_LINK59"/>
      <w:r>
        <w:rPr>
          <w:rFonts w:hint="eastAsia" w:ascii="宋体" w:hAnsi="宋体" w:eastAsia="宋体" w:cs="宋体"/>
          <w:b/>
          <w:kern w:val="2"/>
          <w:sz w:val="32"/>
          <w:szCs w:val="24"/>
          <w:highlight w:val="none"/>
        </w:rPr>
        <w:t>二、法定代表人证明书与授权书</w:t>
      </w:r>
    </w:p>
    <w:p w14:paraId="1A3AC80F">
      <w:pPr>
        <w:pStyle w:val="19"/>
        <w:pageBreakBefore w:val="0"/>
        <w:bidi w:val="0"/>
        <w:spacing w:line="360" w:lineRule="auto"/>
        <w:ind w:firstLine="0"/>
        <w:jc w:val="center"/>
        <w:rPr>
          <w:rFonts w:hint="eastAsia" w:ascii="宋体" w:hAnsi="宋体" w:eastAsia="宋体" w:cs="宋体"/>
          <w:bCs/>
          <w:szCs w:val="21"/>
          <w:highlight w:val="none"/>
        </w:rPr>
      </w:pPr>
    </w:p>
    <w:p w14:paraId="5C19A8DC">
      <w:pPr>
        <w:pStyle w:val="19"/>
        <w:pageBreakBefore w:val="0"/>
        <w:bidi w:val="0"/>
        <w:spacing w:line="360" w:lineRule="auto"/>
        <w:ind w:firstLine="0"/>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法定代表人证明书</w:t>
      </w:r>
    </w:p>
    <w:p w14:paraId="5F6FEFB7">
      <w:pPr>
        <w:pageBreakBefore w:val="0"/>
        <w:bidi w:val="0"/>
        <w:spacing w:line="360" w:lineRule="auto"/>
        <w:ind w:firstLine="307" w:firstLineChars="128"/>
        <w:rPr>
          <w:rFonts w:hint="eastAsia" w:ascii="宋体" w:hAnsi="宋体" w:eastAsia="宋体" w:cs="宋体"/>
          <w:color w:val="000000"/>
          <w:sz w:val="24"/>
          <w:highlight w:val="none"/>
          <w:u w:val="thick"/>
        </w:rPr>
      </w:pPr>
      <w:r>
        <w:rPr>
          <w:rFonts w:hint="eastAsia" w:ascii="宋体" w:hAnsi="宋体" w:eastAsia="宋体" w:cs="宋体"/>
          <w:sz w:val="24"/>
          <w:highlight w:val="none"/>
        </w:rPr>
        <w:t>单位名称：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FFFFFF"/>
          <w:sz w:val="24"/>
          <w:highlight w:val="none"/>
          <w:u w:val="single"/>
        </w:rPr>
        <w:t>.</w:t>
      </w:r>
    </w:p>
    <w:p w14:paraId="644C199E">
      <w:pPr>
        <w:pageBreakBefore w:val="0"/>
        <w:bidi w:val="0"/>
        <w:spacing w:line="360" w:lineRule="auto"/>
        <w:ind w:firstLine="307" w:firstLineChars="128"/>
        <w:rPr>
          <w:rFonts w:hint="eastAsia" w:ascii="宋体" w:hAnsi="宋体" w:eastAsia="宋体" w:cs="宋体"/>
          <w:color w:val="000000"/>
          <w:sz w:val="24"/>
          <w:highlight w:val="none"/>
        </w:rPr>
      </w:pPr>
      <w:r>
        <w:rPr>
          <w:rFonts w:hint="eastAsia" w:ascii="宋体" w:hAnsi="宋体" w:eastAsia="宋体" w:cs="宋体"/>
          <w:sz w:val="24"/>
          <w:highlight w:val="none"/>
        </w:rPr>
        <w:t>单位性质：</w:t>
      </w:r>
      <w:r>
        <w:rPr>
          <w:rFonts w:hint="eastAsia" w:ascii="宋体" w:hAnsi="宋体" w:eastAsia="宋体" w:cs="宋体"/>
          <w:color w:val="000000"/>
          <w:sz w:val="24"/>
          <w:highlight w:val="none"/>
          <w:u w:val="single"/>
        </w:rPr>
        <w:t xml:space="preserve">                                                   </w:t>
      </w:r>
      <w:r>
        <w:rPr>
          <w:rFonts w:hint="eastAsia" w:ascii="宋体" w:hAnsi="宋体" w:eastAsia="宋体" w:cs="宋体"/>
          <w:color w:val="FFFFFF"/>
          <w:sz w:val="24"/>
          <w:highlight w:val="none"/>
          <w:u w:val="thick"/>
        </w:rPr>
        <w:t>.</w:t>
      </w:r>
    </w:p>
    <w:p w14:paraId="567FAFF1">
      <w:pPr>
        <w:pageBreakBefore w:val="0"/>
        <w:bidi w:val="0"/>
        <w:spacing w:line="360" w:lineRule="auto"/>
        <w:ind w:firstLine="307" w:firstLineChars="128"/>
        <w:rPr>
          <w:rFonts w:hint="eastAsia" w:ascii="宋体" w:hAnsi="宋体" w:eastAsia="宋体" w:cs="宋体"/>
          <w:color w:val="000000"/>
          <w:sz w:val="24"/>
          <w:highlight w:val="none"/>
          <w:u w:val="thick"/>
        </w:rPr>
      </w:pPr>
      <w:r>
        <w:rPr>
          <w:rFonts w:hint="eastAsia" w:ascii="宋体" w:hAnsi="宋体" w:eastAsia="宋体" w:cs="宋体"/>
          <w:sz w:val="24"/>
          <w:highlight w:val="none"/>
        </w:rPr>
        <w:t>地    址：</w:t>
      </w:r>
      <w:r>
        <w:rPr>
          <w:rFonts w:hint="eastAsia" w:ascii="宋体" w:hAnsi="宋体" w:eastAsia="宋体" w:cs="宋体"/>
          <w:color w:val="000000"/>
          <w:sz w:val="24"/>
          <w:highlight w:val="none"/>
          <w:u w:val="single"/>
        </w:rPr>
        <w:t xml:space="preserve">                                                   </w:t>
      </w:r>
      <w:r>
        <w:rPr>
          <w:rFonts w:hint="eastAsia" w:ascii="宋体" w:hAnsi="宋体" w:eastAsia="宋体" w:cs="宋体"/>
          <w:color w:val="FFFFFF"/>
          <w:sz w:val="24"/>
          <w:highlight w:val="none"/>
          <w:u w:val="thick"/>
        </w:rPr>
        <w:t>.</w:t>
      </w:r>
    </w:p>
    <w:p w14:paraId="7B8D9FD1">
      <w:pPr>
        <w:pageBreakBefore w:val="0"/>
        <w:bidi w:val="0"/>
        <w:spacing w:line="360" w:lineRule="auto"/>
        <w:ind w:firstLine="307" w:firstLineChars="128"/>
        <w:rPr>
          <w:rFonts w:hint="eastAsia" w:ascii="宋体" w:hAnsi="宋体" w:eastAsia="宋体" w:cs="宋体"/>
          <w:color w:val="000000"/>
          <w:sz w:val="24"/>
          <w:highlight w:val="none"/>
        </w:rPr>
      </w:pPr>
      <w:r>
        <w:rPr>
          <w:rFonts w:hint="eastAsia" w:ascii="宋体" w:hAnsi="宋体" w:eastAsia="宋体" w:cs="宋体"/>
          <w:sz w:val="24"/>
          <w:highlight w:val="none"/>
        </w:rPr>
        <w:t>成立时间：</w:t>
      </w:r>
      <w:r>
        <w:rPr>
          <w:rFonts w:hint="eastAsia" w:ascii="宋体" w:hAnsi="宋体" w:eastAsia="宋体" w:cs="宋体"/>
          <w:color w:val="000000"/>
          <w:sz w:val="24"/>
          <w:highlight w:val="none"/>
          <w:u w:val="single"/>
        </w:rPr>
        <w:t xml:space="preserve">               </w:t>
      </w:r>
      <w:r>
        <w:rPr>
          <w:rFonts w:hint="eastAsia" w:ascii="宋体" w:hAnsi="宋体" w:eastAsia="宋体" w:cs="宋体"/>
          <w:sz w:val="24"/>
          <w:highlight w:val="none"/>
        </w:rPr>
        <w:t>年</w:t>
      </w:r>
      <w:r>
        <w:rPr>
          <w:rFonts w:hint="eastAsia" w:ascii="宋体" w:hAnsi="宋体" w:eastAsia="宋体" w:cs="宋体"/>
          <w:color w:val="000000"/>
          <w:sz w:val="24"/>
          <w:highlight w:val="none"/>
          <w:u w:val="single"/>
        </w:rPr>
        <w:t xml:space="preserve">              </w:t>
      </w:r>
      <w:r>
        <w:rPr>
          <w:rFonts w:hint="eastAsia" w:ascii="宋体" w:hAnsi="宋体" w:eastAsia="宋体" w:cs="宋体"/>
          <w:sz w:val="24"/>
          <w:highlight w:val="none"/>
        </w:rPr>
        <w:t>月</w:t>
      </w:r>
      <w:r>
        <w:rPr>
          <w:rFonts w:hint="eastAsia" w:ascii="宋体" w:hAnsi="宋体" w:eastAsia="宋体" w:cs="宋体"/>
          <w:color w:val="000000"/>
          <w:sz w:val="24"/>
          <w:highlight w:val="none"/>
          <w:u w:val="single"/>
        </w:rPr>
        <w:t xml:space="preserve">                 </w:t>
      </w:r>
      <w:r>
        <w:rPr>
          <w:rFonts w:hint="eastAsia" w:ascii="宋体" w:hAnsi="宋体" w:eastAsia="宋体" w:cs="宋体"/>
          <w:sz w:val="24"/>
          <w:highlight w:val="none"/>
        </w:rPr>
        <w:t>日</w:t>
      </w:r>
    </w:p>
    <w:p w14:paraId="03390B04">
      <w:pPr>
        <w:pageBreakBefore w:val="0"/>
        <w:bidi w:val="0"/>
        <w:spacing w:line="360" w:lineRule="auto"/>
        <w:ind w:firstLine="307" w:firstLineChars="128"/>
        <w:rPr>
          <w:rFonts w:hint="eastAsia" w:ascii="宋体" w:hAnsi="宋体" w:eastAsia="宋体" w:cs="宋体"/>
          <w:color w:val="000000"/>
          <w:sz w:val="24"/>
          <w:highlight w:val="none"/>
        </w:rPr>
      </w:pPr>
      <w:r>
        <w:rPr>
          <w:rFonts w:hint="eastAsia" w:ascii="宋体" w:hAnsi="宋体" w:eastAsia="宋体" w:cs="宋体"/>
          <w:sz w:val="24"/>
          <w:highlight w:val="none"/>
        </w:rPr>
        <w:t>经营期限：</w:t>
      </w:r>
      <w:r>
        <w:rPr>
          <w:rFonts w:hint="eastAsia" w:ascii="宋体" w:hAnsi="宋体" w:eastAsia="宋体" w:cs="宋体"/>
          <w:color w:val="000000"/>
          <w:sz w:val="24"/>
          <w:highlight w:val="none"/>
          <w:u w:val="single"/>
        </w:rPr>
        <w:t xml:space="preserve">                                                   </w:t>
      </w:r>
      <w:r>
        <w:rPr>
          <w:rFonts w:hint="eastAsia" w:ascii="宋体" w:hAnsi="宋体" w:eastAsia="宋体" w:cs="宋体"/>
          <w:color w:val="FFFFFF"/>
          <w:sz w:val="24"/>
          <w:highlight w:val="none"/>
          <w:u w:val="single"/>
        </w:rPr>
        <w:t>.</w:t>
      </w:r>
    </w:p>
    <w:p w14:paraId="3E68561F">
      <w:pPr>
        <w:pageBreakBefore w:val="0"/>
        <w:bidi w:val="0"/>
        <w:spacing w:line="360" w:lineRule="auto"/>
        <w:ind w:firstLine="307" w:firstLineChars="128"/>
        <w:rPr>
          <w:rFonts w:hint="eastAsia" w:ascii="宋体" w:hAnsi="宋体" w:eastAsia="宋体" w:cs="宋体"/>
          <w:color w:val="000000"/>
          <w:sz w:val="24"/>
          <w:highlight w:val="none"/>
          <w:u w:val="thick"/>
        </w:rPr>
      </w:pPr>
      <w:r>
        <w:rPr>
          <w:rFonts w:hint="eastAsia" w:ascii="宋体" w:hAnsi="宋体" w:eastAsia="宋体" w:cs="宋体"/>
          <w:sz w:val="24"/>
          <w:highlight w:val="none"/>
        </w:rPr>
        <w:t>姓    名</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u w:val="single"/>
        </w:rPr>
        <w:t xml:space="preserve">        </w:t>
      </w:r>
      <w:r>
        <w:rPr>
          <w:rFonts w:hint="eastAsia" w:ascii="宋体" w:hAnsi="宋体" w:eastAsia="宋体" w:cs="宋体"/>
          <w:sz w:val="24"/>
          <w:highlight w:val="none"/>
        </w:rPr>
        <w:t>性别：</w:t>
      </w:r>
      <w:r>
        <w:rPr>
          <w:rFonts w:hint="eastAsia" w:ascii="宋体" w:hAnsi="宋体" w:eastAsia="宋体" w:cs="宋体"/>
          <w:color w:val="000000"/>
          <w:sz w:val="24"/>
          <w:highlight w:val="none"/>
          <w:u w:val="single"/>
        </w:rPr>
        <w:t xml:space="preserve">        </w:t>
      </w:r>
      <w:r>
        <w:rPr>
          <w:rFonts w:hint="eastAsia" w:ascii="宋体" w:hAnsi="宋体" w:eastAsia="宋体" w:cs="宋体"/>
          <w:sz w:val="24"/>
          <w:highlight w:val="none"/>
        </w:rPr>
        <w:t>年龄：</w:t>
      </w:r>
      <w:r>
        <w:rPr>
          <w:rFonts w:hint="eastAsia" w:ascii="宋体" w:hAnsi="宋体" w:eastAsia="宋体" w:cs="宋体"/>
          <w:color w:val="000000"/>
          <w:sz w:val="24"/>
          <w:highlight w:val="none"/>
          <w:u w:val="single"/>
        </w:rPr>
        <w:t xml:space="preserve">        </w:t>
      </w:r>
      <w:r>
        <w:rPr>
          <w:rFonts w:hint="eastAsia" w:ascii="宋体" w:hAnsi="宋体" w:eastAsia="宋体" w:cs="宋体"/>
          <w:sz w:val="24"/>
          <w:highlight w:val="none"/>
        </w:rPr>
        <w:t>职务：</w:t>
      </w:r>
      <w:r>
        <w:rPr>
          <w:rFonts w:hint="eastAsia" w:ascii="宋体" w:hAnsi="宋体" w:eastAsia="宋体" w:cs="宋体"/>
          <w:color w:val="000000"/>
          <w:sz w:val="24"/>
          <w:highlight w:val="none"/>
          <w:u w:val="single"/>
        </w:rPr>
        <w:t xml:space="preserve">        </w:t>
      </w:r>
      <w:r>
        <w:rPr>
          <w:rFonts w:hint="eastAsia" w:ascii="宋体" w:hAnsi="宋体" w:eastAsia="宋体" w:cs="宋体"/>
          <w:color w:val="FFFFFF"/>
          <w:sz w:val="24"/>
          <w:highlight w:val="none"/>
          <w:u w:val="single"/>
        </w:rPr>
        <w:t>.</w:t>
      </w:r>
    </w:p>
    <w:p w14:paraId="43BCA98C">
      <w:pPr>
        <w:pageBreakBefore w:val="0"/>
        <w:bidi w:val="0"/>
        <w:spacing w:line="360" w:lineRule="auto"/>
        <w:ind w:firstLine="240" w:firstLineChars="100"/>
        <w:rPr>
          <w:rFonts w:hint="eastAsia" w:ascii="宋体" w:hAnsi="宋体" w:eastAsia="宋体" w:cs="宋体"/>
          <w:color w:val="000000"/>
          <w:sz w:val="24"/>
          <w:highlight w:val="none"/>
          <w:u w:val="thick"/>
        </w:rPr>
      </w:pPr>
      <w:r>
        <w:rPr>
          <w:rFonts w:hint="eastAsia" w:ascii="宋体" w:hAnsi="宋体" w:eastAsia="宋体" w:cs="宋体"/>
          <w:sz w:val="24"/>
          <w:highlight w:val="none"/>
        </w:rPr>
        <w:t>系</w:t>
      </w:r>
      <w:r>
        <w:rPr>
          <w:rFonts w:hint="eastAsia" w:ascii="宋体" w:hAnsi="宋体" w:eastAsia="宋体" w:cs="宋体"/>
          <w:color w:val="000000"/>
          <w:sz w:val="24"/>
          <w:highlight w:val="none"/>
          <w:u w:val="single"/>
        </w:rPr>
        <w:t xml:space="preserve">                            </w:t>
      </w:r>
      <w:r>
        <w:rPr>
          <w:rFonts w:hint="eastAsia" w:ascii="宋体" w:hAnsi="宋体" w:eastAsia="宋体" w:cs="宋体"/>
          <w:sz w:val="24"/>
          <w:highlight w:val="none"/>
        </w:rPr>
        <w:t>的法定代表人。</w:t>
      </w:r>
    </w:p>
    <w:p w14:paraId="37C138E0">
      <w:pPr>
        <w:pageBreakBefore w:val="0"/>
        <w:bidi w:val="0"/>
        <w:spacing w:line="360" w:lineRule="auto"/>
        <w:ind w:firstLine="307" w:firstLineChars="128"/>
        <w:rPr>
          <w:rFonts w:hint="eastAsia" w:ascii="宋体" w:hAnsi="宋体" w:eastAsia="宋体" w:cs="宋体"/>
          <w:color w:val="000000"/>
          <w:sz w:val="24"/>
          <w:highlight w:val="none"/>
        </w:rPr>
      </w:pPr>
    </w:p>
    <w:p w14:paraId="0AAFBB20">
      <w:pPr>
        <w:pageBreakBefore w:val="0"/>
        <w:bidi w:val="0"/>
        <w:spacing w:line="360" w:lineRule="auto"/>
        <w:ind w:firstLine="307" w:firstLineChars="128"/>
        <w:rPr>
          <w:rFonts w:hint="eastAsia" w:ascii="宋体" w:hAnsi="宋体" w:eastAsia="宋体" w:cs="宋体"/>
          <w:sz w:val="24"/>
          <w:highlight w:val="none"/>
        </w:rPr>
      </w:pPr>
      <w:r>
        <w:rPr>
          <w:rFonts w:hint="eastAsia" w:ascii="宋体" w:hAnsi="宋体" w:eastAsia="宋体" w:cs="宋体"/>
          <w:sz w:val="24"/>
          <w:highlight w:val="none"/>
        </w:rPr>
        <w:t>特此证明。</w:t>
      </w:r>
    </w:p>
    <w:p w14:paraId="12AA749F">
      <w:pPr>
        <w:pageBreakBefore w:val="0"/>
        <w:bidi w:val="0"/>
        <w:spacing w:line="360" w:lineRule="auto"/>
        <w:rPr>
          <w:rFonts w:hint="eastAsia" w:ascii="宋体" w:hAnsi="宋体" w:eastAsia="宋体" w:cs="宋体"/>
          <w:color w:val="000000"/>
          <w:sz w:val="24"/>
          <w:highlight w:val="none"/>
        </w:rPr>
      </w:pPr>
    </w:p>
    <w:p w14:paraId="3048C1DE">
      <w:pPr>
        <w:pStyle w:val="19"/>
        <w:pageBreakBefore w:val="0"/>
        <w:bidi w:val="0"/>
        <w:spacing w:line="360" w:lineRule="auto"/>
        <w:rPr>
          <w:rFonts w:hint="eastAsia" w:ascii="宋体" w:hAnsi="宋体" w:eastAsia="宋体" w:cs="宋体"/>
          <w:highlight w:val="none"/>
        </w:rPr>
      </w:pPr>
    </w:p>
    <w:p w14:paraId="72422DC6">
      <w:pPr>
        <w:pageBreakBefore w:val="0"/>
        <w:bidi w:val="0"/>
        <w:spacing w:line="360" w:lineRule="auto"/>
        <w:rPr>
          <w:rFonts w:hint="eastAsia" w:ascii="宋体" w:hAnsi="宋体" w:eastAsia="宋体" w:cs="宋体"/>
          <w:color w:val="000000"/>
          <w:sz w:val="24"/>
          <w:highlight w:val="none"/>
        </w:rPr>
      </w:pPr>
    </w:p>
    <w:p w14:paraId="6FE2F3BF">
      <w:pPr>
        <w:pageBreakBefore w:val="0"/>
        <w:autoSpaceDE w:val="0"/>
        <w:autoSpaceDN w:val="0"/>
        <w:bidi w:val="0"/>
        <w:adjustRightInd w:val="0"/>
        <w:spacing w:line="360" w:lineRule="auto"/>
        <w:ind w:left="2520" w:leftChars="1200"/>
        <w:rPr>
          <w:rFonts w:hint="eastAsia" w:ascii="宋体" w:hAnsi="宋体" w:eastAsia="宋体" w:cs="宋体"/>
          <w:sz w:val="24"/>
          <w:highlight w:val="none"/>
          <w:u w:val="single"/>
          <w:lang w:val="zh-CN"/>
        </w:rPr>
      </w:pPr>
      <w:r>
        <w:rPr>
          <w:rFonts w:hint="eastAsia" w:ascii="宋体" w:hAnsi="宋体" w:eastAsia="宋体" w:cs="宋体"/>
          <w:sz w:val="24"/>
          <w:highlight w:val="none"/>
          <w:lang w:val="zh-CN"/>
        </w:rPr>
        <w:t>供</w:t>
      </w:r>
      <w:r>
        <w:rPr>
          <w:rFonts w:hint="eastAsia" w:ascii="宋体" w:hAnsi="宋体" w:eastAsia="宋体" w:cs="宋体"/>
          <w:sz w:val="24"/>
          <w:highlight w:val="none"/>
        </w:rPr>
        <w:t xml:space="preserve">   </w:t>
      </w:r>
      <w:r>
        <w:rPr>
          <w:rFonts w:hint="eastAsia" w:ascii="宋体" w:hAnsi="宋体" w:eastAsia="宋体" w:cs="宋体"/>
          <w:sz w:val="24"/>
          <w:highlight w:val="none"/>
          <w:lang w:val="zh-CN"/>
        </w:rPr>
        <w:t>应</w:t>
      </w:r>
      <w:r>
        <w:rPr>
          <w:rFonts w:hint="eastAsia" w:ascii="宋体" w:hAnsi="宋体" w:eastAsia="宋体" w:cs="宋体"/>
          <w:sz w:val="24"/>
          <w:highlight w:val="none"/>
        </w:rPr>
        <w:t xml:space="preserve">   </w:t>
      </w:r>
      <w:r>
        <w:rPr>
          <w:rFonts w:hint="eastAsia" w:ascii="宋体" w:hAnsi="宋体" w:eastAsia="宋体" w:cs="宋体"/>
          <w:sz w:val="24"/>
          <w:highlight w:val="none"/>
          <w:lang w:val="zh-CN"/>
        </w:rPr>
        <w:t>商：</w:t>
      </w:r>
      <w:r>
        <w:rPr>
          <w:rFonts w:hint="eastAsia" w:ascii="宋体" w:hAnsi="宋体" w:eastAsia="宋体" w:cs="宋体"/>
          <w:color w:val="000000"/>
          <w:sz w:val="24"/>
          <w:highlight w:val="none"/>
          <w:u w:val="single"/>
        </w:rPr>
        <w:t xml:space="preserve">                             </w:t>
      </w:r>
      <w:r>
        <w:rPr>
          <w:rFonts w:hint="eastAsia" w:ascii="宋体" w:hAnsi="宋体" w:eastAsia="宋体" w:cs="宋体"/>
          <w:sz w:val="24"/>
          <w:highlight w:val="none"/>
          <w:lang w:val="zh-CN"/>
        </w:rPr>
        <w:t>（盖单位公章）</w:t>
      </w:r>
    </w:p>
    <w:p w14:paraId="70ADD919">
      <w:pPr>
        <w:pageBreakBefore w:val="0"/>
        <w:autoSpaceDE w:val="0"/>
        <w:autoSpaceDN w:val="0"/>
        <w:bidi w:val="0"/>
        <w:adjustRightInd w:val="0"/>
        <w:spacing w:line="360" w:lineRule="auto"/>
        <w:ind w:left="2520" w:leftChars="1200"/>
        <w:rPr>
          <w:rFonts w:hint="eastAsia" w:ascii="宋体" w:hAnsi="宋体" w:eastAsia="宋体" w:cs="宋体"/>
          <w:sz w:val="24"/>
          <w:highlight w:val="none"/>
          <w:lang w:val="zh-CN"/>
        </w:rPr>
      </w:pPr>
      <w:r>
        <w:rPr>
          <w:rFonts w:hint="eastAsia" w:ascii="宋体" w:hAnsi="宋体" w:eastAsia="宋体" w:cs="宋体"/>
          <w:sz w:val="24"/>
          <w:highlight w:val="none"/>
          <w:lang w:val="zh-CN"/>
        </w:rPr>
        <w:t>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sz w:val="24"/>
          <w:highlight w:val="none"/>
          <w:lang w:val="zh-CN"/>
        </w:rPr>
        <w:t>（签字</w:t>
      </w:r>
      <w:r>
        <w:rPr>
          <w:rFonts w:hint="eastAsia" w:ascii="宋体" w:hAnsi="宋体" w:eastAsia="宋体" w:cs="宋体"/>
          <w:sz w:val="24"/>
          <w:highlight w:val="none"/>
        </w:rPr>
        <w:t>或</w:t>
      </w:r>
      <w:r>
        <w:rPr>
          <w:rFonts w:hint="eastAsia" w:ascii="宋体" w:hAnsi="宋体" w:eastAsia="宋体" w:cs="宋体"/>
          <w:sz w:val="24"/>
          <w:highlight w:val="none"/>
          <w:lang w:val="zh-CN"/>
        </w:rPr>
        <w:t>盖章）</w:t>
      </w:r>
    </w:p>
    <w:p w14:paraId="586E97E1">
      <w:pPr>
        <w:pageBreakBefore w:val="0"/>
        <w:bidi w:val="0"/>
        <w:spacing w:line="360" w:lineRule="auto"/>
        <w:ind w:left="2520" w:leftChars="1200"/>
        <w:rPr>
          <w:rFonts w:hint="eastAsia" w:ascii="宋体" w:hAnsi="宋体" w:eastAsia="宋体" w:cs="宋体"/>
          <w:sz w:val="28"/>
          <w:szCs w:val="28"/>
          <w:highlight w:val="none"/>
        </w:rPr>
      </w:pPr>
      <w:r>
        <w:rPr>
          <w:rFonts w:hint="eastAsia" w:ascii="宋体" w:hAnsi="宋体" w:eastAsia="宋体" w:cs="宋体"/>
          <w:sz w:val="24"/>
          <w:highlight w:val="none"/>
          <w:lang w:val="zh-CN"/>
        </w:rPr>
        <w:t xml:space="preserve">日      </w:t>
      </w:r>
      <w:r>
        <w:rPr>
          <w:rFonts w:hint="eastAsia" w:ascii="宋体" w:hAnsi="宋体" w:eastAsia="宋体" w:cs="宋体"/>
          <w:sz w:val="24"/>
          <w:highlight w:val="none"/>
        </w:rPr>
        <w:t xml:space="preserve"> </w:t>
      </w:r>
      <w:r>
        <w:rPr>
          <w:rFonts w:hint="eastAsia" w:ascii="宋体" w:hAnsi="宋体" w:eastAsia="宋体" w:cs="宋体"/>
          <w:sz w:val="24"/>
          <w:highlight w:val="none"/>
          <w:lang w:val="zh-CN"/>
        </w:rPr>
        <w:t xml:space="preserve"> 期：</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年</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月</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日</w:t>
      </w:r>
    </w:p>
    <w:p w14:paraId="7FC94964">
      <w:pPr>
        <w:pStyle w:val="32"/>
        <w:pageBreakBefore w:val="0"/>
        <w:bidi w:val="0"/>
        <w:spacing w:line="360" w:lineRule="auto"/>
        <w:jc w:val="right"/>
        <w:rPr>
          <w:rFonts w:hint="eastAsia" w:ascii="宋体" w:hAnsi="宋体" w:eastAsia="宋体" w:cs="宋体"/>
          <w:bCs/>
          <w:color w:val="000000"/>
          <w:sz w:val="32"/>
          <w:szCs w:val="32"/>
          <w:highlight w:val="none"/>
        </w:rPr>
        <w:sectPr>
          <w:pgSz w:w="11905" w:h="16837"/>
          <w:pgMar w:top="1712" w:right="1418" w:bottom="1712" w:left="1418" w:header="851" w:footer="1247" w:gutter="0"/>
          <w:cols w:space="720" w:num="1"/>
          <w:docGrid w:linePitch="312" w:charSpace="0"/>
        </w:sectPr>
      </w:pPr>
    </w:p>
    <w:p w14:paraId="24CE99D1">
      <w:pPr>
        <w:pageBreakBefore w:val="0"/>
        <w:tabs>
          <w:tab w:val="left" w:pos="210"/>
        </w:tabs>
        <w:bidi w:val="0"/>
        <w:spacing w:line="360" w:lineRule="auto"/>
        <w:jc w:val="center"/>
        <w:rPr>
          <w:rFonts w:hint="eastAsia" w:ascii="宋体" w:hAnsi="宋体" w:eastAsia="宋体" w:cs="宋体"/>
          <w:b/>
          <w:color w:val="000000"/>
          <w:kern w:val="0"/>
          <w:sz w:val="32"/>
          <w:szCs w:val="32"/>
          <w:highlight w:val="none"/>
        </w:rPr>
      </w:pPr>
      <w:bookmarkStart w:id="53" w:name="_Toc17330_WPSOffice_Level1"/>
      <w:r>
        <w:rPr>
          <w:rFonts w:hint="eastAsia" w:ascii="宋体" w:hAnsi="宋体" w:eastAsia="宋体" w:cs="宋体"/>
          <w:b/>
          <w:color w:val="000000"/>
          <w:kern w:val="0"/>
          <w:sz w:val="32"/>
          <w:szCs w:val="32"/>
          <w:highlight w:val="none"/>
        </w:rPr>
        <w:t>法定代表人授权书</w:t>
      </w:r>
    </w:p>
    <w:p w14:paraId="24EF9CA7">
      <w:pPr>
        <w:pStyle w:val="11"/>
        <w:pageBreakBefore w:val="0"/>
        <w:bidi w:val="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eastAsia="zh-CN"/>
        </w:rPr>
        <w:t xml:space="preserve">华睿诚项目管理有限公司 </w:t>
      </w:r>
      <w:r>
        <w:rPr>
          <w:rFonts w:hint="eastAsia" w:ascii="宋体" w:hAnsi="宋体" w:eastAsia="宋体" w:cs="宋体"/>
          <w:color w:val="000000"/>
          <w:sz w:val="24"/>
          <w:szCs w:val="24"/>
          <w:highlight w:val="none"/>
        </w:rPr>
        <w:t>：</w:t>
      </w:r>
    </w:p>
    <w:p w14:paraId="17596F36">
      <w:pPr>
        <w:pStyle w:val="11"/>
        <w:pageBreakBefore w:val="0"/>
        <w:bidi w:val="0"/>
        <w:spacing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本授权书声明：注册于（</w:t>
      </w:r>
      <w:r>
        <w:rPr>
          <w:rFonts w:hint="eastAsia" w:ascii="宋体" w:hAnsi="宋体" w:eastAsia="宋体" w:cs="宋体"/>
          <w:color w:val="000000"/>
          <w:sz w:val="24"/>
          <w:szCs w:val="24"/>
          <w:highlight w:val="none"/>
          <w:u w:val="single"/>
        </w:rPr>
        <w:t xml:space="preserve"> 工商行政管理局名称）之（委托单位全称） </w:t>
      </w:r>
      <w:r>
        <w:rPr>
          <w:rFonts w:hint="eastAsia" w:ascii="宋体" w:hAnsi="宋体" w:eastAsia="宋体" w:cs="宋体"/>
          <w:color w:val="000000"/>
          <w:sz w:val="24"/>
          <w:szCs w:val="24"/>
          <w:highlight w:val="none"/>
        </w:rPr>
        <w:t>的法定代表人</w:t>
      </w:r>
      <w:r>
        <w:rPr>
          <w:rFonts w:hint="eastAsia" w:ascii="宋体" w:hAnsi="宋体" w:eastAsia="宋体" w:cs="宋体"/>
          <w:color w:val="000000"/>
          <w:sz w:val="24"/>
          <w:szCs w:val="24"/>
          <w:highlight w:val="none"/>
          <w:u w:val="single"/>
        </w:rPr>
        <w:t>（姓名、性别、职务）</w:t>
      </w:r>
      <w:r>
        <w:rPr>
          <w:rFonts w:hint="eastAsia" w:ascii="宋体" w:hAnsi="宋体" w:eastAsia="宋体" w:cs="宋体"/>
          <w:color w:val="000000"/>
          <w:sz w:val="24"/>
          <w:szCs w:val="24"/>
          <w:highlight w:val="none"/>
        </w:rPr>
        <w:t>授权本公司的</w:t>
      </w:r>
      <w:r>
        <w:rPr>
          <w:rFonts w:hint="eastAsia" w:ascii="宋体" w:hAnsi="宋体" w:eastAsia="宋体" w:cs="宋体"/>
          <w:color w:val="000000"/>
          <w:sz w:val="24"/>
          <w:szCs w:val="24"/>
          <w:highlight w:val="none"/>
          <w:u w:val="single"/>
        </w:rPr>
        <w:t>（被授权人姓名、性别、职务）</w:t>
      </w:r>
      <w:r>
        <w:rPr>
          <w:rFonts w:hint="eastAsia" w:ascii="宋体" w:hAnsi="宋体" w:eastAsia="宋体" w:cs="宋体"/>
          <w:color w:val="000000"/>
          <w:sz w:val="24"/>
          <w:szCs w:val="24"/>
          <w:highlight w:val="none"/>
        </w:rPr>
        <w:t>为合法代理人，就贵方组织的有关</w:t>
      </w:r>
      <w:r>
        <w:rPr>
          <w:rFonts w:hint="eastAsia" w:ascii="宋体" w:hAnsi="宋体" w:eastAsia="宋体" w:cs="宋体"/>
          <w:color w:val="000000"/>
          <w:sz w:val="24"/>
          <w:szCs w:val="24"/>
          <w:highlight w:val="none"/>
          <w:u w:val="single"/>
        </w:rPr>
        <w:t>（项目名称）</w:t>
      </w:r>
      <w:r>
        <w:rPr>
          <w:rFonts w:hint="eastAsia" w:ascii="宋体" w:hAnsi="宋体" w:eastAsia="宋体" w:cs="宋体"/>
          <w:color w:val="000000"/>
          <w:sz w:val="24"/>
          <w:szCs w:val="24"/>
          <w:highlight w:val="none"/>
        </w:rPr>
        <w:t>（项目编号：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）的</w:t>
      </w:r>
      <w:r>
        <w:rPr>
          <w:rFonts w:hint="eastAsia" w:ascii="宋体" w:hAnsi="宋体" w:eastAsia="宋体" w:cs="宋体"/>
          <w:color w:val="000000"/>
          <w:sz w:val="24"/>
          <w:highlight w:val="none"/>
        </w:rPr>
        <w:t>谈判</w:t>
      </w:r>
      <w:r>
        <w:rPr>
          <w:rFonts w:hint="eastAsia" w:ascii="宋体" w:hAnsi="宋体" w:eastAsia="宋体" w:cs="宋体"/>
          <w:color w:val="000000"/>
          <w:sz w:val="24"/>
          <w:szCs w:val="24"/>
          <w:highlight w:val="none"/>
        </w:rPr>
        <w:t>、洽谈、执行等具体事务，签署全部有关文件、文书、协议、合同，本公司对被授权人在本项目中的签名承担全部法律责任。本授权书自</w:t>
      </w:r>
      <w:r>
        <w:rPr>
          <w:rFonts w:hint="eastAsia" w:ascii="宋体" w:hAnsi="宋体" w:eastAsia="宋体" w:cs="宋体"/>
          <w:color w:val="000000"/>
          <w:sz w:val="24"/>
          <w:highlight w:val="none"/>
        </w:rPr>
        <w:t>谈判</w:t>
      </w:r>
      <w:r>
        <w:rPr>
          <w:rFonts w:hint="eastAsia" w:ascii="宋体" w:hAnsi="宋体" w:eastAsia="宋体" w:cs="宋体"/>
          <w:color w:val="000000"/>
          <w:sz w:val="24"/>
          <w:szCs w:val="24"/>
          <w:highlight w:val="none"/>
        </w:rPr>
        <w:t>大会之日起计算有效期为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天。</w:t>
      </w:r>
    </w:p>
    <w:p w14:paraId="5D0C3B77">
      <w:pPr>
        <w:pStyle w:val="11"/>
        <w:pageBreakBefore w:val="0"/>
        <w:bidi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委托单位（公章）：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法定代表人（签字或盖章）：</w:t>
      </w:r>
    </w:p>
    <w:p w14:paraId="39521DB2">
      <w:pPr>
        <w:pStyle w:val="11"/>
        <w:pageBreakBefore w:val="0"/>
        <w:bidi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签发日期：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p>
    <w:p w14:paraId="1E4A0ADC">
      <w:pPr>
        <w:pageBreakBefore w:val="0"/>
        <w:bidi w:val="0"/>
        <w:spacing w:line="360" w:lineRule="auto"/>
        <w:rPr>
          <w:rFonts w:hint="eastAsia" w:ascii="宋体" w:hAnsi="宋体" w:eastAsia="宋体" w:cs="宋体"/>
          <w:highlight w:val="none"/>
        </w:rPr>
      </w:pPr>
      <w:r>
        <w:rPr>
          <w:rFonts w:hint="eastAsia" w:ascii="宋体" w:hAnsi="宋体" w:eastAsia="宋体" w:cs="宋体"/>
          <w:highlight w:val="none"/>
        </w:rPr>
        <w:t xml:space="preserve"> </w:t>
      </w:r>
    </w:p>
    <w:p w14:paraId="198F618E">
      <w:pPr>
        <w:pStyle w:val="11"/>
        <w:pageBreakBefore w:val="0"/>
        <w:bidi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附：被授权人：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性别：</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职务：</w:t>
      </w:r>
      <w:r>
        <w:rPr>
          <w:rFonts w:hint="eastAsia" w:ascii="宋体" w:hAnsi="宋体" w:eastAsia="宋体" w:cs="宋体"/>
          <w:color w:val="000000"/>
          <w:sz w:val="24"/>
          <w:szCs w:val="24"/>
          <w:highlight w:val="none"/>
          <w:u w:val="single"/>
        </w:rPr>
        <w:t xml:space="preserve">             </w:t>
      </w:r>
    </w:p>
    <w:p w14:paraId="2C9E50F0">
      <w:pPr>
        <w:pStyle w:val="11"/>
        <w:pageBreakBefore w:val="0"/>
        <w:bidi w:val="0"/>
        <w:spacing w:line="360" w:lineRule="auto"/>
        <w:ind w:firstLine="960" w:firstLineChars="40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联系地址：</w:t>
      </w:r>
      <w:r>
        <w:rPr>
          <w:rFonts w:hint="eastAsia" w:ascii="宋体" w:hAnsi="宋体" w:eastAsia="宋体" w:cs="宋体"/>
          <w:color w:val="000000"/>
          <w:sz w:val="24"/>
          <w:szCs w:val="24"/>
          <w:highlight w:val="none"/>
          <w:u w:val="single"/>
        </w:rPr>
        <w:t xml:space="preserve">                                                      </w:t>
      </w:r>
    </w:p>
    <w:p w14:paraId="5093E48C">
      <w:pPr>
        <w:pStyle w:val="11"/>
        <w:pageBreakBefore w:val="0"/>
        <w:bidi w:val="0"/>
        <w:spacing w:line="360" w:lineRule="auto"/>
        <w:ind w:firstLine="960" w:firstLineChars="40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传真：</w:t>
      </w:r>
      <w:r>
        <w:rPr>
          <w:rFonts w:hint="eastAsia" w:ascii="宋体" w:hAnsi="宋体" w:eastAsia="宋体" w:cs="宋体"/>
          <w:color w:val="000000"/>
          <w:sz w:val="24"/>
          <w:szCs w:val="24"/>
          <w:highlight w:val="none"/>
          <w:u w:val="single"/>
        </w:rPr>
        <w:t xml:space="preserve">                          </w:t>
      </w:r>
    </w:p>
    <w:p w14:paraId="54B3B523">
      <w:pPr>
        <w:pStyle w:val="11"/>
        <w:pageBreakBefore w:val="0"/>
        <w:bidi w:val="0"/>
        <w:spacing w:line="360" w:lineRule="auto"/>
        <w:ind w:firstLine="2760" w:firstLineChars="1150"/>
        <w:rPr>
          <w:rFonts w:hint="eastAsia" w:ascii="宋体" w:hAnsi="宋体" w:eastAsia="宋体" w:cs="宋体"/>
          <w:color w:val="000000"/>
          <w:sz w:val="24"/>
          <w:szCs w:val="24"/>
          <w:highlight w:val="none"/>
        </w:rPr>
      </w:pPr>
      <w:r>
        <w:rPr>
          <w:rFonts w:hint="eastAsia" w:ascii="宋体" w:hAnsi="宋体" w:eastAsia="宋体" w:cs="宋体"/>
          <w:sz w:val="24"/>
          <w:highlight w:val="none"/>
        </w:rPr>
        <w:t>法定代表人</w:t>
      </w:r>
      <w:r>
        <w:rPr>
          <w:rFonts w:hint="eastAsia" w:ascii="宋体" w:hAnsi="宋体" w:eastAsia="宋体" w:cs="宋体"/>
          <w:color w:val="000000"/>
          <w:sz w:val="24"/>
          <w:szCs w:val="24"/>
          <w:highlight w:val="none"/>
        </w:rPr>
        <w:t>/被授权人身份证正反面</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644"/>
        <w:gridCol w:w="4644"/>
      </w:tblGrid>
      <w:tr w14:paraId="6C806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4" w:hRule="atLeast"/>
          <w:jc w:val="center"/>
        </w:trPr>
        <w:tc>
          <w:tcPr>
            <w:tcW w:w="4644" w:type="dxa"/>
            <w:shd w:val="clear" w:color="auto" w:fill="E0E0E0"/>
            <w:vAlign w:val="center"/>
          </w:tcPr>
          <w:p w14:paraId="0D38D73C">
            <w:pPr>
              <w:pStyle w:val="11"/>
              <w:pageBreakBefore w:val="0"/>
              <w:bidi w:val="0"/>
              <w:spacing w:line="360" w:lineRule="auto"/>
              <w:jc w:val="center"/>
              <w:rPr>
                <w:rFonts w:hint="eastAsia" w:ascii="宋体" w:hAnsi="宋体" w:eastAsia="宋体" w:cs="宋体"/>
                <w:color w:val="000000"/>
                <w:sz w:val="24"/>
                <w:szCs w:val="24"/>
                <w:highlight w:val="none"/>
                <w:shd w:val="pct10" w:color="auto" w:fill="FFFFFF"/>
              </w:rPr>
            </w:pPr>
            <w:r>
              <w:rPr>
                <w:rFonts w:hint="eastAsia" w:ascii="宋体" w:hAnsi="宋体" w:eastAsia="宋体" w:cs="宋体"/>
                <w:color w:val="000000"/>
                <w:sz w:val="24"/>
                <w:szCs w:val="24"/>
                <w:highlight w:val="none"/>
                <w:shd w:val="pct10" w:color="auto" w:fill="FFFFFF"/>
              </w:rPr>
              <w:t>法定代表人身份证</w:t>
            </w:r>
          </w:p>
        </w:tc>
        <w:tc>
          <w:tcPr>
            <w:tcW w:w="4644" w:type="dxa"/>
            <w:shd w:val="clear" w:color="auto" w:fill="E0E0E0"/>
            <w:vAlign w:val="center"/>
          </w:tcPr>
          <w:p w14:paraId="58A5D244">
            <w:pPr>
              <w:pStyle w:val="11"/>
              <w:pageBreakBefore w:val="0"/>
              <w:bidi w:val="0"/>
              <w:spacing w:line="360" w:lineRule="auto"/>
              <w:jc w:val="center"/>
              <w:rPr>
                <w:rFonts w:hint="eastAsia" w:ascii="宋体" w:hAnsi="宋体" w:eastAsia="宋体" w:cs="宋体"/>
                <w:color w:val="000000"/>
                <w:sz w:val="24"/>
                <w:szCs w:val="24"/>
                <w:highlight w:val="none"/>
                <w:shd w:val="pct10" w:color="auto" w:fill="FFFFFF"/>
              </w:rPr>
            </w:pPr>
            <w:r>
              <w:rPr>
                <w:rFonts w:hint="eastAsia" w:ascii="宋体" w:hAnsi="宋体" w:eastAsia="宋体" w:cs="宋体"/>
                <w:color w:val="000000"/>
                <w:sz w:val="24"/>
                <w:szCs w:val="24"/>
                <w:highlight w:val="none"/>
                <w:shd w:val="pct10" w:color="auto" w:fill="FFFFFF"/>
              </w:rPr>
              <w:t>被授权人身份证</w:t>
            </w:r>
          </w:p>
        </w:tc>
      </w:tr>
      <w:tr w14:paraId="02E66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92" w:hRule="atLeast"/>
          <w:jc w:val="center"/>
        </w:trPr>
        <w:tc>
          <w:tcPr>
            <w:tcW w:w="4644" w:type="dxa"/>
            <w:shd w:val="clear" w:color="auto" w:fill="E0E0E0"/>
            <w:vAlign w:val="center"/>
          </w:tcPr>
          <w:p w14:paraId="140CB517">
            <w:pPr>
              <w:pStyle w:val="11"/>
              <w:pageBreakBefore w:val="0"/>
              <w:bidi w:val="0"/>
              <w:spacing w:line="360" w:lineRule="auto"/>
              <w:jc w:val="center"/>
              <w:rPr>
                <w:rFonts w:hint="eastAsia" w:ascii="宋体" w:hAnsi="宋体" w:eastAsia="宋体" w:cs="宋体"/>
                <w:color w:val="000000"/>
                <w:sz w:val="24"/>
                <w:szCs w:val="24"/>
                <w:highlight w:val="none"/>
                <w:shd w:val="pct10" w:color="auto" w:fill="FFFFFF"/>
              </w:rPr>
            </w:pPr>
            <w:r>
              <w:rPr>
                <w:rFonts w:hint="eastAsia" w:ascii="宋体" w:hAnsi="宋体" w:eastAsia="宋体" w:cs="宋体"/>
                <w:color w:val="000000"/>
                <w:sz w:val="24"/>
                <w:szCs w:val="24"/>
                <w:highlight w:val="none"/>
                <w:shd w:val="pct10" w:color="auto" w:fill="FFFFFF"/>
              </w:rPr>
              <w:t>法定代表人身份证</w:t>
            </w:r>
          </w:p>
        </w:tc>
        <w:tc>
          <w:tcPr>
            <w:tcW w:w="4644" w:type="dxa"/>
            <w:shd w:val="clear" w:color="auto" w:fill="E0E0E0"/>
            <w:vAlign w:val="center"/>
          </w:tcPr>
          <w:p w14:paraId="468BF943">
            <w:pPr>
              <w:pStyle w:val="11"/>
              <w:pageBreakBefore w:val="0"/>
              <w:bidi w:val="0"/>
              <w:spacing w:line="360" w:lineRule="auto"/>
              <w:jc w:val="center"/>
              <w:rPr>
                <w:rFonts w:hint="eastAsia" w:ascii="宋体" w:hAnsi="宋体" w:eastAsia="宋体" w:cs="宋体"/>
                <w:color w:val="000000"/>
                <w:sz w:val="24"/>
                <w:szCs w:val="24"/>
                <w:highlight w:val="none"/>
                <w:shd w:val="pct10" w:color="auto" w:fill="FFFFFF"/>
              </w:rPr>
            </w:pPr>
            <w:r>
              <w:rPr>
                <w:rFonts w:hint="eastAsia" w:ascii="宋体" w:hAnsi="宋体" w:eastAsia="宋体" w:cs="宋体"/>
                <w:color w:val="000000"/>
                <w:sz w:val="24"/>
                <w:szCs w:val="24"/>
                <w:highlight w:val="none"/>
                <w:shd w:val="pct10" w:color="auto" w:fill="FFFFFF"/>
              </w:rPr>
              <w:t>被授权人身份证</w:t>
            </w:r>
          </w:p>
        </w:tc>
      </w:tr>
    </w:tbl>
    <w:p w14:paraId="5CACCC37">
      <w:pPr>
        <w:pStyle w:val="11"/>
        <w:pageBreakBefore w:val="0"/>
        <w:bidi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说明：授权书内容填写要明确，文字要工整清楚，涂改无效。</w:t>
      </w:r>
    </w:p>
    <w:p w14:paraId="6C2337A4">
      <w:pPr>
        <w:pageBreakBefore w:val="0"/>
        <w:bidi w:val="0"/>
        <w:snapToGrid w:val="0"/>
        <w:spacing w:line="360" w:lineRule="auto"/>
        <w:jc w:val="center"/>
        <w:rPr>
          <w:rFonts w:hint="eastAsia" w:ascii="宋体" w:hAnsi="宋体" w:eastAsia="宋体" w:cs="宋体"/>
          <w:b/>
          <w:sz w:val="32"/>
          <w:szCs w:val="32"/>
          <w:highlight w:val="none"/>
        </w:rPr>
      </w:pPr>
    </w:p>
    <w:bookmarkEnd w:id="52"/>
    <w:p w14:paraId="1E1A815F">
      <w:pPr>
        <w:pageBreakBefore w:val="0"/>
        <w:bidi w:val="0"/>
        <w:spacing w:line="360" w:lineRule="auto"/>
        <w:jc w:val="center"/>
        <w:rPr>
          <w:rFonts w:hint="eastAsia" w:ascii="宋体" w:hAnsi="宋体" w:eastAsia="宋体" w:cs="宋体"/>
          <w:b/>
          <w:sz w:val="32"/>
          <w:highlight w:val="none"/>
        </w:rPr>
      </w:pPr>
      <w:bookmarkStart w:id="54" w:name="OLE_LINK60"/>
      <w:r>
        <w:rPr>
          <w:rFonts w:hint="eastAsia" w:ascii="宋体" w:hAnsi="宋体" w:eastAsia="宋体" w:cs="宋体"/>
          <w:b/>
          <w:sz w:val="32"/>
          <w:highlight w:val="none"/>
        </w:rPr>
        <w:t>三、响应报价表</w:t>
      </w:r>
      <w:bookmarkEnd w:id="53"/>
    </w:p>
    <w:p w14:paraId="79E1D779">
      <w:pPr>
        <w:pageBreakBefore w:val="0"/>
        <w:tabs>
          <w:tab w:val="left" w:pos="7920"/>
        </w:tabs>
        <w:bidi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 xml:space="preserve"> </w:t>
      </w:r>
    </w:p>
    <w:p w14:paraId="68144579">
      <w:pPr>
        <w:pageBreakBefore w:val="0"/>
        <w:tabs>
          <w:tab w:val="left" w:pos="7920"/>
        </w:tabs>
        <w:bidi w:val="0"/>
        <w:spacing w:line="360" w:lineRule="auto"/>
        <w:jc w:val="center"/>
        <w:rPr>
          <w:rFonts w:hint="eastAsia" w:ascii="宋体" w:hAnsi="宋体" w:eastAsia="宋体" w:cs="宋体"/>
          <w:b/>
          <w:bCs/>
          <w:sz w:val="32"/>
          <w:szCs w:val="44"/>
          <w:highlight w:val="none"/>
        </w:rPr>
      </w:pPr>
      <w:r>
        <w:rPr>
          <w:rFonts w:hint="eastAsia" w:ascii="宋体" w:hAnsi="宋体" w:eastAsia="宋体" w:cs="宋体"/>
          <w:sz w:val="24"/>
          <w:highlight w:val="none"/>
        </w:rPr>
        <w:t xml:space="preserve">   </w:t>
      </w:r>
      <w:r>
        <w:rPr>
          <w:rFonts w:hint="eastAsia" w:ascii="宋体" w:hAnsi="宋体" w:eastAsia="宋体" w:cs="宋体"/>
          <w:b/>
          <w:bCs/>
          <w:sz w:val="32"/>
          <w:szCs w:val="44"/>
          <w:highlight w:val="none"/>
        </w:rPr>
        <w:t>3.1响应报价总表</w:t>
      </w:r>
    </w:p>
    <w:tbl>
      <w:tblPr>
        <w:tblStyle w:val="21"/>
        <w:tblpPr w:leftFromText="181" w:rightFromText="181" w:vertAnchor="text" w:horzAnchor="page" w:tblpXSpec="center" w:tblpY="461"/>
        <w:tblOverlap w:val="never"/>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5"/>
        <w:gridCol w:w="7065"/>
      </w:tblGrid>
      <w:tr w14:paraId="4DC90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jc w:val="center"/>
        </w:trPr>
        <w:tc>
          <w:tcPr>
            <w:tcW w:w="1935" w:type="dxa"/>
            <w:vAlign w:val="center"/>
          </w:tcPr>
          <w:p w14:paraId="6CBA315C">
            <w:pPr>
              <w:pageBreakBefore w:val="0"/>
              <w:bidi w:val="0"/>
              <w:spacing w:line="360" w:lineRule="auto"/>
              <w:ind w:left="1320" w:hanging="1320" w:hangingChars="500"/>
              <w:jc w:val="center"/>
              <w:rPr>
                <w:rFonts w:hint="eastAsia" w:ascii="宋体" w:hAnsi="宋体" w:eastAsia="宋体" w:cs="宋体"/>
                <w:spacing w:val="12"/>
                <w:sz w:val="24"/>
                <w:highlight w:val="none"/>
              </w:rPr>
            </w:pPr>
            <w:r>
              <w:rPr>
                <w:rFonts w:hint="eastAsia" w:ascii="宋体" w:hAnsi="宋体" w:eastAsia="宋体" w:cs="宋体"/>
                <w:spacing w:val="12"/>
                <w:sz w:val="24"/>
                <w:highlight w:val="none"/>
              </w:rPr>
              <w:t>项目名称</w:t>
            </w:r>
          </w:p>
        </w:tc>
        <w:tc>
          <w:tcPr>
            <w:tcW w:w="7065" w:type="dxa"/>
            <w:vAlign w:val="center"/>
          </w:tcPr>
          <w:p w14:paraId="3E0480AC">
            <w:pPr>
              <w:pageBreakBefore w:val="0"/>
              <w:bidi w:val="0"/>
              <w:spacing w:line="360" w:lineRule="auto"/>
              <w:rPr>
                <w:rFonts w:hint="eastAsia" w:ascii="宋体" w:hAnsi="宋体" w:eastAsia="宋体" w:cs="宋体"/>
                <w:sz w:val="24"/>
                <w:highlight w:val="none"/>
              </w:rPr>
            </w:pPr>
          </w:p>
        </w:tc>
      </w:tr>
      <w:tr w14:paraId="2F2FC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1935" w:type="dxa"/>
            <w:vAlign w:val="center"/>
          </w:tcPr>
          <w:p w14:paraId="35717E47">
            <w:pPr>
              <w:pageBreakBefore w:val="0"/>
              <w:bidi w:val="0"/>
              <w:spacing w:line="360" w:lineRule="auto"/>
              <w:jc w:val="center"/>
              <w:rPr>
                <w:rFonts w:hint="eastAsia" w:ascii="宋体" w:hAnsi="宋体" w:eastAsia="宋体" w:cs="宋体"/>
                <w:spacing w:val="12"/>
                <w:sz w:val="24"/>
                <w:highlight w:val="none"/>
              </w:rPr>
            </w:pPr>
            <w:r>
              <w:rPr>
                <w:rFonts w:hint="eastAsia" w:ascii="宋体" w:hAnsi="宋体" w:eastAsia="宋体" w:cs="宋体"/>
                <w:spacing w:val="12"/>
                <w:sz w:val="24"/>
                <w:highlight w:val="none"/>
              </w:rPr>
              <w:t>供应商名称</w:t>
            </w:r>
          </w:p>
        </w:tc>
        <w:tc>
          <w:tcPr>
            <w:tcW w:w="7065" w:type="dxa"/>
            <w:vAlign w:val="center"/>
          </w:tcPr>
          <w:p w14:paraId="5E063518">
            <w:pPr>
              <w:pageBreakBefore w:val="0"/>
              <w:bidi w:val="0"/>
              <w:spacing w:line="360" w:lineRule="auto"/>
              <w:rPr>
                <w:rFonts w:hint="eastAsia" w:ascii="宋体" w:hAnsi="宋体" w:eastAsia="宋体" w:cs="宋体"/>
                <w:spacing w:val="12"/>
                <w:sz w:val="24"/>
                <w:highlight w:val="none"/>
              </w:rPr>
            </w:pPr>
          </w:p>
        </w:tc>
      </w:tr>
      <w:tr w14:paraId="58047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1935" w:type="dxa"/>
            <w:vAlign w:val="center"/>
          </w:tcPr>
          <w:p w14:paraId="57300248">
            <w:pPr>
              <w:pageBreakBefore w:val="0"/>
              <w:bidi w:val="0"/>
              <w:spacing w:line="360" w:lineRule="auto"/>
              <w:jc w:val="center"/>
              <w:rPr>
                <w:rFonts w:hint="eastAsia" w:ascii="宋体" w:hAnsi="宋体" w:eastAsia="宋体" w:cs="宋体"/>
                <w:spacing w:val="12"/>
                <w:sz w:val="24"/>
                <w:highlight w:val="none"/>
              </w:rPr>
            </w:pPr>
            <w:r>
              <w:rPr>
                <w:rFonts w:hint="eastAsia" w:ascii="宋体" w:hAnsi="宋体" w:eastAsia="宋体" w:cs="宋体"/>
                <w:spacing w:val="12"/>
                <w:sz w:val="24"/>
                <w:highlight w:val="none"/>
              </w:rPr>
              <w:t>报价(小写元)</w:t>
            </w:r>
          </w:p>
        </w:tc>
        <w:tc>
          <w:tcPr>
            <w:tcW w:w="7065" w:type="dxa"/>
            <w:vAlign w:val="center"/>
          </w:tcPr>
          <w:p w14:paraId="67D4566D">
            <w:pPr>
              <w:pageBreakBefore w:val="0"/>
              <w:bidi w:val="0"/>
              <w:spacing w:line="360" w:lineRule="auto"/>
              <w:rPr>
                <w:rFonts w:hint="eastAsia" w:ascii="宋体" w:hAnsi="宋体" w:eastAsia="宋体" w:cs="宋体"/>
                <w:spacing w:val="12"/>
                <w:sz w:val="24"/>
                <w:highlight w:val="none"/>
              </w:rPr>
            </w:pPr>
          </w:p>
        </w:tc>
      </w:tr>
      <w:tr w14:paraId="6071A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66" w:hRule="atLeast"/>
          <w:jc w:val="center"/>
        </w:trPr>
        <w:tc>
          <w:tcPr>
            <w:tcW w:w="1935" w:type="dxa"/>
            <w:vAlign w:val="center"/>
          </w:tcPr>
          <w:p w14:paraId="3F70D622">
            <w:pPr>
              <w:pageBreakBefore w:val="0"/>
              <w:bidi w:val="0"/>
              <w:spacing w:line="360" w:lineRule="auto"/>
              <w:jc w:val="center"/>
              <w:rPr>
                <w:rFonts w:hint="eastAsia" w:ascii="宋体" w:hAnsi="宋体" w:eastAsia="宋体" w:cs="宋体"/>
                <w:spacing w:val="12"/>
                <w:sz w:val="24"/>
                <w:highlight w:val="none"/>
              </w:rPr>
            </w:pPr>
            <w:r>
              <w:rPr>
                <w:rFonts w:hint="eastAsia" w:ascii="宋体" w:hAnsi="宋体" w:eastAsia="宋体" w:cs="宋体"/>
                <w:spacing w:val="12"/>
                <w:sz w:val="24"/>
                <w:highlight w:val="none"/>
              </w:rPr>
              <w:t>报价(大写元)</w:t>
            </w:r>
          </w:p>
        </w:tc>
        <w:tc>
          <w:tcPr>
            <w:tcW w:w="7065" w:type="dxa"/>
            <w:vAlign w:val="center"/>
          </w:tcPr>
          <w:p w14:paraId="66D3A519">
            <w:pPr>
              <w:pageBreakBefore w:val="0"/>
              <w:bidi w:val="0"/>
              <w:spacing w:line="360" w:lineRule="auto"/>
              <w:rPr>
                <w:rFonts w:hint="eastAsia" w:ascii="宋体" w:hAnsi="宋体" w:eastAsia="宋体" w:cs="宋体"/>
                <w:spacing w:val="12"/>
                <w:sz w:val="24"/>
                <w:highlight w:val="none"/>
              </w:rPr>
            </w:pPr>
          </w:p>
        </w:tc>
      </w:tr>
      <w:tr w14:paraId="20AE5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68" w:hRule="atLeast"/>
          <w:jc w:val="center"/>
        </w:trPr>
        <w:tc>
          <w:tcPr>
            <w:tcW w:w="1935" w:type="dxa"/>
            <w:vAlign w:val="center"/>
          </w:tcPr>
          <w:p w14:paraId="03F7D888">
            <w:pPr>
              <w:pageBreakBefore w:val="0"/>
              <w:bidi w:val="0"/>
              <w:spacing w:line="360" w:lineRule="auto"/>
              <w:jc w:val="center"/>
              <w:rPr>
                <w:rFonts w:hint="eastAsia" w:ascii="宋体" w:hAnsi="宋体" w:eastAsia="宋体" w:cs="宋体"/>
                <w:spacing w:val="12"/>
                <w:sz w:val="24"/>
                <w:highlight w:val="none"/>
              </w:rPr>
            </w:pPr>
            <w:r>
              <w:rPr>
                <w:rFonts w:hint="eastAsia" w:ascii="宋体" w:hAnsi="宋体" w:eastAsia="宋体" w:cs="宋体"/>
                <w:spacing w:val="12"/>
                <w:sz w:val="24"/>
                <w:highlight w:val="none"/>
              </w:rPr>
              <w:t>供货期</w:t>
            </w:r>
          </w:p>
        </w:tc>
        <w:tc>
          <w:tcPr>
            <w:tcW w:w="7065" w:type="dxa"/>
            <w:vAlign w:val="center"/>
          </w:tcPr>
          <w:p w14:paraId="563A968C">
            <w:pPr>
              <w:pageBreakBefore w:val="0"/>
              <w:bidi w:val="0"/>
              <w:spacing w:line="360" w:lineRule="auto"/>
              <w:rPr>
                <w:rFonts w:hint="eastAsia" w:ascii="宋体" w:hAnsi="宋体" w:eastAsia="宋体" w:cs="宋体"/>
                <w:spacing w:val="12"/>
                <w:sz w:val="24"/>
                <w:highlight w:val="none"/>
              </w:rPr>
            </w:pPr>
          </w:p>
        </w:tc>
      </w:tr>
      <w:tr w14:paraId="291CC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76" w:hRule="atLeast"/>
          <w:jc w:val="center"/>
        </w:trPr>
        <w:tc>
          <w:tcPr>
            <w:tcW w:w="1935" w:type="dxa"/>
            <w:vAlign w:val="center"/>
          </w:tcPr>
          <w:p w14:paraId="5BE96037">
            <w:pPr>
              <w:pageBreakBefore w:val="0"/>
              <w:bidi w:val="0"/>
              <w:spacing w:line="360" w:lineRule="auto"/>
              <w:jc w:val="center"/>
              <w:rPr>
                <w:rFonts w:hint="eastAsia" w:ascii="宋体" w:hAnsi="宋体" w:eastAsia="宋体" w:cs="宋体"/>
                <w:spacing w:val="12"/>
                <w:sz w:val="24"/>
                <w:highlight w:val="none"/>
              </w:rPr>
            </w:pPr>
            <w:r>
              <w:rPr>
                <w:rFonts w:hint="eastAsia" w:ascii="宋体" w:hAnsi="宋体" w:eastAsia="宋体" w:cs="宋体"/>
                <w:spacing w:val="12"/>
                <w:sz w:val="24"/>
                <w:highlight w:val="none"/>
              </w:rPr>
              <w:t>质保期</w:t>
            </w:r>
          </w:p>
        </w:tc>
        <w:tc>
          <w:tcPr>
            <w:tcW w:w="7065" w:type="dxa"/>
            <w:vAlign w:val="center"/>
          </w:tcPr>
          <w:p w14:paraId="231CF62C">
            <w:pPr>
              <w:pageBreakBefore w:val="0"/>
              <w:bidi w:val="0"/>
              <w:spacing w:line="360" w:lineRule="auto"/>
              <w:rPr>
                <w:rFonts w:hint="eastAsia" w:ascii="宋体" w:hAnsi="宋体" w:eastAsia="宋体" w:cs="宋体"/>
                <w:spacing w:val="12"/>
                <w:sz w:val="24"/>
                <w:highlight w:val="none"/>
              </w:rPr>
            </w:pPr>
          </w:p>
        </w:tc>
      </w:tr>
      <w:tr w14:paraId="27563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897" w:hRule="atLeast"/>
          <w:jc w:val="center"/>
        </w:trPr>
        <w:tc>
          <w:tcPr>
            <w:tcW w:w="1935" w:type="dxa"/>
            <w:textDirection w:val="tbRlV"/>
            <w:vAlign w:val="center"/>
          </w:tcPr>
          <w:p w14:paraId="502A1129">
            <w:pPr>
              <w:pageBreakBefore w:val="0"/>
              <w:bidi w:val="0"/>
              <w:spacing w:before="558" w:beforeLines="179" w:after="517" w:afterLines="166" w:line="360" w:lineRule="auto"/>
              <w:ind w:right="113"/>
              <w:jc w:val="center"/>
              <w:rPr>
                <w:rFonts w:hint="eastAsia" w:ascii="宋体" w:hAnsi="宋体" w:eastAsia="宋体" w:cs="宋体"/>
                <w:spacing w:val="12"/>
                <w:sz w:val="24"/>
                <w:highlight w:val="none"/>
              </w:rPr>
            </w:pPr>
            <w:r>
              <w:rPr>
                <w:rFonts w:hint="eastAsia" w:ascii="宋体" w:hAnsi="宋体" w:eastAsia="宋体" w:cs="宋体"/>
                <w:spacing w:val="12"/>
                <w:sz w:val="24"/>
                <w:highlight w:val="none"/>
              </w:rPr>
              <w:t>说   明</w:t>
            </w:r>
          </w:p>
        </w:tc>
        <w:tc>
          <w:tcPr>
            <w:tcW w:w="7065" w:type="dxa"/>
          </w:tcPr>
          <w:p w14:paraId="78E13E3D">
            <w:pPr>
              <w:pageBreakBefore w:val="0"/>
              <w:bidi w:val="0"/>
              <w:spacing w:line="360" w:lineRule="auto"/>
              <w:ind w:left="5250"/>
              <w:rPr>
                <w:rFonts w:hint="eastAsia" w:ascii="宋体" w:hAnsi="宋体" w:eastAsia="宋体" w:cs="宋体"/>
                <w:bCs/>
                <w:spacing w:val="12"/>
                <w:sz w:val="24"/>
                <w:szCs w:val="20"/>
                <w:highlight w:val="none"/>
              </w:rPr>
            </w:pPr>
          </w:p>
          <w:p w14:paraId="741D9D06">
            <w:pPr>
              <w:pageBreakBefore w:val="0"/>
              <w:bidi w:val="0"/>
              <w:spacing w:line="360" w:lineRule="auto"/>
              <w:rPr>
                <w:rFonts w:hint="eastAsia" w:ascii="宋体" w:hAnsi="宋体" w:eastAsia="宋体" w:cs="宋体"/>
                <w:spacing w:val="12"/>
                <w:sz w:val="24"/>
                <w:highlight w:val="none"/>
              </w:rPr>
            </w:pPr>
          </w:p>
          <w:p w14:paraId="2F1DDA8E">
            <w:pPr>
              <w:pageBreakBefore w:val="0"/>
              <w:bidi w:val="0"/>
              <w:spacing w:line="360" w:lineRule="auto"/>
              <w:rPr>
                <w:rFonts w:hint="eastAsia" w:ascii="宋体" w:hAnsi="宋体" w:eastAsia="宋体" w:cs="宋体"/>
                <w:spacing w:val="12"/>
                <w:sz w:val="24"/>
                <w:highlight w:val="none"/>
              </w:rPr>
            </w:pPr>
          </w:p>
        </w:tc>
      </w:tr>
    </w:tbl>
    <w:p w14:paraId="15BB4228">
      <w:pPr>
        <w:pageBreakBefore w:val="0"/>
        <w:bidi w:val="0"/>
        <w:snapToGrid w:val="0"/>
        <w:spacing w:line="360" w:lineRule="auto"/>
        <w:rPr>
          <w:rFonts w:hint="eastAsia" w:ascii="宋体" w:hAnsi="宋体" w:eastAsia="宋体" w:cs="宋体"/>
          <w:sz w:val="24"/>
          <w:highlight w:val="none"/>
        </w:rPr>
      </w:pPr>
    </w:p>
    <w:p w14:paraId="31BABD16">
      <w:pPr>
        <w:pageBreakBefore w:val="0"/>
        <w:bidi w:val="0"/>
        <w:snapToGrid w:val="0"/>
        <w:spacing w:line="360" w:lineRule="auto"/>
        <w:rPr>
          <w:rFonts w:hint="eastAsia" w:ascii="宋体" w:hAnsi="宋体" w:eastAsia="宋体" w:cs="宋体"/>
          <w:b/>
          <w:bCs/>
          <w:sz w:val="24"/>
          <w:highlight w:val="none"/>
        </w:rPr>
      </w:pPr>
      <w:r>
        <w:rPr>
          <w:rFonts w:hint="eastAsia" w:ascii="宋体" w:hAnsi="宋体" w:eastAsia="宋体" w:cs="宋体"/>
          <w:sz w:val="24"/>
          <w:highlight w:val="none"/>
        </w:rPr>
        <w:t>供应商（公章）：             法定代表人/被授权人（签字或盖章）：</w:t>
      </w:r>
    </w:p>
    <w:p w14:paraId="63F4CA09">
      <w:pPr>
        <w:pageBreakBefore w:val="0"/>
        <w:bidi w:val="0"/>
        <w:snapToGrid w:val="0"/>
        <w:spacing w:line="360" w:lineRule="auto"/>
        <w:ind w:firstLine="723" w:firstLineChars="300"/>
        <w:rPr>
          <w:rFonts w:hint="eastAsia" w:ascii="宋体" w:hAnsi="宋体" w:eastAsia="宋体" w:cs="宋体"/>
          <w:b/>
          <w:bCs/>
          <w:sz w:val="24"/>
          <w:highlight w:val="none"/>
        </w:rPr>
      </w:pPr>
      <w:r>
        <w:rPr>
          <w:rFonts w:hint="eastAsia" w:ascii="宋体" w:hAnsi="宋体" w:eastAsia="宋体" w:cs="宋体"/>
          <w:b/>
          <w:bCs/>
          <w:sz w:val="24"/>
          <w:highlight w:val="none"/>
        </w:rPr>
        <w:t>注：</w:t>
      </w:r>
    </w:p>
    <w:p w14:paraId="40F79B54">
      <w:pPr>
        <w:pageBreakBefore w:val="0"/>
        <w:numPr>
          <w:ilvl w:val="0"/>
          <w:numId w:val="5"/>
        </w:numPr>
        <w:bidi w:val="0"/>
        <w:snapToGrid w:val="0"/>
        <w:spacing w:line="360" w:lineRule="auto"/>
        <w:ind w:firstLine="630" w:firstLineChars="300"/>
        <w:rPr>
          <w:rFonts w:hint="eastAsia" w:ascii="宋体" w:hAnsi="宋体" w:eastAsia="宋体" w:cs="宋体"/>
          <w:szCs w:val="21"/>
          <w:highlight w:val="none"/>
        </w:rPr>
      </w:pPr>
      <w:r>
        <w:rPr>
          <w:rFonts w:hint="eastAsia" w:ascii="宋体" w:hAnsi="宋体" w:eastAsia="宋体" w:cs="宋体"/>
          <w:szCs w:val="21"/>
          <w:highlight w:val="none"/>
        </w:rPr>
        <w:t>本表价应保证响应文件的正、副本中仍有此表，且一致。</w:t>
      </w:r>
    </w:p>
    <w:p w14:paraId="760EBA1B">
      <w:pPr>
        <w:pageBreakBefore w:val="0"/>
        <w:numPr>
          <w:ilvl w:val="0"/>
          <w:numId w:val="5"/>
        </w:numPr>
        <w:bidi w:val="0"/>
        <w:snapToGrid w:val="0"/>
        <w:spacing w:line="360" w:lineRule="auto"/>
        <w:ind w:firstLine="630" w:firstLineChars="300"/>
        <w:rPr>
          <w:rFonts w:hint="eastAsia" w:ascii="宋体" w:hAnsi="宋体" w:eastAsia="宋体" w:cs="宋体"/>
          <w:szCs w:val="21"/>
          <w:highlight w:val="none"/>
        </w:rPr>
      </w:pPr>
      <w:r>
        <w:rPr>
          <w:rFonts w:hint="eastAsia" w:ascii="宋体" w:hAnsi="宋体" w:eastAsia="宋体" w:cs="宋体"/>
          <w:szCs w:val="21"/>
          <w:highlight w:val="none"/>
        </w:rPr>
        <w:t>此表中任何信息与响应文件其他处不一致时以此表为准。</w:t>
      </w:r>
    </w:p>
    <w:p w14:paraId="2E06A0C9">
      <w:pPr>
        <w:pageBreakBefore w:val="0"/>
        <w:numPr>
          <w:ilvl w:val="0"/>
          <w:numId w:val="5"/>
        </w:numPr>
        <w:bidi w:val="0"/>
        <w:snapToGrid w:val="0"/>
        <w:spacing w:line="360" w:lineRule="auto"/>
        <w:ind w:firstLine="630" w:firstLineChars="300"/>
        <w:rPr>
          <w:rFonts w:hint="eastAsia" w:ascii="宋体" w:hAnsi="宋体" w:eastAsia="宋体" w:cs="宋体"/>
          <w:szCs w:val="21"/>
          <w:highlight w:val="none"/>
        </w:rPr>
      </w:pPr>
      <w:r>
        <w:rPr>
          <w:rFonts w:hint="eastAsia" w:ascii="宋体" w:hAnsi="宋体" w:eastAsia="宋体" w:cs="宋体"/>
          <w:szCs w:val="21"/>
          <w:highlight w:val="none"/>
        </w:rPr>
        <w:t>此表为规范格式，严格按此表格填列，不填列或不按此表格填列，按无效标对待。</w:t>
      </w:r>
    </w:p>
    <w:p w14:paraId="4F5305FA">
      <w:pPr>
        <w:pageBreakBefore w:val="0"/>
        <w:bidi w:val="0"/>
        <w:snapToGrid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分项报价后附。</w:t>
      </w:r>
    </w:p>
    <w:p w14:paraId="3F19222F">
      <w:pPr>
        <w:pageBreakBefore w:val="0"/>
        <w:bidi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br w:type="page"/>
      </w:r>
    </w:p>
    <w:bookmarkEnd w:id="54"/>
    <w:p w14:paraId="42414129">
      <w:pPr>
        <w:pageBreakBefore w:val="0"/>
        <w:bidi w:val="0"/>
        <w:snapToGrid w:val="0"/>
        <w:spacing w:line="360" w:lineRule="auto"/>
        <w:jc w:val="center"/>
        <w:rPr>
          <w:rFonts w:hint="eastAsia" w:ascii="宋体" w:hAnsi="宋体" w:eastAsia="宋体" w:cs="宋体"/>
          <w:b/>
          <w:bCs/>
          <w:sz w:val="28"/>
          <w:szCs w:val="28"/>
          <w:highlight w:val="none"/>
        </w:rPr>
      </w:pPr>
      <w:bookmarkStart w:id="55" w:name="OLE_LINK61"/>
      <w:r>
        <w:rPr>
          <w:rFonts w:hint="eastAsia" w:ascii="宋体" w:hAnsi="宋体" w:eastAsia="宋体" w:cs="宋体"/>
          <w:b/>
          <w:bCs/>
          <w:sz w:val="28"/>
          <w:szCs w:val="28"/>
          <w:highlight w:val="none"/>
        </w:rPr>
        <w:t>3.2分项报价表</w:t>
      </w:r>
    </w:p>
    <w:p w14:paraId="5C6DA4CC">
      <w:pPr>
        <w:pageBreakBefore w:val="0"/>
        <w:bidi w:val="0"/>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项目名称：</w:t>
      </w:r>
    </w:p>
    <w:p w14:paraId="75581D51">
      <w:pPr>
        <w:pageBreakBefore w:val="0"/>
        <w:bidi w:val="0"/>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项目编号：</w:t>
      </w:r>
    </w:p>
    <w:tbl>
      <w:tblPr>
        <w:tblStyle w:val="21"/>
        <w:tblpPr w:vertAnchor="text" w:horzAnchor="margin" w:tblpY="26"/>
        <w:tblW w:w="9146" w:type="dxa"/>
        <w:tblInd w:w="0" w:type="dxa"/>
        <w:tblLayout w:type="fixed"/>
        <w:tblCellMar>
          <w:top w:w="0" w:type="dxa"/>
          <w:left w:w="0" w:type="dxa"/>
          <w:bottom w:w="0" w:type="dxa"/>
          <w:right w:w="0" w:type="dxa"/>
        </w:tblCellMar>
      </w:tblPr>
      <w:tblGrid>
        <w:gridCol w:w="701"/>
        <w:gridCol w:w="1254"/>
        <w:gridCol w:w="1109"/>
        <w:gridCol w:w="1230"/>
        <w:gridCol w:w="1095"/>
        <w:gridCol w:w="1440"/>
        <w:gridCol w:w="1305"/>
        <w:gridCol w:w="1012"/>
      </w:tblGrid>
      <w:tr w14:paraId="4282F5E3">
        <w:tblPrEx>
          <w:tblCellMar>
            <w:top w:w="0" w:type="dxa"/>
            <w:left w:w="0" w:type="dxa"/>
            <w:bottom w:w="0" w:type="dxa"/>
            <w:right w:w="0" w:type="dxa"/>
          </w:tblCellMar>
        </w:tblPrEx>
        <w:trPr>
          <w:trHeight w:val="340" w:hRule="atLeast"/>
        </w:trPr>
        <w:tc>
          <w:tcPr>
            <w:tcW w:w="701" w:type="dxa"/>
            <w:tcBorders>
              <w:top w:val="double" w:color="000000" w:sz="4"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5069AC41">
            <w:pPr>
              <w:pageBreakBefore w:val="0"/>
              <w:bidi w:val="0"/>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序号</w:t>
            </w:r>
          </w:p>
        </w:tc>
        <w:tc>
          <w:tcPr>
            <w:tcW w:w="1254" w:type="dxa"/>
            <w:tcBorders>
              <w:top w:val="double" w:color="000000" w:sz="4"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01020EF6">
            <w:pPr>
              <w:pageBreakBefore w:val="0"/>
              <w:bidi w:val="0"/>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产品名称</w:t>
            </w:r>
          </w:p>
        </w:tc>
        <w:tc>
          <w:tcPr>
            <w:tcW w:w="1109" w:type="dxa"/>
            <w:tcBorders>
              <w:top w:val="double" w:color="000000" w:sz="4"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4704A292">
            <w:pPr>
              <w:pageBreakBefore w:val="0"/>
              <w:bidi w:val="0"/>
              <w:spacing w:line="360" w:lineRule="auto"/>
              <w:jc w:val="center"/>
              <w:rPr>
                <w:rFonts w:hint="eastAsia" w:ascii="宋体" w:hAnsi="宋体" w:eastAsia="宋体" w:cs="宋体"/>
                <w:b/>
                <w:color w:val="000000"/>
                <w:szCs w:val="21"/>
                <w:highlight w:val="none"/>
              </w:rPr>
            </w:pPr>
          </w:p>
          <w:p w14:paraId="17DDA584">
            <w:pPr>
              <w:pageBreakBefore w:val="0"/>
              <w:bidi w:val="0"/>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品牌</w:t>
            </w:r>
          </w:p>
          <w:p w14:paraId="2D237C2A">
            <w:pPr>
              <w:pageBreakBefore w:val="0"/>
              <w:bidi w:val="0"/>
              <w:spacing w:line="360" w:lineRule="auto"/>
              <w:jc w:val="center"/>
              <w:rPr>
                <w:rFonts w:hint="eastAsia" w:ascii="宋体" w:hAnsi="宋体" w:eastAsia="宋体" w:cs="宋体"/>
                <w:b/>
                <w:color w:val="000000"/>
                <w:szCs w:val="21"/>
                <w:highlight w:val="none"/>
              </w:rPr>
            </w:pPr>
          </w:p>
        </w:tc>
        <w:tc>
          <w:tcPr>
            <w:tcW w:w="1230" w:type="dxa"/>
            <w:tcBorders>
              <w:top w:val="double" w:color="000000" w:sz="4" w:space="0"/>
              <w:left w:val="single" w:color="auto" w:sz="4" w:space="0"/>
              <w:bottom w:val="single" w:color="000000" w:sz="6" w:space="0"/>
              <w:right w:val="single" w:color="auto" w:sz="4" w:space="0"/>
            </w:tcBorders>
            <w:vAlign w:val="center"/>
          </w:tcPr>
          <w:p w14:paraId="455F2E79">
            <w:pPr>
              <w:pageBreakBefore w:val="0"/>
              <w:bidi w:val="0"/>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型号</w:t>
            </w:r>
          </w:p>
        </w:tc>
        <w:tc>
          <w:tcPr>
            <w:tcW w:w="1095" w:type="dxa"/>
            <w:tcBorders>
              <w:top w:val="double" w:color="000000" w:sz="4" w:space="0"/>
              <w:left w:val="single" w:color="auto" w:sz="4" w:space="0"/>
              <w:bottom w:val="single" w:color="000000" w:sz="6" w:space="0"/>
              <w:right w:val="single" w:color="000000" w:sz="6" w:space="0"/>
            </w:tcBorders>
            <w:vAlign w:val="center"/>
          </w:tcPr>
          <w:p w14:paraId="6F86C247">
            <w:pPr>
              <w:pageBreakBefore w:val="0"/>
              <w:bidi w:val="0"/>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数量/单位</w:t>
            </w:r>
          </w:p>
        </w:tc>
        <w:tc>
          <w:tcPr>
            <w:tcW w:w="1440" w:type="dxa"/>
            <w:tcBorders>
              <w:top w:val="double" w:color="000000" w:sz="4"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1FD81455">
            <w:pPr>
              <w:pageBreakBefore w:val="0"/>
              <w:bidi w:val="0"/>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单价</w:t>
            </w:r>
          </w:p>
          <w:p w14:paraId="3F90C224">
            <w:pPr>
              <w:pageBreakBefore w:val="0"/>
              <w:bidi w:val="0"/>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(人民币元)</w:t>
            </w:r>
          </w:p>
        </w:tc>
        <w:tc>
          <w:tcPr>
            <w:tcW w:w="1305" w:type="dxa"/>
            <w:tcBorders>
              <w:top w:val="double" w:color="000000" w:sz="4" w:space="0"/>
              <w:left w:val="single" w:color="000000" w:sz="4" w:space="0"/>
              <w:bottom w:val="single" w:color="000000" w:sz="6" w:space="0"/>
              <w:right w:val="single" w:color="000000" w:sz="6" w:space="0"/>
            </w:tcBorders>
            <w:tcMar>
              <w:top w:w="28" w:type="dxa"/>
              <w:left w:w="28" w:type="dxa"/>
              <w:bottom w:w="28" w:type="dxa"/>
              <w:right w:w="28" w:type="dxa"/>
            </w:tcMar>
            <w:vAlign w:val="center"/>
          </w:tcPr>
          <w:p w14:paraId="2F74C0F0">
            <w:pPr>
              <w:pageBreakBefore w:val="0"/>
              <w:bidi w:val="0"/>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合计</w:t>
            </w:r>
          </w:p>
          <w:p w14:paraId="2D1A7335">
            <w:pPr>
              <w:pageBreakBefore w:val="0"/>
              <w:bidi w:val="0"/>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（人民币元）</w:t>
            </w:r>
          </w:p>
        </w:tc>
        <w:tc>
          <w:tcPr>
            <w:tcW w:w="1012" w:type="dxa"/>
            <w:tcBorders>
              <w:top w:val="double" w:color="000000" w:sz="4"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6AC27EAF">
            <w:pPr>
              <w:pageBreakBefore w:val="0"/>
              <w:bidi w:val="0"/>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备注</w:t>
            </w:r>
          </w:p>
        </w:tc>
      </w:tr>
      <w:tr w14:paraId="1B0BC976">
        <w:tblPrEx>
          <w:tblCellMar>
            <w:top w:w="0" w:type="dxa"/>
            <w:left w:w="0" w:type="dxa"/>
            <w:bottom w:w="0" w:type="dxa"/>
            <w:right w:w="0" w:type="dxa"/>
          </w:tblCellMar>
        </w:tblPrEx>
        <w:trPr>
          <w:trHeight w:val="340" w:hRule="atLeast"/>
        </w:trPr>
        <w:tc>
          <w:tcPr>
            <w:tcW w:w="701" w:type="dxa"/>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351FD809">
            <w:pPr>
              <w:pageBreakBefore w:val="0"/>
              <w:bidi w:val="0"/>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w:t>
            </w:r>
          </w:p>
        </w:tc>
        <w:tc>
          <w:tcPr>
            <w:tcW w:w="1254" w:type="dxa"/>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21AFB18E">
            <w:pPr>
              <w:pageBreakBefore w:val="0"/>
              <w:bidi w:val="0"/>
              <w:spacing w:line="360" w:lineRule="auto"/>
              <w:jc w:val="center"/>
              <w:rPr>
                <w:rFonts w:hint="eastAsia" w:ascii="宋体" w:hAnsi="宋体" w:eastAsia="宋体" w:cs="宋体"/>
                <w:color w:val="000000"/>
                <w:szCs w:val="21"/>
                <w:highlight w:val="none"/>
              </w:rPr>
            </w:pPr>
          </w:p>
        </w:tc>
        <w:tc>
          <w:tcPr>
            <w:tcW w:w="1109" w:type="dxa"/>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6C3B57B8">
            <w:pPr>
              <w:pageBreakBefore w:val="0"/>
              <w:bidi w:val="0"/>
              <w:spacing w:line="360" w:lineRule="auto"/>
              <w:jc w:val="center"/>
              <w:rPr>
                <w:rFonts w:hint="eastAsia" w:ascii="宋体" w:hAnsi="宋体" w:eastAsia="宋体" w:cs="宋体"/>
                <w:color w:val="000000"/>
                <w:szCs w:val="21"/>
                <w:highlight w:val="none"/>
              </w:rPr>
            </w:pPr>
          </w:p>
        </w:tc>
        <w:tc>
          <w:tcPr>
            <w:tcW w:w="1230" w:type="dxa"/>
            <w:tcBorders>
              <w:top w:val="single" w:color="000000" w:sz="6" w:space="0"/>
              <w:left w:val="single" w:color="auto" w:sz="4" w:space="0"/>
              <w:bottom w:val="single" w:color="000000" w:sz="6" w:space="0"/>
              <w:right w:val="single" w:color="auto" w:sz="4" w:space="0"/>
            </w:tcBorders>
            <w:vAlign w:val="center"/>
          </w:tcPr>
          <w:p w14:paraId="3BA12475">
            <w:pPr>
              <w:pageBreakBefore w:val="0"/>
              <w:bidi w:val="0"/>
              <w:spacing w:line="360" w:lineRule="auto"/>
              <w:jc w:val="center"/>
              <w:rPr>
                <w:rFonts w:hint="eastAsia" w:ascii="宋体" w:hAnsi="宋体" w:eastAsia="宋体" w:cs="宋体"/>
                <w:color w:val="000000"/>
                <w:szCs w:val="21"/>
                <w:highlight w:val="none"/>
              </w:rPr>
            </w:pPr>
          </w:p>
        </w:tc>
        <w:tc>
          <w:tcPr>
            <w:tcW w:w="1095" w:type="dxa"/>
            <w:tcBorders>
              <w:top w:val="single" w:color="000000" w:sz="6" w:space="0"/>
              <w:left w:val="single" w:color="auto" w:sz="4" w:space="0"/>
              <w:bottom w:val="single" w:color="000000" w:sz="6" w:space="0"/>
              <w:right w:val="single" w:color="000000" w:sz="6" w:space="0"/>
            </w:tcBorders>
            <w:vAlign w:val="center"/>
          </w:tcPr>
          <w:p w14:paraId="300064A9">
            <w:pPr>
              <w:pageBreakBefore w:val="0"/>
              <w:bidi w:val="0"/>
              <w:spacing w:line="360" w:lineRule="auto"/>
              <w:jc w:val="center"/>
              <w:rPr>
                <w:rFonts w:hint="eastAsia" w:ascii="宋体" w:hAnsi="宋体" w:eastAsia="宋体" w:cs="宋体"/>
                <w:color w:val="000000"/>
                <w:szCs w:val="21"/>
                <w:highlight w:val="none"/>
              </w:rPr>
            </w:pPr>
          </w:p>
        </w:tc>
        <w:tc>
          <w:tcPr>
            <w:tcW w:w="1440" w:type="dxa"/>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1A227E2A">
            <w:pPr>
              <w:pageBreakBefore w:val="0"/>
              <w:bidi w:val="0"/>
              <w:spacing w:line="360" w:lineRule="auto"/>
              <w:jc w:val="center"/>
              <w:rPr>
                <w:rFonts w:hint="eastAsia" w:ascii="宋体" w:hAnsi="宋体" w:eastAsia="宋体" w:cs="宋体"/>
                <w:color w:val="000000"/>
                <w:szCs w:val="21"/>
                <w:highlight w:val="none"/>
              </w:rPr>
            </w:pPr>
          </w:p>
        </w:tc>
        <w:tc>
          <w:tcPr>
            <w:tcW w:w="1305" w:type="dxa"/>
            <w:tcBorders>
              <w:top w:val="single" w:color="000000" w:sz="6" w:space="0"/>
              <w:left w:val="single" w:color="000000" w:sz="4" w:space="0"/>
              <w:bottom w:val="single" w:color="000000" w:sz="6" w:space="0"/>
              <w:right w:val="single" w:color="000000" w:sz="6" w:space="0"/>
            </w:tcBorders>
            <w:tcMar>
              <w:top w:w="28" w:type="dxa"/>
              <w:left w:w="28" w:type="dxa"/>
              <w:bottom w:w="28" w:type="dxa"/>
              <w:right w:w="28" w:type="dxa"/>
            </w:tcMar>
            <w:vAlign w:val="center"/>
          </w:tcPr>
          <w:p w14:paraId="384ED1C6">
            <w:pPr>
              <w:pageBreakBefore w:val="0"/>
              <w:bidi w:val="0"/>
              <w:spacing w:line="360" w:lineRule="auto"/>
              <w:jc w:val="center"/>
              <w:rPr>
                <w:rFonts w:hint="eastAsia" w:ascii="宋体" w:hAnsi="宋体" w:eastAsia="宋体" w:cs="宋体"/>
                <w:color w:val="000000"/>
                <w:szCs w:val="21"/>
                <w:highlight w:val="none"/>
              </w:rPr>
            </w:pPr>
          </w:p>
        </w:tc>
        <w:tc>
          <w:tcPr>
            <w:tcW w:w="1012" w:type="dxa"/>
            <w:tcBorders>
              <w:top w:val="single" w:color="000000" w:sz="6"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42D25B77">
            <w:pPr>
              <w:pageBreakBefore w:val="0"/>
              <w:bidi w:val="0"/>
              <w:spacing w:line="360" w:lineRule="auto"/>
              <w:jc w:val="center"/>
              <w:rPr>
                <w:rFonts w:hint="eastAsia" w:ascii="宋体" w:hAnsi="宋体" w:eastAsia="宋体" w:cs="宋体"/>
                <w:color w:val="000000"/>
                <w:szCs w:val="21"/>
                <w:highlight w:val="none"/>
              </w:rPr>
            </w:pPr>
          </w:p>
        </w:tc>
      </w:tr>
      <w:tr w14:paraId="38BD40A2">
        <w:tblPrEx>
          <w:tblCellMar>
            <w:top w:w="0" w:type="dxa"/>
            <w:left w:w="0" w:type="dxa"/>
            <w:bottom w:w="0" w:type="dxa"/>
            <w:right w:w="0" w:type="dxa"/>
          </w:tblCellMar>
        </w:tblPrEx>
        <w:trPr>
          <w:trHeight w:val="340" w:hRule="atLeast"/>
        </w:trPr>
        <w:tc>
          <w:tcPr>
            <w:tcW w:w="701" w:type="dxa"/>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2E3C768E">
            <w:pPr>
              <w:pageBreakBefore w:val="0"/>
              <w:bidi w:val="0"/>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w:t>
            </w:r>
          </w:p>
        </w:tc>
        <w:tc>
          <w:tcPr>
            <w:tcW w:w="1254" w:type="dxa"/>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609CF263">
            <w:pPr>
              <w:pageBreakBefore w:val="0"/>
              <w:tabs>
                <w:tab w:val="center" w:pos="1694"/>
              </w:tabs>
              <w:bidi w:val="0"/>
              <w:spacing w:line="360" w:lineRule="auto"/>
              <w:jc w:val="center"/>
              <w:rPr>
                <w:rFonts w:hint="eastAsia" w:ascii="宋体" w:hAnsi="宋体" w:eastAsia="宋体" w:cs="宋体"/>
                <w:color w:val="000000"/>
                <w:szCs w:val="21"/>
                <w:highlight w:val="none"/>
              </w:rPr>
            </w:pPr>
          </w:p>
        </w:tc>
        <w:tc>
          <w:tcPr>
            <w:tcW w:w="1109" w:type="dxa"/>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000BA0C7">
            <w:pPr>
              <w:pageBreakBefore w:val="0"/>
              <w:bidi w:val="0"/>
              <w:spacing w:line="360" w:lineRule="auto"/>
              <w:jc w:val="center"/>
              <w:rPr>
                <w:rFonts w:hint="eastAsia" w:ascii="宋体" w:hAnsi="宋体" w:eastAsia="宋体" w:cs="宋体"/>
                <w:color w:val="000000"/>
                <w:szCs w:val="21"/>
                <w:highlight w:val="none"/>
              </w:rPr>
            </w:pPr>
          </w:p>
        </w:tc>
        <w:tc>
          <w:tcPr>
            <w:tcW w:w="1230" w:type="dxa"/>
            <w:tcBorders>
              <w:top w:val="single" w:color="000000" w:sz="6" w:space="0"/>
              <w:left w:val="single" w:color="auto" w:sz="4" w:space="0"/>
              <w:bottom w:val="single" w:color="000000" w:sz="6" w:space="0"/>
              <w:right w:val="single" w:color="auto" w:sz="4" w:space="0"/>
            </w:tcBorders>
            <w:vAlign w:val="center"/>
          </w:tcPr>
          <w:p w14:paraId="5923997B">
            <w:pPr>
              <w:pageBreakBefore w:val="0"/>
              <w:bidi w:val="0"/>
              <w:spacing w:line="360" w:lineRule="auto"/>
              <w:jc w:val="center"/>
              <w:rPr>
                <w:rFonts w:hint="eastAsia" w:ascii="宋体" w:hAnsi="宋体" w:eastAsia="宋体" w:cs="宋体"/>
                <w:color w:val="000000"/>
                <w:szCs w:val="21"/>
                <w:highlight w:val="none"/>
              </w:rPr>
            </w:pPr>
          </w:p>
        </w:tc>
        <w:tc>
          <w:tcPr>
            <w:tcW w:w="1095" w:type="dxa"/>
            <w:tcBorders>
              <w:top w:val="single" w:color="000000" w:sz="6" w:space="0"/>
              <w:left w:val="single" w:color="auto" w:sz="4" w:space="0"/>
              <w:bottom w:val="single" w:color="000000" w:sz="6" w:space="0"/>
              <w:right w:val="single" w:color="000000" w:sz="6" w:space="0"/>
            </w:tcBorders>
            <w:vAlign w:val="center"/>
          </w:tcPr>
          <w:p w14:paraId="45C3DD73">
            <w:pPr>
              <w:pageBreakBefore w:val="0"/>
              <w:bidi w:val="0"/>
              <w:spacing w:line="360" w:lineRule="auto"/>
              <w:jc w:val="center"/>
              <w:rPr>
                <w:rFonts w:hint="eastAsia" w:ascii="宋体" w:hAnsi="宋体" w:eastAsia="宋体" w:cs="宋体"/>
                <w:color w:val="000000"/>
                <w:szCs w:val="21"/>
                <w:highlight w:val="none"/>
              </w:rPr>
            </w:pPr>
          </w:p>
        </w:tc>
        <w:tc>
          <w:tcPr>
            <w:tcW w:w="1440" w:type="dxa"/>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06135D1F">
            <w:pPr>
              <w:pageBreakBefore w:val="0"/>
              <w:bidi w:val="0"/>
              <w:spacing w:line="360" w:lineRule="auto"/>
              <w:jc w:val="center"/>
              <w:rPr>
                <w:rFonts w:hint="eastAsia" w:ascii="宋体" w:hAnsi="宋体" w:eastAsia="宋体" w:cs="宋体"/>
                <w:color w:val="000000"/>
                <w:szCs w:val="21"/>
                <w:highlight w:val="none"/>
              </w:rPr>
            </w:pPr>
          </w:p>
        </w:tc>
        <w:tc>
          <w:tcPr>
            <w:tcW w:w="1305" w:type="dxa"/>
            <w:tcBorders>
              <w:top w:val="single" w:color="000000" w:sz="6" w:space="0"/>
              <w:left w:val="single" w:color="000000" w:sz="4" w:space="0"/>
              <w:bottom w:val="single" w:color="000000" w:sz="6" w:space="0"/>
              <w:right w:val="single" w:color="000000" w:sz="6" w:space="0"/>
            </w:tcBorders>
            <w:tcMar>
              <w:top w:w="28" w:type="dxa"/>
              <w:left w:w="28" w:type="dxa"/>
              <w:bottom w:w="28" w:type="dxa"/>
              <w:right w:w="28" w:type="dxa"/>
            </w:tcMar>
            <w:vAlign w:val="center"/>
          </w:tcPr>
          <w:p w14:paraId="2FE827A8">
            <w:pPr>
              <w:pageBreakBefore w:val="0"/>
              <w:bidi w:val="0"/>
              <w:spacing w:line="360" w:lineRule="auto"/>
              <w:jc w:val="center"/>
              <w:rPr>
                <w:rFonts w:hint="eastAsia" w:ascii="宋体" w:hAnsi="宋体" w:eastAsia="宋体" w:cs="宋体"/>
                <w:color w:val="000000"/>
                <w:szCs w:val="21"/>
                <w:highlight w:val="none"/>
              </w:rPr>
            </w:pPr>
          </w:p>
        </w:tc>
        <w:tc>
          <w:tcPr>
            <w:tcW w:w="1012" w:type="dxa"/>
            <w:tcBorders>
              <w:top w:val="single" w:color="000000" w:sz="6"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7846371D">
            <w:pPr>
              <w:pageBreakBefore w:val="0"/>
              <w:bidi w:val="0"/>
              <w:spacing w:line="360" w:lineRule="auto"/>
              <w:jc w:val="center"/>
              <w:rPr>
                <w:rFonts w:hint="eastAsia" w:ascii="宋体" w:hAnsi="宋体" w:eastAsia="宋体" w:cs="宋体"/>
                <w:color w:val="000000"/>
                <w:szCs w:val="21"/>
                <w:highlight w:val="none"/>
              </w:rPr>
            </w:pPr>
          </w:p>
        </w:tc>
      </w:tr>
      <w:tr w14:paraId="5F40BCE0">
        <w:tblPrEx>
          <w:tblCellMar>
            <w:top w:w="0" w:type="dxa"/>
            <w:left w:w="0" w:type="dxa"/>
            <w:bottom w:w="0" w:type="dxa"/>
            <w:right w:w="0" w:type="dxa"/>
          </w:tblCellMar>
        </w:tblPrEx>
        <w:trPr>
          <w:trHeight w:val="340" w:hRule="atLeast"/>
        </w:trPr>
        <w:tc>
          <w:tcPr>
            <w:tcW w:w="701" w:type="dxa"/>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4F654C4F">
            <w:pPr>
              <w:pageBreakBefore w:val="0"/>
              <w:bidi w:val="0"/>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w:t>
            </w:r>
          </w:p>
        </w:tc>
        <w:tc>
          <w:tcPr>
            <w:tcW w:w="1254" w:type="dxa"/>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7C2D5B25">
            <w:pPr>
              <w:pageBreakBefore w:val="0"/>
              <w:bidi w:val="0"/>
              <w:spacing w:line="360" w:lineRule="auto"/>
              <w:jc w:val="center"/>
              <w:rPr>
                <w:rFonts w:hint="eastAsia" w:ascii="宋体" w:hAnsi="宋体" w:eastAsia="宋体" w:cs="宋体"/>
                <w:color w:val="000000"/>
                <w:szCs w:val="21"/>
                <w:highlight w:val="none"/>
              </w:rPr>
            </w:pPr>
          </w:p>
        </w:tc>
        <w:tc>
          <w:tcPr>
            <w:tcW w:w="1109" w:type="dxa"/>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730EA295">
            <w:pPr>
              <w:pageBreakBefore w:val="0"/>
              <w:bidi w:val="0"/>
              <w:spacing w:line="360" w:lineRule="auto"/>
              <w:jc w:val="center"/>
              <w:rPr>
                <w:rFonts w:hint="eastAsia" w:ascii="宋体" w:hAnsi="宋体" w:eastAsia="宋体" w:cs="宋体"/>
                <w:color w:val="000000"/>
                <w:szCs w:val="21"/>
                <w:highlight w:val="none"/>
              </w:rPr>
            </w:pPr>
          </w:p>
        </w:tc>
        <w:tc>
          <w:tcPr>
            <w:tcW w:w="1230" w:type="dxa"/>
            <w:tcBorders>
              <w:top w:val="single" w:color="000000" w:sz="6" w:space="0"/>
              <w:left w:val="single" w:color="auto" w:sz="4" w:space="0"/>
              <w:bottom w:val="single" w:color="000000" w:sz="6" w:space="0"/>
              <w:right w:val="single" w:color="auto" w:sz="4" w:space="0"/>
            </w:tcBorders>
            <w:vAlign w:val="center"/>
          </w:tcPr>
          <w:p w14:paraId="13802FFC">
            <w:pPr>
              <w:pageBreakBefore w:val="0"/>
              <w:bidi w:val="0"/>
              <w:spacing w:line="360" w:lineRule="auto"/>
              <w:jc w:val="center"/>
              <w:rPr>
                <w:rFonts w:hint="eastAsia" w:ascii="宋体" w:hAnsi="宋体" w:eastAsia="宋体" w:cs="宋体"/>
                <w:color w:val="000000"/>
                <w:szCs w:val="21"/>
                <w:highlight w:val="none"/>
              </w:rPr>
            </w:pPr>
          </w:p>
        </w:tc>
        <w:tc>
          <w:tcPr>
            <w:tcW w:w="1095" w:type="dxa"/>
            <w:tcBorders>
              <w:top w:val="single" w:color="000000" w:sz="6" w:space="0"/>
              <w:left w:val="single" w:color="auto" w:sz="4" w:space="0"/>
              <w:bottom w:val="single" w:color="000000" w:sz="6" w:space="0"/>
              <w:right w:val="single" w:color="000000" w:sz="6" w:space="0"/>
            </w:tcBorders>
            <w:vAlign w:val="center"/>
          </w:tcPr>
          <w:p w14:paraId="37BD81C8">
            <w:pPr>
              <w:pageBreakBefore w:val="0"/>
              <w:bidi w:val="0"/>
              <w:spacing w:line="360" w:lineRule="auto"/>
              <w:jc w:val="center"/>
              <w:rPr>
                <w:rFonts w:hint="eastAsia" w:ascii="宋体" w:hAnsi="宋体" w:eastAsia="宋体" w:cs="宋体"/>
                <w:color w:val="000000"/>
                <w:szCs w:val="21"/>
                <w:highlight w:val="none"/>
              </w:rPr>
            </w:pPr>
          </w:p>
        </w:tc>
        <w:tc>
          <w:tcPr>
            <w:tcW w:w="1440" w:type="dxa"/>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7C28A813">
            <w:pPr>
              <w:pageBreakBefore w:val="0"/>
              <w:bidi w:val="0"/>
              <w:spacing w:line="360" w:lineRule="auto"/>
              <w:jc w:val="center"/>
              <w:rPr>
                <w:rFonts w:hint="eastAsia" w:ascii="宋体" w:hAnsi="宋体" w:eastAsia="宋体" w:cs="宋体"/>
                <w:color w:val="000000"/>
                <w:szCs w:val="21"/>
                <w:highlight w:val="none"/>
              </w:rPr>
            </w:pPr>
          </w:p>
        </w:tc>
        <w:tc>
          <w:tcPr>
            <w:tcW w:w="1305" w:type="dxa"/>
            <w:tcBorders>
              <w:top w:val="single" w:color="000000" w:sz="6" w:space="0"/>
              <w:left w:val="single" w:color="000000" w:sz="4" w:space="0"/>
              <w:bottom w:val="single" w:color="000000" w:sz="6" w:space="0"/>
              <w:right w:val="single" w:color="000000" w:sz="6" w:space="0"/>
            </w:tcBorders>
            <w:tcMar>
              <w:top w:w="28" w:type="dxa"/>
              <w:left w:w="28" w:type="dxa"/>
              <w:bottom w:w="28" w:type="dxa"/>
              <w:right w:w="28" w:type="dxa"/>
            </w:tcMar>
            <w:vAlign w:val="center"/>
          </w:tcPr>
          <w:p w14:paraId="3EC4D99D">
            <w:pPr>
              <w:pageBreakBefore w:val="0"/>
              <w:bidi w:val="0"/>
              <w:spacing w:line="360" w:lineRule="auto"/>
              <w:jc w:val="center"/>
              <w:rPr>
                <w:rFonts w:hint="eastAsia" w:ascii="宋体" w:hAnsi="宋体" w:eastAsia="宋体" w:cs="宋体"/>
                <w:color w:val="000000"/>
                <w:szCs w:val="21"/>
                <w:highlight w:val="none"/>
              </w:rPr>
            </w:pPr>
          </w:p>
        </w:tc>
        <w:tc>
          <w:tcPr>
            <w:tcW w:w="1012" w:type="dxa"/>
            <w:tcBorders>
              <w:top w:val="single" w:color="000000" w:sz="6"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20DD277D">
            <w:pPr>
              <w:pageBreakBefore w:val="0"/>
              <w:bidi w:val="0"/>
              <w:spacing w:line="360" w:lineRule="auto"/>
              <w:jc w:val="center"/>
              <w:rPr>
                <w:rFonts w:hint="eastAsia" w:ascii="宋体" w:hAnsi="宋体" w:eastAsia="宋体" w:cs="宋体"/>
                <w:color w:val="000000"/>
                <w:szCs w:val="21"/>
                <w:highlight w:val="none"/>
              </w:rPr>
            </w:pPr>
          </w:p>
        </w:tc>
      </w:tr>
      <w:tr w14:paraId="0B4B92BD">
        <w:tblPrEx>
          <w:tblCellMar>
            <w:top w:w="0" w:type="dxa"/>
            <w:left w:w="0" w:type="dxa"/>
            <w:bottom w:w="0" w:type="dxa"/>
            <w:right w:w="0" w:type="dxa"/>
          </w:tblCellMar>
        </w:tblPrEx>
        <w:trPr>
          <w:trHeight w:val="340" w:hRule="atLeast"/>
        </w:trPr>
        <w:tc>
          <w:tcPr>
            <w:tcW w:w="701" w:type="dxa"/>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519ACEBE">
            <w:pPr>
              <w:pageBreakBefore w:val="0"/>
              <w:bidi w:val="0"/>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p>
        </w:tc>
        <w:tc>
          <w:tcPr>
            <w:tcW w:w="1254" w:type="dxa"/>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3AFA220B">
            <w:pPr>
              <w:pageBreakBefore w:val="0"/>
              <w:bidi w:val="0"/>
              <w:spacing w:line="360" w:lineRule="auto"/>
              <w:jc w:val="center"/>
              <w:rPr>
                <w:rFonts w:hint="eastAsia" w:ascii="宋体" w:hAnsi="宋体" w:eastAsia="宋体" w:cs="宋体"/>
                <w:color w:val="000000"/>
                <w:szCs w:val="21"/>
                <w:highlight w:val="none"/>
              </w:rPr>
            </w:pPr>
          </w:p>
        </w:tc>
        <w:tc>
          <w:tcPr>
            <w:tcW w:w="1109" w:type="dxa"/>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28F8E3BA">
            <w:pPr>
              <w:pageBreakBefore w:val="0"/>
              <w:bidi w:val="0"/>
              <w:spacing w:line="360" w:lineRule="auto"/>
              <w:jc w:val="center"/>
              <w:rPr>
                <w:rFonts w:hint="eastAsia" w:ascii="宋体" w:hAnsi="宋体" w:eastAsia="宋体" w:cs="宋体"/>
                <w:color w:val="000000"/>
                <w:szCs w:val="21"/>
                <w:highlight w:val="none"/>
              </w:rPr>
            </w:pPr>
          </w:p>
        </w:tc>
        <w:tc>
          <w:tcPr>
            <w:tcW w:w="1230" w:type="dxa"/>
            <w:tcBorders>
              <w:top w:val="single" w:color="000000" w:sz="6" w:space="0"/>
              <w:left w:val="single" w:color="auto" w:sz="4" w:space="0"/>
              <w:bottom w:val="single" w:color="000000" w:sz="6" w:space="0"/>
              <w:right w:val="single" w:color="auto" w:sz="4" w:space="0"/>
            </w:tcBorders>
            <w:vAlign w:val="center"/>
          </w:tcPr>
          <w:p w14:paraId="6F452757">
            <w:pPr>
              <w:pageBreakBefore w:val="0"/>
              <w:bidi w:val="0"/>
              <w:spacing w:line="360" w:lineRule="auto"/>
              <w:jc w:val="center"/>
              <w:rPr>
                <w:rFonts w:hint="eastAsia" w:ascii="宋体" w:hAnsi="宋体" w:eastAsia="宋体" w:cs="宋体"/>
                <w:color w:val="000000"/>
                <w:szCs w:val="21"/>
                <w:highlight w:val="none"/>
              </w:rPr>
            </w:pPr>
          </w:p>
        </w:tc>
        <w:tc>
          <w:tcPr>
            <w:tcW w:w="1095" w:type="dxa"/>
            <w:tcBorders>
              <w:top w:val="single" w:color="000000" w:sz="6" w:space="0"/>
              <w:left w:val="single" w:color="auto" w:sz="4" w:space="0"/>
              <w:bottom w:val="single" w:color="000000" w:sz="6" w:space="0"/>
              <w:right w:val="single" w:color="000000" w:sz="6" w:space="0"/>
            </w:tcBorders>
            <w:vAlign w:val="center"/>
          </w:tcPr>
          <w:p w14:paraId="4B032D77">
            <w:pPr>
              <w:pageBreakBefore w:val="0"/>
              <w:bidi w:val="0"/>
              <w:spacing w:line="360" w:lineRule="auto"/>
              <w:jc w:val="center"/>
              <w:rPr>
                <w:rFonts w:hint="eastAsia" w:ascii="宋体" w:hAnsi="宋体" w:eastAsia="宋体" w:cs="宋体"/>
                <w:color w:val="000000"/>
                <w:szCs w:val="21"/>
                <w:highlight w:val="none"/>
              </w:rPr>
            </w:pPr>
          </w:p>
        </w:tc>
        <w:tc>
          <w:tcPr>
            <w:tcW w:w="1440" w:type="dxa"/>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53F4079E">
            <w:pPr>
              <w:pageBreakBefore w:val="0"/>
              <w:bidi w:val="0"/>
              <w:spacing w:line="360" w:lineRule="auto"/>
              <w:jc w:val="center"/>
              <w:rPr>
                <w:rFonts w:hint="eastAsia" w:ascii="宋体" w:hAnsi="宋体" w:eastAsia="宋体" w:cs="宋体"/>
                <w:color w:val="000000"/>
                <w:szCs w:val="21"/>
                <w:highlight w:val="none"/>
              </w:rPr>
            </w:pPr>
          </w:p>
        </w:tc>
        <w:tc>
          <w:tcPr>
            <w:tcW w:w="1305" w:type="dxa"/>
            <w:tcBorders>
              <w:top w:val="single" w:color="000000" w:sz="6" w:space="0"/>
              <w:left w:val="single" w:color="000000" w:sz="4" w:space="0"/>
              <w:bottom w:val="single" w:color="000000" w:sz="6" w:space="0"/>
              <w:right w:val="single" w:color="000000" w:sz="6" w:space="0"/>
            </w:tcBorders>
            <w:tcMar>
              <w:top w:w="28" w:type="dxa"/>
              <w:left w:w="28" w:type="dxa"/>
              <w:bottom w:w="28" w:type="dxa"/>
              <w:right w:w="28" w:type="dxa"/>
            </w:tcMar>
            <w:vAlign w:val="center"/>
          </w:tcPr>
          <w:p w14:paraId="53D52CFC">
            <w:pPr>
              <w:pageBreakBefore w:val="0"/>
              <w:bidi w:val="0"/>
              <w:spacing w:line="360" w:lineRule="auto"/>
              <w:jc w:val="center"/>
              <w:rPr>
                <w:rFonts w:hint="eastAsia" w:ascii="宋体" w:hAnsi="宋体" w:eastAsia="宋体" w:cs="宋体"/>
                <w:color w:val="000000"/>
                <w:szCs w:val="21"/>
                <w:highlight w:val="none"/>
              </w:rPr>
            </w:pPr>
          </w:p>
        </w:tc>
        <w:tc>
          <w:tcPr>
            <w:tcW w:w="1012" w:type="dxa"/>
            <w:tcBorders>
              <w:top w:val="single" w:color="000000" w:sz="6"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342BB1AA">
            <w:pPr>
              <w:pageBreakBefore w:val="0"/>
              <w:bidi w:val="0"/>
              <w:spacing w:line="360" w:lineRule="auto"/>
              <w:jc w:val="center"/>
              <w:rPr>
                <w:rFonts w:hint="eastAsia" w:ascii="宋体" w:hAnsi="宋体" w:eastAsia="宋体" w:cs="宋体"/>
                <w:color w:val="000000"/>
                <w:szCs w:val="21"/>
                <w:highlight w:val="none"/>
              </w:rPr>
            </w:pPr>
          </w:p>
        </w:tc>
      </w:tr>
      <w:tr w14:paraId="280B143B">
        <w:tblPrEx>
          <w:tblCellMar>
            <w:top w:w="0" w:type="dxa"/>
            <w:left w:w="0" w:type="dxa"/>
            <w:bottom w:w="0" w:type="dxa"/>
            <w:right w:w="0" w:type="dxa"/>
          </w:tblCellMar>
        </w:tblPrEx>
        <w:trPr>
          <w:trHeight w:val="340" w:hRule="atLeast"/>
        </w:trPr>
        <w:tc>
          <w:tcPr>
            <w:tcW w:w="9146" w:type="dxa"/>
            <w:gridSpan w:val="8"/>
            <w:tcBorders>
              <w:top w:val="single" w:color="000000" w:sz="6" w:space="0"/>
              <w:left w:val="single" w:color="000000" w:sz="4" w:space="0"/>
              <w:bottom w:val="double" w:color="000000" w:sz="4" w:space="0"/>
              <w:right w:val="double" w:color="000000" w:sz="4" w:space="0"/>
            </w:tcBorders>
            <w:tcMar>
              <w:top w:w="28" w:type="dxa"/>
              <w:left w:w="28" w:type="dxa"/>
              <w:bottom w:w="28" w:type="dxa"/>
              <w:right w:w="28" w:type="dxa"/>
            </w:tcMar>
            <w:vAlign w:val="center"/>
          </w:tcPr>
          <w:p w14:paraId="6D49172D">
            <w:pPr>
              <w:pageBreakBefore w:val="0"/>
              <w:bidi w:val="0"/>
              <w:spacing w:line="360" w:lineRule="auto"/>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大写：                                        （小写）¥：</w:t>
            </w:r>
          </w:p>
        </w:tc>
      </w:tr>
    </w:tbl>
    <w:p w14:paraId="4C13F114">
      <w:pPr>
        <w:pageBreakBefore w:val="0"/>
        <w:bidi w:val="0"/>
        <w:snapToGrid w:val="0"/>
        <w:spacing w:line="360" w:lineRule="auto"/>
        <w:rPr>
          <w:rFonts w:hint="eastAsia" w:ascii="宋体" w:hAnsi="宋体" w:eastAsia="宋体" w:cs="宋体"/>
          <w:sz w:val="24"/>
          <w:highlight w:val="none"/>
        </w:rPr>
      </w:pPr>
    </w:p>
    <w:p w14:paraId="34145758">
      <w:pPr>
        <w:pageBreakBefore w:val="0"/>
        <w:bidi w:val="0"/>
        <w:snapToGrid w:val="0"/>
        <w:spacing w:line="360" w:lineRule="auto"/>
        <w:jc w:val="center"/>
        <w:rPr>
          <w:rFonts w:hint="eastAsia" w:ascii="宋体" w:hAnsi="宋体" w:eastAsia="宋体" w:cs="宋体"/>
          <w:b/>
          <w:bCs/>
          <w:sz w:val="24"/>
          <w:highlight w:val="none"/>
        </w:rPr>
      </w:pPr>
    </w:p>
    <w:p w14:paraId="0B67A4F6">
      <w:pPr>
        <w:pageBreakBefore w:val="0"/>
        <w:bidi w:val="0"/>
        <w:snapToGrid w:val="0"/>
        <w:spacing w:line="360" w:lineRule="auto"/>
        <w:jc w:val="center"/>
        <w:rPr>
          <w:rFonts w:hint="eastAsia" w:ascii="宋体" w:hAnsi="宋体" w:eastAsia="宋体" w:cs="宋体"/>
          <w:b/>
          <w:bCs/>
          <w:sz w:val="24"/>
          <w:highlight w:val="none"/>
        </w:rPr>
      </w:pPr>
    </w:p>
    <w:p w14:paraId="22302A9D">
      <w:pPr>
        <w:pageBreakBefore w:val="0"/>
        <w:bidi w:val="0"/>
        <w:snapToGrid w:val="0"/>
        <w:spacing w:line="360" w:lineRule="auto"/>
        <w:jc w:val="center"/>
        <w:rPr>
          <w:rFonts w:hint="eastAsia" w:ascii="宋体" w:hAnsi="宋体" w:eastAsia="宋体" w:cs="宋体"/>
          <w:b/>
          <w:bCs/>
          <w:sz w:val="24"/>
          <w:highlight w:val="none"/>
        </w:rPr>
      </w:pPr>
    </w:p>
    <w:p w14:paraId="2CDF9A2F">
      <w:pPr>
        <w:pageBreakBefore w:val="0"/>
        <w:bidi w:val="0"/>
        <w:snapToGrid w:val="0"/>
        <w:spacing w:line="360" w:lineRule="auto"/>
        <w:ind w:firstLine="4320" w:firstLineChars="1800"/>
        <w:rPr>
          <w:rFonts w:hint="eastAsia" w:ascii="宋体" w:hAnsi="宋体" w:eastAsia="宋体" w:cs="宋体"/>
          <w:sz w:val="24"/>
          <w:highlight w:val="none"/>
        </w:rPr>
      </w:pPr>
      <w:r>
        <w:rPr>
          <w:rFonts w:hint="eastAsia" w:ascii="宋体" w:hAnsi="宋体" w:eastAsia="宋体" w:cs="宋体"/>
          <w:sz w:val="24"/>
          <w:highlight w:val="none"/>
        </w:rPr>
        <w:t>供应商（公章）：</w:t>
      </w:r>
    </w:p>
    <w:p w14:paraId="192ACC0D">
      <w:pPr>
        <w:pStyle w:val="7"/>
        <w:pageBreakBefore w:val="0"/>
        <w:bidi w:val="0"/>
        <w:spacing w:line="360" w:lineRule="auto"/>
        <w:jc w:val="right"/>
        <w:rPr>
          <w:rFonts w:hint="eastAsia" w:ascii="宋体" w:hAnsi="宋体" w:eastAsia="宋体" w:cs="宋体"/>
          <w:color w:val="auto"/>
          <w:highlight w:val="none"/>
        </w:rPr>
      </w:pPr>
      <w:r>
        <w:rPr>
          <w:rFonts w:hint="eastAsia" w:ascii="宋体" w:hAnsi="宋体" w:eastAsia="宋体" w:cs="宋体"/>
          <w:color w:val="auto"/>
          <w:highlight w:val="none"/>
        </w:rPr>
        <w:t>法定代表人/被授权人（签字或盖章）：</w:t>
      </w:r>
    </w:p>
    <w:p w14:paraId="19E2D36F">
      <w:pPr>
        <w:pageBreakBefore w:val="0"/>
        <w:bidi w:val="0"/>
        <w:spacing w:line="360" w:lineRule="auto"/>
        <w:jc w:val="right"/>
        <w:rPr>
          <w:rFonts w:hint="eastAsia" w:ascii="宋体" w:hAnsi="宋体" w:eastAsia="宋体" w:cs="宋体"/>
          <w:sz w:val="24"/>
          <w:highlight w:val="none"/>
        </w:rPr>
      </w:pPr>
      <w:r>
        <w:rPr>
          <w:rFonts w:hint="eastAsia" w:ascii="宋体" w:hAnsi="宋体" w:eastAsia="宋体" w:cs="宋体"/>
          <w:sz w:val="24"/>
          <w:highlight w:val="none"/>
        </w:rPr>
        <w:t>年    月      日</w:t>
      </w:r>
    </w:p>
    <w:p w14:paraId="2DD61275">
      <w:pPr>
        <w:pageBreakBefore w:val="0"/>
        <w:bidi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br w:type="page"/>
      </w:r>
    </w:p>
    <w:bookmarkEnd w:id="55"/>
    <w:p w14:paraId="1541A84A">
      <w:pPr>
        <w:pageBreakBefore w:val="0"/>
        <w:bidi w:val="0"/>
        <w:snapToGrid w:val="0"/>
        <w:spacing w:line="360" w:lineRule="auto"/>
        <w:jc w:val="center"/>
        <w:rPr>
          <w:rFonts w:hint="eastAsia" w:ascii="宋体" w:hAnsi="宋体" w:eastAsia="宋体" w:cs="宋体"/>
          <w:b/>
          <w:bCs/>
          <w:sz w:val="28"/>
          <w:szCs w:val="28"/>
          <w:highlight w:val="none"/>
        </w:rPr>
      </w:pPr>
      <w:bookmarkStart w:id="56" w:name="OLE_LINK62"/>
      <w:r>
        <w:rPr>
          <w:rFonts w:hint="eastAsia" w:ascii="宋体" w:hAnsi="宋体" w:eastAsia="宋体" w:cs="宋体"/>
          <w:b/>
          <w:bCs/>
          <w:sz w:val="28"/>
          <w:szCs w:val="28"/>
          <w:highlight w:val="none"/>
        </w:rPr>
        <w:t>3.</w:t>
      </w:r>
      <w:r>
        <w:rPr>
          <w:rFonts w:hint="eastAsia" w:ascii="宋体" w:hAnsi="宋体" w:eastAsia="宋体" w:cs="宋体"/>
          <w:b/>
          <w:bCs/>
          <w:sz w:val="28"/>
          <w:szCs w:val="28"/>
          <w:highlight w:val="none"/>
          <w:lang w:val="en-US" w:eastAsia="zh-CN"/>
        </w:rPr>
        <w:t>3</w:t>
      </w:r>
      <w:r>
        <w:rPr>
          <w:rFonts w:hint="eastAsia" w:ascii="宋体" w:hAnsi="宋体" w:eastAsia="宋体" w:cs="宋体"/>
          <w:b/>
          <w:bCs/>
          <w:sz w:val="28"/>
          <w:szCs w:val="28"/>
          <w:highlight w:val="none"/>
        </w:rPr>
        <w:t>技术响应偏离表</w:t>
      </w:r>
    </w:p>
    <w:p w14:paraId="0198CA5F">
      <w:pPr>
        <w:pageBreakBefore w:val="0"/>
        <w:bidi w:val="0"/>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项目名称：</w:t>
      </w:r>
    </w:p>
    <w:p w14:paraId="03953905">
      <w:pPr>
        <w:pageBreakBefore w:val="0"/>
        <w:bidi w:val="0"/>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项目编号：</w:t>
      </w:r>
    </w:p>
    <w:tbl>
      <w:tblPr>
        <w:tblStyle w:val="21"/>
        <w:tblpPr w:vertAnchor="text" w:horzAnchor="margin" w:tblpY="26"/>
        <w:tblW w:w="8817" w:type="dxa"/>
        <w:tblInd w:w="0" w:type="dxa"/>
        <w:tblLayout w:type="fixed"/>
        <w:tblCellMar>
          <w:top w:w="0" w:type="dxa"/>
          <w:left w:w="0" w:type="dxa"/>
          <w:bottom w:w="0" w:type="dxa"/>
          <w:right w:w="0" w:type="dxa"/>
        </w:tblCellMar>
      </w:tblPr>
      <w:tblGrid>
        <w:gridCol w:w="701"/>
        <w:gridCol w:w="1254"/>
        <w:gridCol w:w="2468"/>
        <w:gridCol w:w="2409"/>
        <w:gridCol w:w="1985"/>
      </w:tblGrid>
      <w:tr w14:paraId="3A3106C0">
        <w:tblPrEx>
          <w:tblCellMar>
            <w:top w:w="0" w:type="dxa"/>
            <w:left w:w="0" w:type="dxa"/>
            <w:bottom w:w="0" w:type="dxa"/>
            <w:right w:w="0" w:type="dxa"/>
          </w:tblCellMar>
        </w:tblPrEx>
        <w:trPr>
          <w:trHeight w:val="340" w:hRule="atLeast"/>
        </w:trPr>
        <w:tc>
          <w:tcPr>
            <w:tcW w:w="701" w:type="dxa"/>
            <w:tcBorders>
              <w:top w:val="double" w:color="000000" w:sz="4"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167FCF1D">
            <w:pPr>
              <w:pageBreakBefore w:val="0"/>
              <w:bidi w:val="0"/>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序号</w:t>
            </w:r>
          </w:p>
        </w:tc>
        <w:tc>
          <w:tcPr>
            <w:tcW w:w="1254" w:type="dxa"/>
            <w:tcBorders>
              <w:top w:val="double" w:color="000000" w:sz="4"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40394169">
            <w:pPr>
              <w:pageBreakBefore w:val="0"/>
              <w:bidi w:val="0"/>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产品名称</w:t>
            </w:r>
          </w:p>
        </w:tc>
        <w:tc>
          <w:tcPr>
            <w:tcW w:w="2468" w:type="dxa"/>
            <w:tcBorders>
              <w:top w:val="double" w:color="000000" w:sz="4" w:space="0"/>
              <w:left w:val="single" w:color="auto" w:sz="4" w:space="0"/>
              <w:bottom w:val="single" w:color="000000" w:sz="6" w:space="0"/>
              <w:right w:val="single" w:color="000000" w:sz="6" w:space="0"/>
            </w:tcBorders>
            <w:vAlign w:val="center"/>
          </w:tcPr>
          <w:p w14:paraId="6EBA45AD">
            <w:pPr>
              <w:pageBreakBefore w:val="0"/>
              <w:bidi w:val="0"/>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谈判文件技术要求</w:t>
            </w:r>
          </w:p>
        </w:tc>
        <w:tc>
          <w:tcPr>
            <w:tcW w:w="2409" w:type="dxa"/>
            <w:tcBorders>
              <w:top w:val="double" w:color="000000" w:sz="4"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2E2ABAB6">
            <w:pPr>
              <w:pageBreakBefore w:val="0"/>
              <w:bidi w:val="0"/>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响应文件技术要求</w:t>
            </w:r>
          </w:p>
        </w:tc>
        <w:tc>
          <w:tcPr>
            <w:tcW w:w="1985" w:type="dxa"/>
            <w:tcBorders>
              <w:top w:val="double" w:color="000000" w:sz="4" w:space="0"/>
              <w:left w:val="single" w:color="000000" w:sz="4" w:space="0"/>
              <w:bottom w:val="single" w:color="000000" w:sz="6" w:space="0"/>
              <w:right w:val="single" w:color="000000" w:sz="6" w:space="0"/>
            </w:tcBorders>
            <w:tcMar>
              <w:top w:w="28" w:type="dxa"/>
              <w:left w:w="28" w:type="dxa"/>
              <w:bottom w:w="28" w:type="dxa"/>
              <w:right w:w="28" w:type="dxa"/>
            </w:tcMar>
            <w:vAlign w:val="center"/>
          </w:tcPr>
          <w:p w14:paraId="7CFAE428">
            <w:pPr>
              <w:pageBreakBefore w:val="0"/>
              <w:bidi w:val="0"/>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响应情况</w:t>
            </w:r>
          </w:p>
        </w:tc>
      </w:tr>
      <w:tr w14:paraId="4A88BAC4">
        <w:tblPrEx>
          <w:tblCellMar>
            <w:top w:w="0" w:type="dxa"/>
            <w:left w:w="0" w:type="dxa"/>
            <w:bottom w:w="0" w:type="dxa"/>
            <w:right w:w="0" w:type="dxa"/>
          </w:tblCellMar>
        </w:tblPrEx>
        <w:trPr>
          <w:trHeight w:val="340" w:hRule="atLeast"/>
        </w:trPr>
        <w:tc>
          <w:tcPr>
            <w:tcW w:w="701" w:type="dxa"/>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05DCD144">
            <w:pPr>
              <w:pageBreakBefore w:val="0"/>
              <w:bidi w:val="0"/>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w:t>
            </w:r>
          </w:p>
        </w:tc>
        <w:tc>
          <w:tcPr>
            <w:tcW w:w="1254" w:type="dxa"/>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0354C532">
            <w:pPr>
              <w:pageBreakBefore w:val="0"/>
              <w:bidi w:val="0"/>
              <w:spacing w:line="360" w:lineRule="auto"/>
              <w:jc w:val="center"/>
              <w:rPr>
                <w:rFonts w:hint="eastAsia" w:ascii="宋体" w:hAnsi="宋体" w:eastAsia="宋体" w:cs="宋体"/>
                <w:color w:val="000000"/>
                <w:szCs w:val="21"/>
                <w:highlight w:val="none"/>
              </w:rPr>
            </w:pPr>
          </w:p>
        </w:tc>
        <w:tc>
          <w:tcPr>
            <w:tcW w:w="2468" w:type="dxa"/>
            <w:tcBorders>
              <w:top w:val="single" w:color="000000" w:sz="6" w:space="0"/>
              <w:left w:val="single" w:color="auto" w:sz="4" w:space="0"/>
              <w:bottom w:val="single" w:color="000000" w:sz="6" w:space="0"/>
              <w:right w:val="single" w:color="000000" w:sz="6" w:space="0"/>
            </w:tcBorders>
            <w:vAlign w:val="center"/>
          </w:tcPr>
          <w:p w14:paraId="2B79380F">
            <w:pPr>
              <w:pageBreakBefore w:val="0"/>
              <w:bidi w:val="0"/>
              <w:spacing w:line="360" w:lineRule="auto"/>
              <w:jc w:val="center"/>
              <w:rPr>
                <w:rFonts w:hint="eastAsia" w:ascii="宋体" w:hAnsi="宋体" w:eastAsia="宋体" w:cs="宋体"/>
                <w:color w:val="000000"/>
                <w:szCs w:val="21"/>
                <w:highlight w:val="none"/>
              </w:rPr>
            </w:pPr>
          </w:p>
        </w:tc>
        <w:tc>
          <w:tcPr>
            <w:tcW w:w="2409" w:type="dxa"/>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64687482">
            <w:pPr>
              <w:pageBreakBefore w:val="0"/>
              <w:bidi w:val="0"/>
              <w:spacing w:line="360" w:lineRule="auto"/>
              <w:jc w:val="center"/>
              <w:rPr>
                <w:rFonts w:hint="eastAsia" w:ascii="宋体" w:hAnsi="宋体" w:eastAsia="宋体" w:cs="宋体"/>
                <w:color w:val="000000"/>
                <w:szCs w:val="21"/>
                <w:highlight w:val="none"/>
              </w:rPr>
            </w:pPr>
          </w:p>
        </w:tc>
        <w:tc>
          <w:tcPr>
            <w:tcW w:w="1985" w:type="dxa"/>
            <w:tcBorders>
              <w:top w:val="single" w:color="000000" w:sz="6" w:space="0"/>
              <w:left w:val="single" w:color="000000" w:sz="4" w:space="0"/>
              <w:bottom w:val="single" w:color="000000" w:sz="6" w:space="0"/>
              <w:right w:val="single" w:color="000000" w:sz="6" w:space="0"/>
            </w:tcBorders>
            <w:tcMar>
              <w:top w:w="28" w:type="dxa"/>
              <w:left w:w="28" w:type="dxa"/>
              <w:bottom w:w="28" w:type="dxa"/>
              <w:right w:w="28" w:type="dxa"/>
            </w:tcMar>
            <w:vAlign w:val="center"/>
          </w:tcPr>
          <w:p w14:paraId="164A8FFF">
            <w:pPr>
              <w:pageBreakBefore w:val="0"/>
              <w:bidi w:val="0"/>
              <w:spacing w:line="360" w:lineRule="auto"/>
              <w:jc w:val="center"/>
              <w:rPr>
                <w:rFonts w:hint="eastAsia" w:ascii="宋体" w:hAnsi="宋体" w:eastAsia="宋体" w:cs="宋体"/>
                <w:color w:val="000000"/>
                <w:szCs w:val="21"/>
                <w:highlight w:val="none"/>
              </w:rPr>
            </w:pPr>
          </w:p>
        </w:tc>
      </w:tr>
      <w:tr w14:paraId="4FD3FBC5">
        <w:tblPrEx>
          <w:tblCellMar>
            <w:top w:w="0" w:type="dxa"/>
            <w:left w:w="0" w:type="dxa"/>
            <w:bottom w:w="0" w:type="dxa"/>
            <w:right w:w="0" w:type="dxa"/>
          </w:tblCellMar>
        </w:tblPrEx>
        <w:trPr>
          <w:trHeight w:val="340" w:hRule="atLeast"/>
        </w:trPr>
        <w:tc>
          <w:tcPr>
            <w:tcW w:w="701" w:type="dxa"/>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7A71BEFA">
            <w:pPr>
              <w:pageBreakBefore w:val="0"/>
              <w:bidi w:val="0"/>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w:t>
            </w:r>
          </w:p>
        </w:tc>
        <w:tc>
          <w:tcPr>
            <w:tcW w:w="1254" w:type="dxa"/>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78B86B7C">
            <w:pPr>
              <w:pageBreakBefore w:val="0"/>
              <w:tabs>
                <w:tab w:val="center" w:pos="1694"/>
              </w:tabs>
              <w:bidi w:val="0"/>
              <w:spacing w:line="360" w:lineRule="auto"/>
              <w:jc w:val="center"/>
              <w:rPr>
                <w:rFonts w:hint="eastAsia" w:ascii="宋体" w:hAnsi="宋体" w:eastAsia="宋体" w:cs="宋体"/>
                <w:color w:val="000000"/>
                <w:szCs w:val="21"/>
                <w:highlight w:val="none"/>
              </w:rPr>
            </w:pPr>
          </w:p>
        </w:tc>
        <w:tc>
          <w:tcPr>
            <w:tcW w:w="2468" w:type="dxa"/>
            <w:tcBorders>
              <w:top w:val="single" w:color="000000" w:sz="6" w:space="0"/>
              <w:left w:val="single" w:color="auto" w:sz="4" w:space="0"/>
              <w:bottom w:val="single" w:color="000000" w:sz="6" w:space="0"/>
              <w:right w:val="single" w:color="000000" w:sz="6" w:space="0"/>
            </w:tcBorders>
            <w:vAlign w:val="center"/>
          </w:tcPr>
          <w:p w14:paraId="11EE5709">
            <w:pPr>
              <w:pageBreakBefore w:val="0"/>
              <w:bidi w:val="0"/>
              <w:spacing w:line="360" w:lineRule="auto"/>
              <w:jc w:val="center"/>
              <w:rPr>
                <w:rFonts w:hint="eastAsia" w:ascii="宋体" w:hAnsi="宋体" w:eastAsia="宋体" w:cs="宋体"/>
                <w:color w:val="000000"/>
                <w:szCs w:val="21"/>
                <w:highlight w:val="none"/>
              </w:rPr>
            </w:pPr>
          </w:p>
        </w:tc>
        <w:tc>
          <w:tcPr>
            <w:tcW w:w="2409" w:type="dxa"/>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7F8DA857">
            <w:pPr>
              <w:pageBreakBefore w:val="0"/>
              <w:bidi w:val="0"/>
              <w:spacing w:line="360" w:lineRule="auto"/>
              <w:jc w:val="center"/>
              <w:rPr>
                <w:rFonts w:hint="eastAsia" w:ascii="宋体" w:hAnsi="宋体" w:eastAsia="宋体" w:cs="宋体"/>
                <w:color w:val="000000"/>
                <w:szCs w:val="21"/>
                <w:highlight w:val="none"/>
              </w:rPr>
            </w:pPr>
          </w:p>
        </w:tc>
        <w:tc>
          <w:tcPr>
            <w:tcW w:w="1985" w:type="dxa"/>
            <w:tcBorders>
              <w:top w:val="single" w:color="000000" w:sz="6" w:space="0"/>
              <w:left w:val="single" w:color="000000" w:sz="4" w:space="0"/>
              <w:bottom w:val="single" w:color="000000" w:sz="6" w:space="0"/>
              <w:right w:val="single" w:color="000000" w:sz="6" w:space="0"/>
            </w:tcBorders>
            <w:tcMar>
              <w:top w:w="28" w:type="dxa"/>
              <w:left w:w="28" w:type="dxa"/>
              <w:bottom w:w="28" w:type="dxa"/>
              <w:right w:w="28" w:type="dxa"/>
            </w:tcMar>
            <w:vAlign w:val="center"/>
          </w:tcPr>
          <w:p w14:paraId="78801B05">
            <w:pPr>
              <w:pageBreakBefore w:val="0"/>
              <w:bidi w:val="0"/>
              <w:spacing w:line="360" w:lineRule="auto"/>
              <w:jc w:val="center"/>
              <w:rPr>
                <w:rFonts w:hint="eastAsia" w:ascii="宋体" w:hAnsi="宋体" w:eastAsia="宋体" w:cs="宋体"/>
                <w:color w:val="000000"/>
                <w:szCs w:val="21"/>
                <w:highlight w:val="none"/>
              </w:rPr>
            </w:pPr>
          </w:p>
        </w:tc>
      </w:tr>
      <w:tr w14:paraId="60C54B5A">
        <w:tblPrEx>
          <w:tblCellMar>
            <w:top w:w="0" w:type="dxa"/>
            <w:left w:w="0" w:type="dxa"/>
            <w:bottom w:w="0" w:type="dxa"/>
            <w:right w:w="0" w:type="dxa"/>
          </w:tblCellMar>
        </w:tblPrEx>
        <w:trPr>
          <w:trHeight w:val="340" w:hRule="atLeast"/>
        </w:trPr>
        <w:tc>
          <w:tcPr>
            <w:tcW w:w="701" w:type="dxa"/>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126E893D">
            <w:pPr>
              <w:pageBreakBefore w:val="0"/>
              <w:bidi w:val="0"/>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w:t>
            </w:r>
          </w:p>
        </w:tc>
        <w:tc>
          <w:tcPr>
            <w:tcW w:w="1254" w:type="dxa"/>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3593A661">
            <w:pPr>
              <w:pageBreakBefore w:val="0"/>
              <w:bidi w:val="0"/>
              <w:spacing w:line="360" w:lineRule="auto"/>
              <w:jc w:val="center"/>
              <w:rPr>
                <w:rFonts w:hint="eastAsia" w:ascii="宋体" w:hAnsi="宋体" w:eastAsia="宋体" w:cs="宋体"/>
                <w:color w:val="000000"/>
                <w:szCs w:val="21"/>
                <w:highlight w:val="none"/>
              </w:rPr>
            </w:pPr>
          </w:p>
        </w:tc>
        <w:tc>
          <w:tcPr>
            <w:tcW w:w="2468" w:type="dxa"/>
            <w:tcBorders>
              <w:top w:val="single" w:color="000000" w:sz="6" w:space="0"/>
              <w:left w:val="single" w:color="auto" w:sz="4" w:space="0"/>
              <w:bottom w:val="single" w:color="000000" w:sz="6" w:space="0"/>
              <w:right w:val="single" w:color="000000" w:sz="6" w:space="0"/>
            </w:tcBorders>
            <w:vAlign w:val="center"/>
          </w:tcPr>
          <w:p w14:paraId="1F885D38">
            <w:pPr>
              <w:pageBreakBefore w:val="0"/>
              <w:bidi w:val="0"/>
              <w:spacing w:line="360" w:lineRule="auto"/>
              <w:jc w:val="center"/>
              <w:rPr>
                <w:rFonts w:hint="eastAsia" w:ascii="宋体" w:hAnsi="宋体" w:eastAsia="宋体" w:cs="宋体"/>
                <w:color w:val="000000"/>
                <w:szCs w:val="21"/>
                <w:highlight w:val="none"/>
              </w:rPr>
            </w:pPr>
          </w:p>
        </w:tc>
        <w:tc>
          <w:tcPr>
            <w:tcW w:w="2409" w:type="dxa"/>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4D6D02B0">
            <w:pPr>
              <w:pageBreakBefore w:val="0"/>
              <w:bidi w:val="0"/>
              <w:spacing w:line="360" w:lineRule="auto"/>
              <w:jc w:val="center"/>
              <w:rPr>
                <w:rFonts w:hint="eastAsia" w:ascii="宋体" w:hAnsi="宋体" w:eastAsia="宋体" w:cs="宋体"/>
                <w:color w:val="000000"/>
                <w:szCs w:val="21"/>
                <w:highlight w:val="none"/>
              </w:rPr>
            </w:pPr>
          </w:p>
        </w:tc>
        <w:tc>
          <w:tcPr>
            <w:tcW w:w="1985" w:type="dxa"/>
            <w:tcBorders>
              <w:top w:val="single" w:color="000000" w:sz="6" w:space="0"/>
              <w:left w:val="single" w:color="000000" w:sz="4" w:space="0"/>
              <w:bottom w:val="single" w:color="000000" w:sz="6" w:space="0"/>
              <w:right w:val="single" w:color="000000" w:sz="6" w:space="0"/>
            </w:tcBorders>
            <w:tcMar>
              <w:top w:w="28" w:type="dxa"/>
              <w:left w:w="28" w:type="dxa"/>
              <w:bottom w:w="28" w:type="dxa"/>
              <w:right w:w="28" w:type="dxa"/>
            </w:tcMar>
            <w:vAlign w:val="center"/>
          </w:tcPr>
          <w:p w14:paraId="6A0CEF81">
            <w:pPr>
              <w:pageBreakBefore w:val="0"/>
              <w:bidi w:val="0"/>
              <w:spacing w:line="360" w:lineRule="auto"/>
              <w:jc w:val="center"/>
              <w:rPr>
                <w:rFonts w:hint="eastAsia" w:ascii="宋体" w:hAnsi="宋体" w:eastAsia="宋体" w:cs="宋体"/>
                <w:color w:val="000000"/>
                <w:szCs w:val="21"/>
                <w:highlight w:val="none"/>
              </w:rPr>
            </w:pPr>
          </w:p>
        </w:tc>
      </w:tr>
      <w:tr w14:paraId="5FA44BEF">
        <w:tblPrEx>
          <w:tblCellMar>
            <w:top w:w="0" w:type="dxa"/>
            <w:left w:w="0" w:type="dxa"/>
            <w:bottom w:w="0" w:type="dxa"/>
            <w:right w:w="0" w:type="dxa"/>
          </w:tblCellMar>
        </w:tblPrEx>
        <w:trPr>
          <w:trHeight w:val="340" w:hRule="atLeast"/>
        </w:trPr>
        <w:tc>
          <w:tcPr>
            <w:tcW w:w="701" w:type="dxa"/>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0BE89AEF">
            <w:pPr>
              <w:pageBreakBefore w:val="0"/>
              <w:bidi w:val="0"/>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p>
        </w:tc>
        <w:tc>
          <w:tcPr>
            <w:tcW w:w="1254" w:type="dxa"/>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758C7121">
            <w:pPr>
              <w:pageBreakBefore w:val="0"/>
              <w:bidi w:val="0"/>
              <w:spacing w:line="360" w:lineRule="auto"/>
              <w:jc w:val="center"/>
              <w:rPr>
                <w:rFonts w:hint="eastAsia" w:ascii="宋体" w:hAnsi="宋体" w:eastAsia="宋体" w:cs="宋体"/>
                <w:color w:val="000000"/>
                <w:szCs w:val="21"/>
                <w:highlight w:val="none"/>
              </w:rPr>
            </w:pPr>
          </w:p>
        </w:tc>
        <w:tc>
          <w:tcPr>
            <w:tcW w:w="2468" w:type="dxa"/>
            <w:tcBorders>
              <w:top w:val="single" w:color="000000" w:sz="6" w:space="0"/>
              <w:left w:val="single" w:color="auto" w:sz="4" w:space="0"/>
              <w:bottom w:val="single" w:color="000000" w:sz="6" w:space="0"/>
              <w:right w:val="single" w:color="000000" w:sz="6" w:space="0"/>
            </w:tcBorders>
            <w:vAlign w:val="center"/>
          </w:tcPr>
          <w:p w14:paraId="183FF4FD">
            <w:pPr>
              <w:pageBreakBefore w:val="0"/>
              <w:bidi w:val="0"/>
              <w:spacing w:line="360" w:lineRule="auto"/>
              <w:jc w:val="center"/>
              <w:rPr>
                <w:rFonts w:hint="eastAsia" w:ascii="宋体" w:hAnsi="宋体" w:eastAsia="宋体" w:cs="宋体"/>
                <w:color w:val="000000"/>
                <w:szCs w:val="21"/>
                <w:highlight w:val="none"/>
              </w:rPr>
            </w:pPr>
          </w:p>
        </w:tc>
        <w:tc>
          <w:tcPr>
            <w:tcW w:w="2409" w:type="dxa"/>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68A63BFD">
            <w:pPr>
              <w:pageBreakBefore w:val="0"/>
              <w:bidi w:val="0"/>
              <w:spacing w:line="360" w:lineRule="auto"/>
              <w:jc w:val="center"/>
              <w:rPr>
                <w:rFonts w:hint="eastAsia" w:ascii="宋体" w:hAnsi="宋体" w:eastAsia="宋体" w:cs="宋体"/>
                <w:color w:val="000000"/>
                <w:szCs w:val="21"/>
                <w:highlight w:val="none"/>
              </w:rPr>
            </w:pPr>
          </w:p>
        </w:tc>
        <w:tc>
          <w:tcPr>
            <w:tcW w:w="1985" w:type="dxa"/>
            <w:tcBorders>
              <w:top w:val="single" w:color="000000" w:sz="6" w:space="0"/>
              <w:left w:val="single" w:color="000000" w:sz="4" w:space="0"/>
              <w:bottom w:val="single" w:color="000000" w:sz="6" w:space="0"/>
              <w:right w:val="single" w:color="000000" w:sz="6" w:space="0"/>
            </w:tcBorders>
            <w:tcMar>
              <w:top w:w="28" w:type="dxa"/>
              <w:left w:w="28" w:type="dxa"/>
              <w:bottom w:w="28" w:type="dxa"/>
              <w:right w:w="28" w:type="dxa"/>
            </w:tcMar>
            <w:vAlign w:val="center"/>
          </w:tcPr>
          <w:p w14:paraId="4C584DF3">
            <w:pPr>
              <w:pageBreakBefore w:val="0"/>
              <w:bidi w:val="0"/>
              <w:spacing w:line="360" w:lineRule="auto"/>
              <w:jc w:val="center"/>
              <w:rPr>
                <w:rFonts w:hint="eastAsia" w:ascii="宋体" w:hAnsi="宋体" w:eastAsia="宋体" w:cs="宋体"/>
                <w:color w:val="000000"/>
                <w:szCs w:val="21"/>
                <w:highlight w:val="none"/>
              </w:rPr>
            </w:pPr>
          </w:p>
        </w:tc>
      </w:tr>
    </w:tbl>
    <w:p w14:paraId="6141AADA">
      <w:pPr>
        <w:pageBreakBefore w:val="0"/>
        <w:widowControl/>
        <w:bidi w:val="0"/>
        <w:spacing w:line="360" w:lineRule="auto"/>
        <w:jc w:val="left"/>
        <w:rPr>
          <w:rFonts w:hint="eastAsia" w:ascii="宋体" w:hAnsi="宋体" w:eastAsia="宋体" w:cs="宋体"/>
          <w:sz w:val="24"/>
          <w:highlight w:val="none"/>
        </w:rPr>
      </w:pPr>
    </w:p>
    <w:p w14:paraId="6E201F7E">
      <w:pPr>
        <w:pageBreakBefore w:val="0"/>
        <w:widowControl/>
        <w:bidi w:val="0"/>
        <w:spacing w:line="360" w:lineRule="auto"/>
        <w:jc w:val="left"/>
        <w:rPr>
          <w:rFonts w:hint="eastAsia" w:ascii="宋体" w:hAnsi="宋体" w:eastAsia="宋体" w:cs="宋体"/>
          <w:sz w:val="24"/>
          <w:highlight w:val="none"/>
        </w:rPr>
      </w:pPr>
    </w:p>
    <w:p w14:paraId="6BBB2950">
      <w:pPr>
        <w:pageBreakBefore w:val="0"/>
        <w:widowControl/>
        <w:bidi w:val="0"/>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注：填写此表以“招标内容及采购要求”为准。</w:t>
      </w:r>
    </w:p>
    <w:p w14:paraId="05058AA8">
      <w:pPr>
        <w:pStyle w:val="28"/>
        <w:pageBreakBefore w:val="0"/>
        <w:widowControl/>
        <w:numPr>
          <w:ilvl w:val="0"/>
          <w:numId w:val="0"/>
        </w:numPr>
        <w:bidi w:val="0"/>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lang w:val="en-US" w:eastAsia="zh-CN"/>
        </w:rPr>
        <w:t>1.</w:t>
      </w:r>
      <w:r>
        <w:rPr>
          <w:rFonts w:hint="eastAsia" w:ascii="宋体" w:hAnsi="宋体" w:eastAsia="宋体" w:cs="宋体"/>
          <w:szCs w:val="21"/>
          <w:highlight w:val="none"/>
        </w:rPr>
        <w:t>禁止完全复制谈判文件中的技术参数要求，否则视为无效响应。</w:t>
      </w:r>
    </w:p>
    <w:p w14:paraId="5C406039">
      <w:pPr>
        <w:pStyle w:val="28"/>
        <w:pageBreakBefore w:val="0"/>
        <w:widowControl/>
        <w:numPr>
          <w:ilvl w:val="0"/>
          <w:numId w:val="0"/>
        </w:numPr>
        <w:bidi w:val="0"/>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lang w:val="en-US" w:eastAsia="zh-CN"/>
        </w:rPr>
        <w:t>2.所有标注“*”</w:t>
      </w:r>
      <w:r>
        <w:rPr>
          <w:rFonts w:hint="eastAsia" w:ascii="宋体" w:hAnsi="宋体" w:eastAsia="宋体" w:cs="宋体"/>
          <w:szCs w:val="21"/>
          <w:highlight w:val="none"/>
        </w:rPr>
        <w:t>技术参数为实质性响应参数，供应商应进行实质性响应，提供相关证明材料，否则视为无效响应。</w:t>
      </w:r>
    </w:p>
    <w:p w14:paraId="384FA7BC">
      <w:pPr>
        <w:pStyle w:val="28"/>
        <w:pageBreakBefore w:val="0"/>
        <w:widowControl/>
        <w:numPr>
          <w:ilvl w:val="0"/>
          <w:numId w:val="0"/>
        </w:numPr>
        <w:bidi w:val="0"/>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响应情况应填“满足”“不满足”“优于”</w:t>
      </w:r>
    </w:p>
    <w:p w14:paraId="30101AEB">
      <w:pPr>
        <w:pageBreakBefore w:val="0"/>
        <w:widowControl/>
        <w:bidi w:val="0"/>
        <w:spacing w:line="360" w:lineRule="auto"/>
        <w:jc w:val="left"/>
        <w:rPr>
          <w:rFonts w:hint="eastAsia" w:ascii="宋体" w:hAnsi="宋体" w:eastAsia="宋体" w:cs="宋体"/>
          <w:sz w:val="24"/>
          <w:highlight w:val="none"/>
        </w:rPr>
      </w:pPr>
    </w:p>
    <w:p w14:paraId="1FD6EF1B">
      <w:pPr>
        <w:pageBreakBefore w:val="0"/>
        <w:bidi w:val="0"/>
        <w:snapToGrid w:val="0"/>
        <w:spacing w:line="360" w:lineRule="auto"/>
        <w:ind w:firstLine="3840" w:firstLineChars="1600"/>
        <w:rPr>
          <w:rFonts w:hint="eastAsia" w:ascii="宋体" w:hAnsi="宋体" w:eastAsia="宋体" w:cs="宋体"/>
          <w:sz w:val="24"/>
          <w:highlight w:val="none"/>
        </w:rPr>
      </w:pPr>
    </w:p>
    <w:p w14:paraId="70C39240">
      <w:pPr>
        <w:pageBreakBefore w:val="0"/>
        <w:bidi w:val="0"/>
        <w:snapToGrid w:val="0"/>
        <w:spacing w:line="360" w:lineRule="auto"/>
        <w:ind w:firstLine="3840" w:firstLineChars="1600"/>
        <w:rPr>
          <w:rFonts w:hint="eastAsia" w:ascii="宋体" w:hAnsi="宋体" w:eastAsia="宋体" w:cs="宋体"/>
          <w:sz w:val="24"/>
          <w:highlight w:val="none"/>
        </w:rPr>
      </w:pPr>
    </w:p>
    <w:p w14:paraId="264B79F1">
      <w:pPr>
        <w:pageBreakBefore w:val="0"/>
        <w:bidi w:val="0"/>
        <w:snapToGrid w:val="0"/>
        <w:spacing w:line="360" w:lineRule="auto"/>
        <w:ind w:firstLine="3840" w:firstLineChars="1600"/>
        <w:rPr>
          <w:rFonts w:hint="eastAsia" w:ascii="宋体" w:hAnsi="宋体" w:eastAsia="宋体" w:cs="宋体"/>
          <w:sz w:val="24"/>
          <w:highlight w:val="none"/>
        </w:rPr>
      </w:pPr>
    </w:p>
    <w:p w14:paraId="35371831">
      <w:pPr>
        <w:pageBreakBefore w:val="0"/>
        <w:bidi w:val="0"/>
        <w:snapToGrid w:val="0"/>
        <w:spacing w:line="360" w:lineRule="auto"/>
        <w:ind w:firstLine="4320" w:firstLineChars="1800"/>
        <w:rPr>
          <w:rFonts w:hint="eastAsia" w:ascii="宋体" w:hAnsi="宋体" w:eastAsia="宋体" w:cs="宋体"/>
          <w:sz w:val="24"/>
          <w:highlight w:val="none"/>
        </w:rPr>
      </w:pPr>
      <w:r>
        <w:rPr>
          <w:rFonts w:hint="eastAsia" w:ascii="宋体" w:hAnsi="宋体" w:eastAsia="宋体" w:cs="宋体"/>
          <w:sz w:val="24"/>
          <w:highlight w:val="none"/>
        </w:rPr>
        <w:t>供应商（公章）：</w:t>
      </w:r>
    </w:p>
    <w:p w14:paraId="1DA7CF44">
      <w:pPr>
        <w:pStyle w:val="7"/>
        <w:pageBreakBefore w:val="0"/>
        <w:bidi w:val="0"/>
        <w:spacing w:line="360" w:lineRule="auto"/>
        <w:jc w:val="right"/>
        <w:rPr>
          <w:rFonts w:hint="eastAsia" w:ascii="宋体" w:hAnsi="宋体" w:eastAsia="宋体" w:cs="宋体"/>
          <w:color w:val="auto"/>
          <w:highlight w:val="none"/>
        </w:rPr>
      </w:pPr>
      <w:r>
        <w:rPr>
          <w:rFonts w:hint="eastAsia" w:ascii="宋体" w:hAnsi="宋体" w:eastAsia="宋体" w:cs="宋体"/>
          <w:color w:val="auto"/>
          <w:highlight w:val="none"/>
        </w:rPr>
        <w:t>法定代表人/被授权人（签字或盖章）：</w:t>
      </w:r>
    </w:p>
    <w:p w14:paraId="49C737C6">
      <w:pPr>
        <w:pageBreakBefore w:val="0"/>
        <w:bidi w:val="0"/>
        <w:spacing w:line="360" w:lineRule="auto"/>
        <w:jc w:val="right"/>
        <w:rPr>
          <w:rFonts w:hint="eastAsia" w:ascii="宋体" w:hAnsi="宋体" w:eastAsia="宋体" w:cs="宋体"/>
          <w:sz w:val="24"/>
          <w:highlight w:val="none"/>
        </w:rPr>
      </w:pPr>
      <w:r>
        <w:rPr>
          <w:rFonts w:hint="eastAsia" w:ascii="宋体" w:hAnsi="宋体" w:eastAsia="宋体" w:cs="宋体"/>
          <w:sz w:val="24"/>
          <w:highlight w:val="none"/>
        </w:rPr>
        <w:t>年    月    日</w:t>
      </w:r>
    </w:p>
    <w:p w14:paraId="1C8BAB4B">
      <w:pPr>
        <w:pageBreakBefore w:val="0"/>
        <w:widowControl/>
        <w:bidi w:val="0"/>
        <w:spacing w:line="360" w:lineRule="auto"/>
        <w:jc w:val="left"/>
        <w:rPr>
          <w:rFonts w:hint="eastAsia" w:ascii="宋体" w:hAnsi="宋体" w:eastAsia="宋体" w:cs="宋体"/>
          <w:b/>
          <w:bCs/>
          <w:sz w:val="28"/>
          <w:szCs w:val="28"/>
          <w:highlight w:val="none"/>
        </w:rPr>
      </w:pPr>
    </w:p>
    <w:p w14:paraId="1A36E373">
      <w:pPr>
        <w:pageBreakBefore w:val="0"/>
        <w:widowControl/>
        <w:bidi w:val="0"/>
        <w:spacing w:line="360" w:lineRule="auto"/>
        <w:jc w:val="lef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br w:type="page"/>
      </w:r>
    </w:p>
    <w:bookmarkEnd w:id="56"/>
    <w:p w14:paraId="088ED0C6">
      <w:pPr>
        <w:pageBreakBefore w:val="0"/>
        <w:bidi w:val="0"/>
        <w:spacing w:line="360" w:lineRule="auto"/>
        <w:jc w:val="center"/>
        <w:rPr>
          <w:rFonts w:hint="eastAsia" w:ascii="宋体" w:hAnsi="宋体" w:eastAsia="宋体" w:cs="宋体"/>
          <w:b/>
          <w:sz w:val="32"/>
          <w:highlight w:val="none"/>
        </w:rPr>
      </w:pPr>
      <w:bookmarkStart w:id="57" w:name="_Toc23984_WPSOffice_Level1"/>
      <w:r>
        <w:rPr>
          <w:rFonts w:hint="eastAsia" w:ascii="宋体" w:hAnsi="宋体" w:eastAsia="宋体" w:cs="宋体"/>
          <w:b/>
          <w:sz w:val="32"/>
          <w:highlight w:val="none"/>
        </w:rPr>
        <w:t>四、</w:t>
      </w:r>
      <w:bookmarkEnd w:id="57"/>
      <w:bookmarkStart w:id="58" w:name="_Toc13218_WPSOffice_Level1"/>
      <w:r>
        <w:rPr>
          <w:rFonts w:hint="eastAsia" w:ascii="宋体" w:hAnsi="宋体" w:eastAsia="宋体" w:cs="宋体"/>
          <w:b/>
          <w:sz w:val="32"/>
          <w:highlight w:val="none"/>
        </w:rPr>
        <w:t>资格证明文件</w:t>
      </w:r>
      <w:bookmarkEnd w:id="58"/>
    </w:p>
    <w:p w14:paraId="1FB064CE">
      <w:pPr>
        <w:keepNext w:val="0"/>
        <w:keepLines w:val="0"/>
        <w:pageBreakBefore w:val="0"/>
        <w:widowControl/>
        <w:numPr>
          <w:ilvl w:val="0"/>
          <w:numId w:val="0"/>
        </w:numPr>
        <w:shd w:val="clear" w:color="auto" w:fill="FFFFFF"/>
        <w:kinsoku/>
        <w:wordWrap w:val="0"/>
        <w:overflowPunct/>
        <w:topLinePunct w:val="0"/>
        <w:autoSpaceDE/>
        <w:autoSpaceDN/>
        <w:bidi w:val="0"/>
        <w:adjustRightInd/>
        <w:snapToGrid/>
        <w:spacing w:line="356" w:lineRule="auto"/>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lang w:val="en-US" w:eastAsia="zh-CN" w:bidi="ar-SA"/>
        </w:rPr>
        <w:t>1、</w:t>
      </w:r>
      <w:r>
        <w:rPr>
          <w:rFonts w:hint="eastAsia" w:ascii="宋体" w:hAnsi="宋体" w:eastAsia="宋体" w:cs="宋体"/>
          <w:color w:val="333333"/>
          <w:kern w:val="0"/>
          <w:sz w:val="24"/>
          <w:szCs w:val="24"/>
          <w:highlight w:val="none"/>
        </w:rPr>
        <w:t>具有独立承担民事责任能力的法人或其他组织，提供合法有效的统一社会信用代码的营业执照或事业单位法人证书等国家规定的相关证明，自然人参与的提供其身份证明； </w:t>
      </w:r>
      <w:r>
        <w:rPr>
          <w:rFonts w:hint="eastAsia" w:ascii="宋体" w:hAnsi="宋体" w:eastAsia="宋体" w:cs="宋体"/>
          <w:color w:val="333333"/>
          <w:kern w:val="0"/>
          <w:sz w:val="24"/>
          <w:szCs w:val="24"/>
          <w:highlight w:val="none"/>
        </w:rPr>
        <w:br w:type="textWrapping"/>
      </w:r>
      <w:r>
        <w:rPr>
          <w:rFonts w:hint="eastAsia" w:ascii="宋体" w:hAnsi="宋体" w:eastAsia="宋体" w:cs="宋体"/>
          <w:color w:val="333333"/>
          <w:kern w:val="0"/>
          <w:sz w:val="24"/>
          <w:szCs w:val="24"/>
          <w:highlight w:val="none"/>
        </w:rPr>
        <w:t>2、法定代表人授权书（附法定代表人身份证复印件）及被授权人身份证（法定代表人直接参加只须提供法定代表人身份证）；</w:t>
      </w:r>
      <w:r>
        <w:rPr>
          <w:rFonts w:hint="eastAsia" w:ascii="宋体" w:hAnsi="宋体" w:eastAsia="宋体" w:cs="宋体"/>
          <w:color w:val="333333"/>
          <w:kern w:val="0"/>
          <w:sz w:val="24"/>
          <w:szCs w:val="24"/>
          <w:highlight w:val="none"/>
        </w:rPr>
        <w:br w:type="textWrapping"/>
      </w:r>
      <w:r>
        <w:rPr>
          <w:rFonts w:hint="eastAsia" w:ascii="宋体" w:hAnsi="宋体" w:eastAsia="宋体" w:cs="宋体"/>
          <w:color w:val="333333"/>
          <w:kern w:val="0"/>
          <w:sz w:val="24"/>
          <w:szCs w:val="24"/>
          <w:highlight w:val="none"/>
        </w:rPr>
        <w:t>3、供应商提供202</w:t>
      </w:r>
      <w:r>
        <w:rPr>
          <w:rFonts w:hint="eastAsia" w:ascii="宋体" w:hAnsi="宋体" w:eastAsia="宋体" w:cs="宋体"/>
          <w:color w:val="333333"/>
          <w:kern w:val="0"/>
          <w:sz w:val="24"/>
          <w:szCs w:val="24"/>
          <w:highlight w:val="none"/>
          <w:lang w:val="en-US" w:eastAsia="zh-CN"/>
        </w:rPr>
        <w:t>4</w:t>
      </w:r>
      <w:r>
        <w:rPr>
          <w:rFonts w:hint="eastAsia" w:ascii="宋体" w:hAnsi="宋体" w:eastAsia="宋体" w:cs="宋体"/>
          <w:color w:val="333333"/>
          <w:kern w:val="0"/>
          <w:sz w:val="24"/>
          <w:szCs w:val="24"/>
          <w:highlight w:val="none"/>
        </w:rPr>
        <w:t>年度或202</w:t>
      </w:r>
      <w:r>
        <w:rPr>
          <w:rFonts w:hint="eastAsia" w:ascii="宋体" w:hAnsi="宋体" w:eastAsia="宋体" w:cs="宋体"/>
          <w:color w:val="333333"/>
          <w:kern w:val="0"/>
          <w:sz w:val="24"/>
          <w:szCs w:val="24"/>
          <w:highlight w:val="none"/>
          <w:lang w:val="en-US" w:eastAsia="zh-CN"/>
        </w:rPr>
        <w:t>5</w:t>
      </w:r>
      <w:r>
        <w:rPr>
          <w:rFonts w:hint="eastAsia" w:ascii="宋体" w:hAnsi="宋体" w:eastAsia="宋体" w:cs="宋体"/>
          <w:color w:val="333333"/>
          <w:kern w:val="0"/>
          <w:sz w:val="24"/>
          <w:szCs w:val="24"/>
          <w:highlight w:val="none"/>
        </w:rPr>
        <w:t>年度的财务审计报告(成立时间至提交响应文件截止时间不足一年的可提供成立后任意时段的资产负债表)或其基本存款账户开户银行出具的资信证明及基本存款账户开户信息；</w:t>
      </w:r>
      <w:r>
        <w:rPr>
          <w:rFonts w:hint="eastAsia" w:ascii="宋体" w:hAnsi="宋体" w:eastAsia="宋体" w:cs="宋体"/>
          <w:color w:val="333333"/>
          <w:kern w:val="0"/>
          <w:sz w:val="24"/>
          <w:szCs w:val="24"/>
          <w:highlight w:val="none"/>
        </w:rPr>
        <w:br w:type="textWrapping"/>
      </w:r>
      <w:r>
        <w:rPr>
          <w:rFonts w:hint="eastAsia" w:ascii="宋体" w:hAnsi="宋体" w:eastAsia="宋体" w:cs="宋体"/>
          <w:color w:val="333333"/>
          <w:kern w:val="0"/>
          <w:sz w:val="24"/>
          <w:szCs w:val="24"/>
          <w:highlight w:val="none"/>
        </w:rPr>
        <w:t>4、税收缴纳证明：提供已缴纳的202</w:t>
      </w:r>
      <w:r>
        <w:rPr>
          <w:rFonts w:hint="eastAsia" w:ascii="宋体" w:hAnsi="宋体" w:eastAsia="宋体" w:cs="宋体"/>
          <w:color w:val="333333"/>
          <w:kern w:val="0"/>
          <w:sz w:val="24"/>
          <w:szCs w:val="24"/>
          <w:highlight w:val="none"/>
          <w:lang w:val="en-US" w:eastAsia="zh-CN"/>
        </w:rPr>
        <w:t>5</w:t>
      </w:r>
      <w:r>
        <w:rPr>
          <w:rFonts w:hint="eastAsia" w:ascii="宋体" w:hAnsi="宋体" w:eastAsia="宋体" w:cs="宋体"/>
          <w:color w:val="333333"/>
          <w:kern w:val="0"/>
          <w:sz w:val="24"/>
          <w:szCs w:val="24"/>
          <w:highlight w:val="none"/>
        </w:rPr>
        <w:t>年至今任</w:t>
      </w:r>
      <w:r>
        <w:rPr>
          <w:rFonts w:hint="eastAsia" w:ascii="宋体" w:hAnsi="宋体" w:eastAsia="宋体" w:cs="宋体"/>
          <w:color w:val="333333"/>
          <w:kern w:val="0"/>
          <w:sz w:val="24"/>
          <w:szCs w:val="24"/>
          <w:highlight w:val="none"/>
          <w:lang w:val="en-US" w:eastAsia="zh-CN"/>
        </w:rPr>
        <w:t>意</w:t>
      </w:r>
      <w:r>
        <w:rPr>
          <w:rFonts w:hint="eastAsia" w:ascii="宋体" w:hAnsi="宋体" w:eastAsia="宋体" w:cs="宋体"/>
          <w:color w:val="333333"/>
          <w:kern w:val="0"/>
          <w:sz w:val="24"/>
          <w:szCs w:val="24"/>
          <w:highlight w:val="none"/>
          <w:lang w:eastAsia="zh-CN"/>
        </w:rPr>
        <w:t>一个</w:t>
      </w:r>
      <w:r>
        <w:rPr>
          <w:rFonts w:hint="eastAsia" w:ascii="宋体" w:hAnsi="宋体" w:eastAsia="宋体" w:cs="宋体"/>
          <w:color w:val="333333"/>
          <w:kern w:val="0"/>
          <w:sz w:val="24"/>
          <w:szCs w:val="24"/>
          <w:highlight w:val="none"/>
        </w:rPr>
        <w:t>月份的缴税凭证；依法免税的供应商应提供相关文件证明；</w:t>
      </w:r>
      <w:r>
        <w:rPr>
          <w:rFonts w:hint="eastAsia" w:ascii="宋体" w:hAnsi="宋体" w:eastAsia="宋体" w:cs="宋体"/>
          <w:color w:val="333333"/>
          <w:kern w:val="0"/>
          <w:sz w:val="24"/>
          <w:szCs w:val="24"/>
          <w:highlight w:val="none"/>
        </w:rPr>
        <w:br w:type="textWrapping"/>
      </w:r>
      <w:r>
        <w:rPr>
          <w:rFonts w:hint="eastAsia" w:ascii="宋体" w:hAnsi="宋体" w:eastAsia="宋体" w:cs="宋体"/>
          <w:color w:val="333333"/>
          <w:kern w:val="0"/>
          <w:sz w:val="24"/>
          <w:szCs w:val="24"/>
          <w:highlight w:val="none"/>
        </w:rPr>
        <w:t>5、社会保障资金缴纳证明：提供202</w:t>
      </w:r>
      <w:r>
        <w:rPr>
          <w:rFonts w:hint="eastAsia" w:ascii="宋体" w:hAnsi="宋体" w:eastAsia="宋体" w:cs="宋体"/>
          <w:color w:val="333333"/>
          <w:kern w:val="0"/>
          <w:sz w:val="24"/>
          <w:szCs w:val="24"/>
          <w:highlight w:val="none"/>
          <w:lang w:val="en-US" w:eastAsia="zh-CN"/>
        </w:rPr>
        <w:t>5</w:t>
      </w:r>
      <w:r>
        <w:rPr>
          <w:rFonts w:hint="eastAsia" w:ascii="宋体" w:hAnsi="宋体" w:eastAsia="宋体" w:cs="宋体"/>
          <w:color w:val="333333"/>
          <w:kern w:val="0"/>
          <w:sz w:val="24"/>
          <w:szCs w:val="24"/>
          <w:highlight w:val="none"/>
        </w:rPr>
        <w:t>年至今任意一个月</w:t>
      </w:r>
      <w:r>
        <w:rPr>
          <w:rFonts w:hint="eastAsia" w:ascii="宋体" w:hAnsi="宋体" w:eastAsia="宋体" w:cs="宋体"/>
          <w:color w:val="333333"/>
          <w:kern w:val="0"/>
          <w:sz w:val="24"/>
          <w:szCs w:val="24"/>
          <w:highlight w:val="none"/>
          <w:lang w:val="en-US" w:eastAsia="zh-CN"/>
        </w:rPr>
        <w:t>份</w:t>
      </w:r>
      <w:r>
        <w:rPr>
          <w:rFonts w:hint="eastAsia" w:ascii="宋体" w:hAnsi="宋体" w:eastAsia="宋体" w:cs="宋体"/>
          <w:color w:val="333333"/>
          <w:kern w:val="0"/>
          <w:sz w:val="24"/>
          <w:szCs w:val="24"/>
          <w:highlight w:val="none"/>
        </w:rPr>
        <w:t>的社会保障资金缴存证明或社保机构开具的社会保险参保缴费情况证明；依法不需要缴纳社会保障资金的应提供相关文件证明；</w:t>
      </w:r>
    </w:p>
    <w:p w14:paraId="2E6B5F05">
      <w:pPr>
        <w:keepNext w:val="0"/>
        <w:keepLines w:val="0"/>
        <w:pageBreakBefore w:val="0"/>
        <w:widowControl/>
        <w:numPr>
          <w:ilvl w:val="0"/>
          <w:numId w:val="0"/>
        </w:numPr>
        <w:shd w:val="clear" w:color="auto" w:fill="FFFFFF"/>
        <w:kinsoku/>
        <w:wordWrap w:val="0"/>
        <w:overflowPunct/>
        <w:topLinePunct w:val="0"/>
        <w:autoSpaceDE/>
        <w:autoSpaceDN/>
        <w:bidi w:val="0"/>
        <w:adjustRightInd/>
        <w:snapToGrid/>
        <w:spacing w:line="356" w:lineRule="auto"/>
        <w:textAlignment w:val="auto"/>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6、所投产品属于医疗器械管理的，供应商为生产厂家的须提供《医疗器械生产许可证》；供应商为代理商的须提供《医疗器械经营许可证》或《医疗器械经营备案凭证》及生产厂家的《医疗器械生产许可证》；纳入医疗器械注册管理的，提供医疗器械注册证；</w:t>
      </w:r>
    </w:p>
    <w:p w14:paraId="1E1D0D73">
      <w:pPr>
        <w:keepNext w:val="0"/>
        <w:keepLines w:val="0"/>
        <w:pageBreakBefore w:val="0"/>
        <w:widowControl/>
        <w:numPr>
          <w:ilvl w:val="0"/>
          <w:numId w:val="0"/>
        </w:numPr>
        <w:shd w:val="clear" w:color="auto" w:fill="FFFFFF"/>
        <w:kinsoku/>
        <w:wordWrap w:val="0"/>
        <w:overflowPunct/>
        <w:topLinePunct w:val="0"/>
        <w:autoSpaceDE/>
        <w:autoSpaceDN/>
        <w:bidi w:val="0"/>
        <w:adjustRightInd/>
        <w:snapToGrid/>
        <w:spacing w:line="356" w:lineRule="auto"/>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lang w:val="en-US" w:eastAsia="zh-CN"/>
        </w:rPr>
        <w:t>7</w:t>
      </w:r>
      <w:r>
        <w:rPr>
          <w:rFonts w:hint="eastAsia" w:ascii="宋体" w:hAnsi="宋体" w:eastAsia="宋体" w:cs="宋体"/>
          <w:color w:val="333333"/>
          <w:kern w:val="0"/>
          <w:sz w:val="24"/>
          <w:szCs w:val="24"/>
          <w:highlight w:val="none"/>
        </w:rPr>
        <w:t>、供应商不得为“信用中国”网站中列入严重失信主体及重大税收违法失信主体，不得为中国政府采购网政府采购严重违法失信行为记录名单中被财政部门禁止参加政府采购活动的供应商（提供查询结果网页截图并加盖供应商公章）； </w:t>
      </w:r>
      <w:r>
        <w:rPr>
          <w:rFonts w:hint="eastAsia" w:ascii="宋体" w:hAnsi="宋体" w:eastAsia="宋体" w:cs="宋体"/>
          <w:color w:val="333333"/>
          <w:kern w:val="0"/>
          <w:sz w:val="24"/>
          <w:szCs w:val="24"/>
          <w:highlight w:val="none"/>
        </w:rPr>
        <w:br w:type="textWrapping"/>
      </w:r>
      <w:r>
        <w:rPr>
          <w:rFonts w:hint="eastAsia" w:ascii="宋体" w:hAnsi="宋体" w:eastAsia="宋体" w:cs="宋体"/>
          <w:color w:val="333333"/>
          <w:kern w:val="0"/>
          <w:sz w:val="24"/>
          <w:szCs w:val="24"/>
          <w:highlight w:val="none"/>
          <w:lang w:val="en-US" w:eastAsia="zh-CN"/>
        </w:rPr>
        <w:t>8</w:t>
      </w:r>
      <w:r>
        <w:rPr>
          <w:rFonts w:hint="eastAsia" w:ascii="宋体" w:hAnsi="宋体" w:eastAsia="宋体" w:cs="宋体"/>
          <w:color w:val="333333"/>
          <w:kern w:val="0"/>
          <w:sz w:val="24"/>
          <w:szCs w:val="24"/>
          <w:highlight w:val="none"/>
        </w:rPr>
        <w:t>、参加政府采购活动近三年内，在经营活动中没有重大违法记录声明函；</w:t>
      </w:r>
      <w:r>
        <w:rPr>
          <w:rFonts w:hint="eastAsia" w:ascii="宋体" w:hAnsi="宋体" w:eastAsia="宋体" w:cs="宋体"/>
          <w:color w:val="333333"/>
          <w:kern w:val="0"/>
          <w:sz w:val="24"/>
          <w:szCs w:val="24"/>
          <w:highlight w:val="none"/>
        </w:rPr>
        <w:br w:type="textWrapping"/>
      </w:r>
      <w:r>
        <w:rPr>
          <w:rFonts w:hint="eastAsia" w:ascii="宋体" w:hAnsi="宋体" w:eastAsia="宋体" w:cs="宋体"/>
          <w:color w:val="333333"/>
          <w:kern w:val="0"/>
          <w:sz w:val="24"/>
          <w:szCs w:val="24"/>
          <w:highlight w:val="none"/>
          <w:lang w:val="en-US" w:eastAsia="zh-CN"/>
        </w:rPr>
        <w:t>9</w:t>
      </w:r>
      <w:r>
        <w:rPr>
          <w:rFonts w:hint="eastAsia" w:ascii="宋体" w:hAnsi="宋体" w:eastAsia="宋体" w:cs="宋体"/>
          <w:color w:val="333333"/>
          <w:kern w:val="0"/>
          <w:sz w:val="24"/>
          <w:szCs w:val="24"/>
          <w:highlight w:val="none"/>
        </w:rPr>
        <w:t>、具备履行合同</w:t>
      </w:r>
      <w:r>
        <w:rPr>
          <w:rFonts w:hint="eastAsia" w:ascii="宋体" w:hAnsi="宋体" w:eastAsia="宋体" w:cs="宋体"/>
          <w:color w:val="333333"/>
          <w:kern w:val="0"/>
          <w:sz w:val="24"/>
          <w:szCs w:val="24"/>
          <w:highlight w:val="none"/>
          <w:lang w:eastAsia="zh-CN"/>
        </w:rPr>
        <w:t>所必需的</w:t>
      </w:r>
      <w:r>
        <w:rPr>
          <w:rFonts w:hint="eastAsia" w:ascii="宋体" w:hAnsi="宋体" w:eastAsia="宋体" w:cs="宋体"/>
          <w:color w:val="333333"/>
          <w:kern w:val="0"/>
          <w:sz w:val="24"/>
          <w:szCs w:val="24"/>
          <w:highlight w:val="none"/>
        </w:rPr>
        <w:t>设备和专业技术能力的书面声明；</w:t>
      </w:r>
    </w:p>
    <w:p w14:paraId="36274FBD">
      <w:pPr>
        <w:keepNext w:val="0"/>
        <w:keepLines w:val="0"/>
        <w:pageBreakBefore w:val="0"/>
        <w:widowControl/>
        <w:numPr>
          <w:ilvl w:val="0"/>
          <w:numId w:val="0"/>
        </w:numPr>
        <w:shd w:val="clear" w:color="auto" w:fill="FFFFFF"/>
        <w:kinsoku/>
        <w:wordWrap w:val="0"/>
        <w:overflowPunct/>
        <w:topLinePunct w:val="0"/>
        <w:autoSpaceDE/>
        <w:autoSpaceDN/>
        <w:bidi w:val="0"/>
        <w:adjustRightInd/>
        <w:snapToGrid/>
        <w:spacing w:line="356" w:lineRule="auto"/>
        <w:textAlignment w:val="auto"/>
        <w:rPr>
          <w:rFonts w:hint="eastAsia" w:ascii="宋体" w:hAnsi="宋体" w:eastAsia="宋体" w:cs="宋体"/>
          <w:color w:val="333333"/>
          <w:kern w:val="0"/>
          <w:sz w:val="24"/>
          <w:szCs w:val="24"/>
          <w:highlight w:val="none"/>
          <w:lang w:eastAsia="zh-CN"/>
        </w:rPr>
      </w:pPr>
      <w:r>
        <w:rPr>
          <w:rFonts w:hint="eastAsia" w:ascii="宋体" w:hAnsi="宋体" w:eastAsia="宋体" w:cs="宋体"/>
          <w:color w:val="333333"/>
          <w:kern w:val="0"/>
          <w:sz w:val="24"/>
          <w:szCs w:val="24"/>
          <w:highlight w:val="none"/>
          <w:lang w:val="en-US" w:eastAsia="zh-CN"/>
        </w:rPr>
        <w:t>10、供应商按谈判文件要求提交谈判保证金，并提供缴费凭证，确保在响应文件递交截止时间前到达指定账户；</w:t>
      </w:r>
      <w:r>
        <w:rPr>
          <w:rFonts w:hint="eastAsia" w:ascii="宋体" w:hAnsi="宋体" w:eastAsia="宋体" w:cs="宋体"/>
          <w:color w:val="333333"/>
          <w:kern w:val="0"/>
          <w:sz w:val="24"/>
          <w:szCs w:val="24"/>
          <w:highlight w:val="none"/>
          <w:lang w:val="en-US" w:eastAsia="zh-CN"/>
        </w:rPr>
        <w:br w:type="textWrapping"/>
      </w:r>
      <w:r>
        <w:rPr>
          <w:rFonts w:hint="eastAsia" w:ascii="宋体" w:hAnsi="宋体" w:eastAsia="宋体" w:cs="宋体"/>
          <w:color w:val="333333"/>
          <w:kern w:val="0"/>
          <w:sz w:val="24"/>
          <w:szCs w:val="24"/>
          <w:highlight w:val="none"/>
          <w:lang w:val="en-US" w:eastAsia="zh-CN"/>
        </w:rPr>
        <w:t>11</w:t>
      </w:r>
      <w:r>
        <w:rPr>
          <w:rFonts w:hint="eastAsia" w:ascii="宋体" w:hAnsi="宋体" w:eastAsia="宋体" w:cs="宋体"/>
          <w:color w:val="333333"/>
          <w:kern w:val="0"/>
          <w:sz w:val="24"/>
          <w:szCs w:val="24"/>
          <w:highlight w:val="none"/>
        </w:rPr>
        <w:t>、本项目不接受联合体谈判</w:t>
      </w:r>
      <w:r>
        <w:rPr>
          <w:rFonts w:hint="eastAsia" w:ascii="宋体" w:hAnsi="宋体" w:eastAsia="宋体" w:cs="宋体"/>
          <w:color w:val="333333"/>
          <w:kern w:val="0"/>
          <w:sz w:val="24"/>
          <w:szCs w:val="24"/>
          <w:highlight w:val="none"/>
          <w:lang w:eastAsia="zh-CN"/>
        </w:rPr>
        <w:t>。</w:t>
      </w:r>
    </w:p>
    <w:p w14:paraId="7E905707">
      <w:pPr>
        <w:pageBreakBefore w:val="0"/>
        <w:bidi w:val="0"/>
        <w:spacing w:line="360" w:lineRule="auto"/>
        <w:jc w:val="center"/>
        <w:rPr>
          <w:rFonts w:hint="eastAsia" w:ascii="宋体" w:hAnsi="宋体" w:eastAsia="宋体" w:cs="宋体"/>
          <w:b/>
          <w:sz w:val="32"/>
          <w:highlight w:val="none"/>
        </w:rPr>
      </w:pPr>
    </w:p>
    <w:p w14:paraId="576C059E">
      <w:pPr>
        <w:pageBreakBefore w:val="0"/>
        <w:bidi w:val="0"/>
        <w:spacing w:line="360" w:lineRule="auto"/>
        <w:jc w:val="center"/>
        <w:rPr>
          <w:rFonts w:hint="eastAsia" w:ascii="宋体" w:hAnsi="宋体" w:eastAsia="宋体" w:cs="宋体"/>
          <w:b/>
          <w:sz w:val="32"/>
          <w:highlight w:val="none"/>
        </w:rPr>
      </w:pPr>
    </w:p>
    <w:p w14:paraId="59FCD958">
      <w:pPr>
        <w:pageBreakBefore w:val="0"/>
        <w:bidi w:val="0"/>
        <w:spacing w:line="360" w:lineRule="auto"/>
        <w:jc w:val="center"/>
        <w:rPr>
          <w:rFonts w:hint="eastAsia" w:ascii="宋体" w:hAnsi="宋体" w:eastAsia="宋体" w:cs="宋体"/>
          <w:b/>
          <w:sz w:val="32"/>
          <w:highlight w:val="none"/>
        </w:rPr>
      </w:pPr>
    </w:p>
    <w:p w14:paraId="1AF8DE35">
      <w:pPr>
        <w:pageBreakBefore w:val="0"/>
        <w:bidi w:val="0"/>
        <w:spacing w:line="360" w:lineRule="auto"/>
        <w:jc w:val="center"/>
        <w:rPr>
          <w:rFonts w:hint="eastAsia" w:ascii="宋体" w:hAnsi="宋体" w:eastAsia="宋体" w:cs="宋体"/>
          <w:b/>
          <w:sz w:val="32"/>
          <w:highlight w:val="none"/>
        </w:rPr>
      </w:pPr>
      <w:bookmarkStart w:id="59" w:name="OLE_LINK73"/>
      <w:r>
        <w:rPr>
          <w:rFonts w:hint="eastAsia" w:ascii="宋体" w:hAnsi="宋体" w:eastAsia="宋体" w:cs="宋体"/>
          <w:b/>
          <w:sz w:val="32"/>
          <w:highlight w:val="none"/>
        </w:rPr>
        <w:t>五、</w:t>
      </w:r>
      <w:bookmarkStart w:id="60" w:name="OLE_LINK13"/>
      <w:r>
        <w:rPr>
          <w:rFonts w:hint="eastAsia" w:ascii="宋体" w:hAnsi="宋体" w:eastAsia="宋体" w:cs="宋体"/>
          <w:b/>
          <w:sz w:val="32"/>
          <w:highlight w:val="none"/>
        </w:rPr>
        <w:t>谈判响应技术方案</w:t>
      </w:r>
    </w:p>
    <w:bookmarkEnd w:id="60"/>
    <w:p w14:paraId="58714EB3">
      <w:pPr>
        <w:pageBreakBefore w:val="0"/>
        <w:tabs>
          <w:tab w:val="left" w:pos="1260"/>
        </w:tabs>
        <w:bidi w:val="0"/>
        <w:spacing w:line="360" w:lineRule="auto"/>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z w:val="24"/>
          <w:szCs w:val="22"/>
          <w:highlight w:val="none"/>
        </w:rPr>
        <w:t>供应商完成供货的实施方案；</w:t>
      </w:r>
    </w:p>
    <w:p w14:paraId="0DE512C1">
      <w:pPr>
        <w:pageBreakBefore w:val="0"/>
        <w:tabs>
          <w:tab w:val="left" w:pos="1260"/>
        </w:tabs>
        <w:bidi w:val="0"/>
        <w:spacing w:line="360" w:lineRule="auto"/>
        <w:rPr>
          <w:rFonts w:hint="eastAsia" w:ascii="宋体" w:hAnsi="宋体" w:eastAsia="宋体" w:cs="宋体"/>
          <w:sz w:val="24"/>
          <w:highlight w:val="none"/>
        </w:rPr>
      </w:pPr>
      <w:r>
        <w:rPr>
          <w:rFonts w:hint="eastAsia" w:ascii="宋体" w:hAnsi="宋体" w:eastAsia="宋体" w:cs="宋体"/>
          <w:sz w:val="24"/>
          <w:highlight w:val="none"/>
        </w:rPr>
        <w:t>2、质量保障措施；</w:t>
      </w:r>
    </w:p>
    <w:p w14:paraId="280D34E8">
      <w:pPr>
        <w:pageBreakBefore w:val="0"/>
        <w:tabs>
          <w:tab w:val="left" w:pos="1260"/>
        </w:tabs>
        <w:bidi w:val="0"/>
        <w:spacing w:line="360" w:lineRule="auto"/>
        <w:rPr>
          <w:rFonts w:hint="eastAsia" w:ascii="宋体" w:hAnsi="宋体" w:eastAsia="宋体" w:cs="宋体"/>
          <w:sz w:val="24"/>
          <w:highlight w:val="none"/>
        </w:rPr>
      </w:pPr>
      <w:r>
        <w:rPr>
          <w:rFonts w:hint="eastAsia" w:ascii="宋体" w:hAnsi="宋体" w:eastAsia="宋体" w:cs="宋体"/>
          <w:sz w:val="24"/>
          <w:highlight w:val="none"/>
        </w:rPr>
        <w:t>3、售后服务承诺；</w:t>
      </w:r>
    </w:p>
    <w:p w14:paraId="1DB36400">
      <w:pPr>
        <w:pageBreakBefore w:val="0"/>
        <w:tabs>
          <w:tab w:val="left" w:pos="1260"/>
        </w:tabs>
        <w:bidi w:val="0"/>
        <w:spacing w:line="360" w:lineRule="auto"/>
        <w:rPr>
          <w:rFonts w:hint="eastAsia" w:ascii="宋体" w:hAnsi="宋体" w:eastAsia="宋体" w:cs="宋体"/>
          <w:sz w:val="24"/>
          <w:highlight w:val="none"/>
        </w:rPr>
      </w:pPr>
      <w:r>
        <w:rPr>
          <w:rFonts w:hint="eastAsia" w:ascii="宋体" w:hAnsi="宋体" w:eastAsia="宋体" w:cs="宋体"/>
          <w:sz w:val="24"/>
          <w:highlight w:val="none"/>
        </w:rPr>
        <w:t>4、供应商认为有必要说明的问题。</w:t>
      </w:r>
    </w:p>
    <w:p w14:paraId="061024ED">
      <w:pPr>
        <w:pageBreakBefore w:val="0"/>
        <w:tabs>
          <w:tab w:val="left" w:pos="1260"/>
        </w:tabs>
        <w:bidi w:val="0"/>
        <w:spacing w:line="360" w:lineRule="auto"/>
        <w:rPr>
          <w:rFonts w:hint="eastAsia" w:ascii="宋体" w:hAnsi="宋体" w:eastAsia="宋体" w:cs="宋体"/>
          <w:sz w:val="24"/>
          <w:highlight w:val="none"/>
        </w:rPr>
      </w:pPr>
      <w:r>
        <w:rPr>
          <w:rFonts w:hint="eastAsia" w:ascii="宋体" w:hAnsi="宋体" w:eastAsia="宋体" w:cs="宋体"/>
          <w:b/>
          <w:bCs/>
          <w:sz w:val="24"/>
          <w:highlight w:val="none"/>
        </w:rPr>
        <w:t>注：</w:t>
      </w:r>
      <w:r>
        <w:rPr>
          <w:rFonts w:hint="eastAsia" w:ascii="宋体" w:hAnsi="宋体" w:eastAsia="宋体" w:cs="宋体"/>
          <w:b/>
          <w:sz w:val="24"/>
          <w:highlight w:val="none"/>
        </w:rPr>
        <w:t>（各供应商根据采购内容及要求，可自主编写方案说明，包含但不限于以上内容）</w:t>
      </w:r>
    </w:p>
    <w:p w14:paraId="3465522B">
      <w:pPr>
        <w:pageBreakBefore w:val="0"/>
        <w:tabs>
          <w:tab w:val="left" w:pos="1260"/>
        </w:tabs>
        <w:bidi w:val="0"/>
        <w:spacing w:line="360" w:lineRule="auto"/>
        <w:ind w:firstLine="560" w:firstLineChars="200"/>
        <w:rPr>
          <w:rFonts w:hint="eastAsia" w:ascii="宋体" w:hAnsi="宋体" w:eastAsia="宋体" w:cs="宋体"/>
          <w:bCs/>
          <w:sz w:val="28"/>
          <w:szCs w:val="22"/>
          <w:highlight w:val="none"/>
        </w:rPr>
      </w:pPr>
    </w:p>
    <w:p w14:paraId="2E0E0CB2">
      <w:pPr>
        <w:pStyle w:val="7"/>
        <w:pageBreakBefore w:val="0"/>
        <w:bidi w:val="0"/>
        <w:spacing w:line="360" w:lineRule="auto"/>
        <w:rPr>
          <w:rFonts w:hint="eastAsia" w:ascii="宋体" w:hAnsi="宋体" w:eastAsia="宋体" w:cs="宋体"/>
          <w:bCs/>
          <w:sz w:val="28"/>
          <w:szCs w:val="28"/>
          <w:highlight w:val="none"/>
        </w:rPr>
      </w:pPr>
    </w:p>
    <w:bookmarkEnd w:id="59"/>
    <w:p w14:paraId="6C09D0AB">
      <w:pPr>
        <w:pStyle w:val="7"/>
        <w:pageBreakBefore w:val="0"/>
        <w:bidi w:val="0"/>
        <w:spacing w:line="360" w:lineRule="auto"/>
        <w:rPr>
          <w:rFonts w:hint="eastAsia" w:ascii="宋体" w:hAnsi="宋体" w:eastAsia="宋体" w:cs="宋体"/>
          <w:bCs/>
          <w:sz w:val="28"/>
          <w:szCs w:val="28"/>
          <w:highlight w:val="none"/>
        </w:rPr>
      </w:pPr>
    </w:p>
    <w:p w14:paraId="4F971F50">
      <w:pPr>
        <w:pStyle w:val="7"/>
        <w:pageBreakBefore w:val="0"/>
        <w:bidi w:val="0"/>
        <w:spacing w:line="360" w:lineRule="auto"/>
        <w:rPr>
          <w:rFonts w:hint="eastAsia" w:ascii="宋体" w:hAnsi="宋体" w:eastAsia="宋体" w:cs="宋体"/>
          <w:bCs/>
          <w:sz w:val="28"/>
          <w:szCs w:val="28"/>
          <w:highlight w:val="none"/>
        </w:rPr>
      </w:pPr>
    </w:p>
    <w:p w14:paraId="73992F2E">
      <w:pPr>
        <w:pStyle w:val="7"/>
        <w:pageBreakBefore w:val="0"/>
        <w:bidi w:val="0"/>
        <w:spacing w:line="360" w:lineRule="auto"/>
        <w:rPr>
          <w:rFonts w:hint="eastAsia" w:ascii="宋体" w:hAnsi="宋体" w:eastAsia="宋体" w:cs="宋体"/>
          <w:bCs/>
          <w:sz w:val="28"/>
          <w:szCs w:val="28"/>
          <w:highlight w:val="none"/>
        </w:rPr>
      </w:pPr>
    </w:p>
    <w:p w14:paraId="56B3DFDC">
      <w:pPr>
        <w:pageBreakBefore w:val="0"/>
        <w:bidi w:val="0"/>
        <w:spacing w:after="120" w:line="360" w:lineRule="auto"/>
        <w:ind w:left="420" w:leftChars="200"/>
        <w:rPr>
          <w:rFonts w:hint="eastAsia" w:ascii="宋体" w:hAnsi="宋体" w:eastAsia="宋体" w:cs="宋体"/>
          <w:bCs/>
          <w:sz w:val="28"/>
          <w:szCs w:val="28"/>
          <w:highlight w:val="none"/>
        </w:rPr>
      </w:pPr>
    </w:p>
    <w:p w14:paraId="4D9FE758">
      <w:pPr>
        <w:pageBreakBefore w:val="0"/>
        <w:bidi w:val="0"/>
        <w:spacing w:after="120" w:line="360" w:lineRule="auto"/>
        <w:ind w:left="420" w:leftChars="200"/>
        <w:rPr>
          <w:rFonts w:hint="eastAsia" w:ascii="宋体" w:hAnsi="宋体" w:eastAsia="宋体" w:cs="宋体"/>
          <w:bCs/>
          <w:sz w:val="28"/>
          <w:szCs w:val="28"/>
          <w:highlight w:val="none"/>
        </w:rPr>
      </w:pPr>
    </w:p>
    <w:p w14:paraId="0A7AEE71">
      <w:pPr>
        <w:pageBreakBefore w:val="0"/>
        <w:bidi w:val="0"/>
        <w:spacing w:after="120" w:line="360" w:lineRule="auto"/>
        <w:ind w:left="420" w:leftChars="200"/>
        <w:rPr>
          <w:rFonts w:hint="eastAsia" w:ascii="宋体" w:hAnsi="宋体" w:eastAsia="宋体" w:cs="宋体"/>
          <w:bCs/>
          <w:sz w:val="28"/>
          <w:szCs w:val="28"/>
          <w:highlight w:val="none"/>
        </w:rPr>
      </w:pPr>
    </w:p>
    <w:p w14:paraId="291A25DE">
      <w:pPr>
        <w:pageBreakBefore w:val="0"/>
        <w:bidi w:val="0"/>
        <w:spacing w:after="120" w:line="360" w:lineRule="auto"/>
        <w:ind w:left="420" w:leftChars="200"/>
        <w:rPr>
          <w:rFonts w:hint="eastAsia" w:ascii="宋体" w:hAnsi="宋体" w:eastAsia="宋体" w:cs="宋体"/>
          <w:bCs/>
          <w:sz w:val="28"/>
          <w:szCs w:val="28"/>
          <w:highlight w:val="none"/>
        </w:rPr>
      </w:pPr>
    </w:p>
    <w:p w14:paraId="6B2B6DB1">
      <w:pPr>
        <w:pStyle w:val="33"/>
        <w:pageBreakBefore w:val="0"/>
        <w:bidi w:val="0"/>
        <w:spacing w:line="360" w:lineRule="auto"/>
        <w:ind w:firstLine="560"/>
        <w:rPr>
          <w:rFonts w:hint="eastAsia" w:ascii="宋体" w:hAnsi="宋体" w:eastAsia="宋体" w:cs="宋体"/>
          <w:bCs/>
          <w:sz w:val="28"/>
          <w:szCs w:val="28"/>
          <w:highlight w:val="none"/>
        </w:rPr>
      </w:pPr>
    </w:p>
    <w:p w14:paraId="7C1C1A68">
      <w:pPr>
        <w:pStyle w:val="33"/>
        <w:pageBreakBefore w:val="0"/>
        <w:bidi w:val="0"/>
        <w:spacing w:line="360" w:lineRule="auto"/>
        <w:ind w:firstLine="560"/>
        <w:rPr>
          <w:rFonts w:hint="eastAsia" w:ascii="宋体" w:hAnsi="宋体" w:eastAsia="宋体" w:cs="宋体"/>
          <w:bCs/>
          <w:sz w:val="28"/>
          <w:szCs w:val="28"/>
          <w:highlight w:val="none"/>
        </w:rPr>
      </w:pPr>
    </w:p>
    <w:p w14:paraId="5D2DF267">
      <w:pPr>
        <w:pageBreakBefore w:val="0"/>
        <w:bidi w:val="0"/>
        <w:spacing w:line="360" w:lineRule="auto"/>
        <w:jc w:val="center"/>
        <w:rPr>
          <w:rFonts w:hint="eastAsia" w:ascii="宋体" w:hAnsi="宋体" w:eastAsia="宋体" w:cs="宋体"/>
          <w:sz w:val="28"/>
          <w:highlight w:val="none"/>
        </w:rPr>
      </w:pPr>
      <w:bookmarkStart w:id="61" w:name="_Toc15619_WPSOffice_Level1"/>
      <w:r>
        <w:rPr>
          <w:rFonts w:hint="eastAsia" w:ascii="宋体" w:hAnsi="宋体" w:eastAsia="宋体" w:cs="宋体"/>
          <w:b/>
          <w:sz w:val="32"/>
          <w:szCs w:val="32"/>
          <w:highlight w:val="none"/>
        </w:rPr>
        <w:br w:type="page"/>
      </w:r>
      <w:r>
        <w:rPr>
          <w:rFonts w:hint="eastAsia" w:ascii="宋体" w:hAnsi="宋体" w:eastAsia="宋体" w:cs="宋体"/>
          <w:b/>
          <w:sz w:val="32"/>
          <w:szCs w:val="32"/>
          <w:highlight w:val="none"/>
        </w:rPr>
        <w:t>六、</w:t>
      </w:r>
      <w:bookmarkStart w:id="62" w:name="OLE_LINK14"/>
      <w:r>
        <w:rPr>
          <w:rFonts w:hint="eastAsia" w:ascii="宋体" w:hAnsi="宋体" w:eastAsia="宋体" w:cs="宋体"/>
          <w:b/>
          <w:sz w:val="32"/>
          <w:highlight w:val="none"/>
        </w:rPr>
        <w:t>商务响应方案</w:t>
      </w:r>
    </w:p>
    <w:bookmarkEnd w:id="62"/>
    <w:p w14:paraId="46B9458A">
      <w:pPr>
        <w:pageBreakBefore w:val="0"/>
        <w:bidi w:val="0"/>
        <w:spacing w:line="360" w:lineRule="auto"/>
        <w:rPr>
          <w:rFonts w:hint="eastAsia" w:ascii="宋体" w:hAnsi="宋体" w:eastAsia="宋体" w:cs="宋体"/>
          <w:sz w:val="24"/>
          <w:highlight w:val="none"/>
        </w:rPr>
      </w:pPr>
      <w:r>
        <w:rPr>
          <w:rFonts w:hint="eastAsia" w:ascii="宋体" w:hAnsi="宋体" w:eastAsia="宋体" w:cs="宋体"/>
          <w:sz w:val="24"/>
          <w:highlight w:val="none"/>
        </w:rPr>
        <w:t>商务响应方案的主要内容：</w:t>
      </w:r>
    </w:p>
    <w:p w14:paraId="4CAD9D18">
      <w:pPr>
        <w:pageBreakBefore w:val="0"/>
        <w:bidi w:val="0"/>
        <w:spacing w:line="360" w:lineRule="auto"/>
        <w:outlineLvl w:val="2"/>
        <w:rPr>
          <w:rFonts w:hint="eastAsia" w:ascii="宋体" w:hAnsi="宋体" w:eastAsia="宋体" w:cs="宋体"/>
          <w:color w:val="222222"/>
          <w:sz w:val="24"/>
          <w:highlight w:val="none"/>
        </w:rPr>
      </w:pPr>
      <w:r>
        <w:rPr>
          <w:rFonts w:hint="eastAsia" w:ascii="宋体" w:hAnsi="宋体" w:eastAsia="宋体" w:cs="宋体"/>
          <w:color w:val="222222"/>
          <w:sz w:val="24"/>
          <w:highlight w:val="none"/>
        </w:rPr>
        <w:t>（1）企业简介；</w:t>
      </w:r>
    </w:p>
    <w:p w14:paraId="3B707304">
      <w:pPr>
        <w:pageBreakBefore w:val="0"/>
        <w:bidi w:val="0"/>
        <w:spacing w:line="360" w:lineRule="auto"/>
        <w:outlineLvl w:val="2"/>
        <w:rPr>
          <w:rFonts w:hint="eastAsia" w:ascii="宋体" w:hAnsi="宋体" w:eastAsia="宋体" w:cs="宋体"/>
          <w:color w:val="222222"/>
          <w:sz w:val="24"/>
          <w:highlight w:val="none"/>
        </w:rPr>
      </w:pPr>
      <w:r>
        <w:rPr>
          <w:rFonts w:hint="eastAsia" w:ascii="宋体" w:hAnsi="宋体" w:eastAsia="宋体" w:cs="宋体"/>
          <w:color w:val="222222"/>
          <w:sz w:val="24"/>
          <w:highlight w:val="none"/>
        </w:rPr>
        <w:t>（2）商务响应（</w:t>
      </w:r>
      <w:r>
        <w:rPr>
          <w:rFonts w:hint="eastAsia" w:ascii="宋体" w:hAnsi="宋体" w:eastAsia="宋体" w:cs="宋体"/>
          <w:color w:val="222222"/>
          <w:sz w:val="24"/>
          <w:highlight w:val="none"/>
          <w:lang w:val="en-US" w:eastAsia="zh-CN"/>
        </w:rPr>
        <w:t>谈判文件</w:t>
      </w:r>
      <w:r>
        <w:rPr>
          <w:rFonts w:hint="eastAsia" w:ascii="宋体" w:hAnsi="宋体" w:eastAsia="宋体" w:cs="宋体"/>
          <w:color w:val="222222"/>
          <w:sz w:val="24"/>
          <w:highlight w:val="none"/>
        </w:rPr>
        <w:t>第三部分谈判内容及要求</w:t>
      </w:r>
      <w:r>
        <w:rPr>
          <w:rFonts w:hint="eastAsia" w:ascii="宋体" w:hAnsi="宋体" w:eastAsia="宋体" w:cs="宋体"/>
          <w:color w:val="222222"/>
          <w:sz w:val="24"/>
          <w:highlight w:val="none"/>
          <w:lang w:val="en-US" w:eastAsia="zh-CN"/>
        </w:rPr>
        <w:t>中的商务条款</w:t>
      </w:r>
      <w:r>
        <w:rPr>
          <w:rFonts w:hint="eastAsia" w:ascii="宋体" w:hAnsi="宋体" w:eastAsia="宋体" w:cs="宋体"/>
          <w:color w:val="222222"/>
          <w:sz w:val="24"/>
          <w:highlight w:val="none"/>
        </w:rPr>
        <w:t>）与合同条款说明；</w:t>
      </w:r>
    </w:p>
    <w:p w14:paraId="63F93D5D">
      <w:pPr>
        <w:pageBreakBefore w:val="0"/>
        <w:bidi w:val="0"/>
        <w:spacing w:line="360" w:lineRule="auto"/>
        <w:rPr>
          <w:rFonts w:hint="eastAsia" w:ascii="宋体" w:hAnsi="宋体" w:eastAsia="宋体" w:cs="宋体"/>
          <w:b/>
          <w:color w:val="auto"/>
          <w:sz w:val="32"/>
          <w:szCs w:val="32"/>
          <w:highlight w:val="none"/>
          <w:lang w:eastAsia="zh-CN"/>
        </w:rPr>
      </w:pPr>
      <w:r>
        <w:rPr>
          <w:rFonts w:hint="eastAsia" w:ascii="宋体" w:hAnsi="宋体" w:eastAsia="宋体" w:cs="宋体"/>
          <w:color w:val="auto"/>
          <w:sz w:val="24"/>
          <w:highlight w:val="none"/>
        </w:rPr>
        <w:t>（3）类似业绩。</w:t>
      </w:r>
      <w:bookmarkStart w:id="63" w:name="OLE_LINK74"/>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无业绩可不附</w:t>
      </w:r>
      <w:r>
        <w:rPr>
          <w:rFonts w:hint="eastAsia" w:ascii="宋体" w:hAnsi="宋体" w:eastAsia="宋体" w:cs="宋体"/>
          <w:color w:val="auto"/>
          <w:sz w:val="24"/>
          <w:highlight w:val="none"/>
          <w:lang w:eastAsia="zh-CN"/>
        </w:rPr>
        <w:t>）</w:t>
      </w:r>
    </w:p>
    <w:bookmarkEnd w:id="63"/>
    <w:p w14:paraId="6BB3FB9D">
      <w:pPr>
        <w:pageBreakBefore w:val="0"/>
        <w:bidi w:val="0"/>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r>
    </w:p>
    <w:bookmarkEnd w:id="61"/>
    <w:p w14:paraId="38DC3AE0">
      <w:pPr>
        <w:pageBreakBefore w:val="0"/>
        <w:bidi w:val="0"/>
        <w:spacing w:line="360" w:lineRule="auto"/>
        <w:jc w:val="center"/>
        <w:rPr>
          <w:rFonts w:hint="eastAsia" w:ascii="宋体" w:hAnsi="宋体" w:eastAsia="宋体" w:cs="宋体"/>
          <w:b/>
          <w:sz w:val="32"/>
          <w:highlight w:val="none"/>
          <w:lang w:val="en-US" w:eastAsia="zh-CN"/>
        </w:rPr>
      </w:pPr>
      <w:bookmarkStart w:id="64" w:name="OLE_LINK15"/>
      <w:r>
        <w:rPr>
          <w:rFonts w:hint="eastAsia" w:ascii="宋体" w:hAnsi="宋体" w:eastAsia="宋体" w:cs="宋体"/>
          <w:b/>
          <w:sz w:val="32"/>
          <w:highlight w:val="none"/>
        </w:rPr>
        <w:t>七、</w:t>
      </w:r>
      <w:bookmarkStart w:id="65" w:name="OLE_LINK75"/>
      <w:r>
        <w:rPr>
          <w:rFonts w:hint="eastAsia" w:ascii="宋体" w:hAnsi="宋体" w:eastAsia="宋体" w:cs="宋体"/>
          <w:b/>
          <w:sz w:val="32"/>
          <w:highlight w:val="none"/>
        </w:rPr>
        <w:t>供应商承诺</w:t>
      </w:r>
      <w:r>
        <w:rPr>
          <w:rFonts w:hint="eastAsia" w:ascii="宋体" w:hAnsi="宋体" w:eastAsia="宋体" w:cs="宋体"/>
          <w:b/>
          <w:sz w:val="32"/>
          <w:highlight w:val="none"/>
          <w:lang w:val="en-US" w:eastAsia="zh-CN"/>
        </w:rPr>
        <w:t>书</w:t>
      </w:r>
    </w:p>
    <w:bookmarkEnd w:id="65"/>
    <w:p w14:paraId="1520567B">
      <w:pPr>
        <w:pageBreakBefore w:val="0"/>
        <w:bidi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7</w:t>
      </w:r>
      <w:r>
        <w:rPr>
          <w:rFonts w:hint="eastAsia" w:ascii="宋体" w:hAnsi="宋体" w:eastAsia="宋体" w:cs="宋体"/>
          <w:sz w:val="24"/>
          <w:highlight w:val="none"/>
        </w:rPr>
        <w:t>.1供应商签署承诺书</w:t>
      </w:r>
    </w:p>
    <w:p w14:paraId="745D479E">
      <w:pPr>
        <w:pageBreakBefore w:val="0"/>
        <w:bidi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7</w:t>
      </w:r>
      <w:r>
        <w:rPr>
          <w:rFonts w:hint="eastAsia" w:ascii="宋体" w:hAnsi="宋体" w:eastAsia="宋体" w:cs="宋体"/>
          <w:sz w:val="24"/>
          <w:highlight w:val="none"/>
        </w:rPr>
        <w:t>.1.1 未签署或者虚假承诺签署本承诺书的，其责任由供应商自行承担。</w:t>
      </w:r>
    </w:p>
    <w:p w14:paraId="6184F11A">
      <w:pPr>
        <w:pageBreakBefore w:val="0"/>
        <w:bidi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7</w:t>
      </w:r>
      <w:r>
        <w:rPr>
          <w:rFonts w:hint="eastAsia" w:ascii="宋体" w:hAnsi="宋体" w:eastAsia="宋体" w:cs="宋体"/>
          <w:sz w:val="24"/>
          <w:highlight w:val="none"/>
        </w:rPr>
        <w:t>.1.2 编制的响应文件正本须装订本原件，副本可装订复印件。</w:t>
      </w:r>
    </w:p>
    <w:p w14:paraId="2686293F">
      <w:pPr>
        <w:pageBreakBefore w:val="0"/>
        <w:bidi w:val="0"/>
        <w:spacing w:line="360" w:lineRule="auto"/>
        <w:ind w:right="480" w:firstLine="482" w:firstLineChars="150"/>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承诺书Ⅱ</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23"/>
        <w:gridCol w:w="3614"/>
        <w:gridCol w:w="2890"/>
      </w:tblGrid>
      <w:tr w14:paraId="4BE6F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9527" w:type="dxa"/>
            <w:gridSpan w:val="3"/>
            <w:vAlign w:val="center"/>
          </w:tcPr>
          <w:p w14:paraId="311F8B1D">
            <w:pPr>
              <w:pageBreakBefore w:val="0"/>
              <w:bidi w:val="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致：</w:t>
            </w:r>
            <w:r>
              <w:rPr>
                <w:rFonts w:hint="eastAsia" w:ascii="宋体" w:hAnsi="宋体" w:eastAsia="宋体" w:cs="宋体"/>
                <w:color w:val="000000"/>
                <w:sz w:val="24"/>
                <w:highlight w:val="none"/>
                <w:lang w:eastAsia="zh-CN"/>
              </w:rPr>
              <w:t xml:space="preserve">华睿诚项目管理有限公司 </w:t>
            </w:r>
          </w:p>
        </w:tc>
      </w:tr>
      <w:tr w14:paraId="42485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9" w:hRule="atLeast"/>
          <w:jc w:val="center"/>
        </w:trPr>
        <w:tc>
          <w:tcPr>
            <w:tcW w:w="9527" w:type="dxa"/>
            <w:gridSpan w:val="3"/>
            <w:vAlign w:val="center"/>
          </w:tcPr>
          <w:p w14:paraId="33A5181A">
            <w:pPr>
              <w:pageBreakBefore w:val="0"/>
              <w:bidi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作为参加贵公司组织的谈判采购项目的供应商，本公司承诺：在参加本项目谈判之前不存在被依法禁止经营行为、财产被接管或冻结的情况，如有隐瞒实情，愿承担一切责任及后果。</w:t>
            </w:r>
          </w:p>
        </w:tc>
      </w:tr>
      <w:tr w14:paraId="17D30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3023" w:type="dxa"/>
            <w:vAlign w:val="center"/>
          </w:tcPr>
          <w:p w14:paraId="6FBFCD94">
            <w:pPr>
              <w:pageBreakBefore w:val="0"/>
              <w:bidi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供应商</w:t>
            </w:r>
          </w:p>
        </w:tc>
        <w:tc>
          <w:tcPr>
            <w:tcW w:w="3614" w:type="dxa"/>
            <w:vAlign w:val="center"/>
          </w:tcPr>
          <w:p w14:paraId="5405DC46">
            <w:pPr>
              <w:pageBreakBefore w:val="0"/>
              <w:bidi w:val="0"/>
              <w:spacing w:line="360" w:lineRule="auto"/>
              <w:jc w:val="center"/>
              <w:rPr>
                <w:rFonts w:hint="eastAsia" w:ascii="宋体" w:hAnsi="宋体" w:eastAsia="宋体" w:cs="宋体"/>
                <w:color w:val="000000"/>
                <w:sz w:val="24"/>
                <w:highlight w:val="none"/>
              </w:rPr>
            </w:pPr>
            <w:r>
              <w:rPr>
                <w:rFonts w:hint="eastAsia" w:ascii="宋体" w:hAnsi="宋体" w:eastAsia="宋体" w:cs="宋体"/>
                <w:sz w:val="24"/>
                <w:highlight w:val="none"/>
              </w:rPr>
              <w:t>法定代表人</w:t>
            </w:r>
          </w:p>
        </w:tc>
        <w:tc>
          <w:tcPr>
            <w:tcW w:w="2890" w:type="dxa"/>
            <w:vAlign w:val="center"/>
          </w:tcPr>
          <w:p w14:paraId="4596FC57">
            <w:pPr>
              <w:pageBreakBefore w:val="0"/>
              <w:bidi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日  期</w:t>
            </w:r>
          </w:p>
        </w:tc>
      </w:tr>
      <w:tr w14:paraId="359E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8" w:hRule="atLeast"/>
          <w:jc w:val="center"/>
        </w:trPr>
        <w:tc>
          <w:tcPr>
            <w:tcW w:w="3023" w:type="dxa"/>
            <w:vAlign w:val="center"/>
          </w:tcPr>
          <w:p w14:paraId="3D128864">
            <w:pPr>
              <w:pageBreakBefore w:val="0"/>
              <w:bidi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（公章）</w:t>
            </w:r>
          </w:p>
        </w:tc>
        <w:tc>
          <w:tcPr>
            <w:tcW w:w="3614" w:type="dxa"/>
            <w:vAlign w:val="center"/>
          </w:tcPr>
          <w:p w14:paraId="0C2FD598">
            <w:pPr>
              <w:pageBreakBefore w:val="0"/>
              <w:bidi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（签字或盖章）</w:t>
            </w:r>
          </w:p>
        </w:tc>
        <w:tc>
          <w:tcPr>
            <w:tcW w:w="2890" w:type="dxa"/>
            <w:vAlign w:val="center"/>
          </w:tcPr>
          <w:p w14:paraId="11ADBFAE">
            <w:pPr>
              <w:pageBreakBefore w:val="0"/>
              <w:bidi w:val="0"/>
              <w:spacing w:line="360" w:lineRule="auto"/>
              <w:ind w:firstLine="240" w:firstLineChars="10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年  月  日</w:t>
            </w:r>
          </w:p>
        </w:tc>
      </w:tr>
    </w:tbl>
    <w:p w14:paraId="5C1EC349">
      <w:pPr>
        <w:pageBreakBefore w:val="0"/>
        <w:bidi w:val="0"/>
        <w:spacing w:line="360" w:lineRule="auto"/>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承诺书Ⅲ</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32"/>
        <w:gridCol w:w="3765"/>
        <w:gridCol w:w="2577"/>
      </w:tblGrid>
      <w:tr w14:paraId="4FBE8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9474" w:type="dxa"/>
            <w:gridSpan w:val="3"/>
            <w:vAlign w:val="center"/>
          </w:tcPr>
          <w:p w14:paraId="68C3AC2A">
            <w:pPr>
              <w:pageBreakBefore w:val="0"/>
              <w:bidi w:val="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致：</w:t>
            </w:r>
            <w:r>
              <w:rPr>
                <w:rFonts w:hint="eastAsia" w:ascii="宋体" w:hAnsi="宋体" w:eastAsia="宋体" w:cs="宋体"/>
                <w:color w:val="000000"/>
                <w:sz w:val="24"/>
                <w:highlight w:val="none"/>
                <w:lang w:eastAsia="zh-CN"/>
              </w:rPr>
              <w:t xml:space="preserve">华睿诚项目管理有限公司 </w:t>
            </w:r>
          </w:p>
        </w:tc>
      </w:tr>
      <w:tr w14:paraId="3A5DF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0" w:hRule="atLeast"/>
          <w:jc w:val="center"/>
        </w:trPr>
        <w:tc>
          <w:tcPr>
            <w:tcW w:w="9474" w:type="dxa"/>
            <w:gridSpan w:val="3"/>
            <w:vAlign w:val="center"/>
          </w:tcPr>
          <w:p w14:paraId="76A5FCEF">
            <w:pPr>
              <w:pageBreakBefore w:val="0"/>
              <w:bidi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作为参加贵公司组织的谈判采购项目的供应商，本公司郑重申告：近三年因产品（设备）供货问题（水货、替代品、次品、翻新品等）的不法行为记录为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次（没有填零），如有隐瞒实情，愿承担一切责任及后果。</w:t>
            </w:r>
          </w:p>
          <w:p w14:paraId="5CC0C47E">
            <w:pPr>
              <w:pageBreakBefore w:val="0"/>
              <w:bidi w:val="0"/>
              <w:spacing w:line="360" w:lineRule="auto"/>
              <w:ind w:firstLine="360" w:firstLineChars="150"/>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本公司承诺：本次磋商标的物为正品行货。</w:t>
            </w:r>
          </w:p>
        </w:tc>
      </w:tr>
      <w:tr w14:paraId="5CFEE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3132" w:type="dxa"/>
            <w:vAlign w:val="center"/>
          </w:tcPr>
          <w:p w14:paraId="2555E308">
            <w:pPr>
              <w:pageBreakBefore w:val="0"/>
              <w:bidi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供应商</w:t>
            </w:r>
          </w:p>
        </w:tc>
        <w:tc>
          <w:tcPr>
            <w:tcW w:w="3765" w:type="dxa"/>
            <w:vAlign w:val="center"/>
          </w:tcPr>
          <w:p w14:paraId="0F2C02E8">
            <w:pPr>
              <w:pageBreakBefore w:val="0"/>
              <w:bidi w:val="0"/>
              <w:spacing w:line="360" w:lineRule="auto"/>
              <w:jc w:val="center"/>
              <w:rPr>
                <w:rFonts w:hint="eastAsia" w:ascii="宋体" w:hAnsi="宋体" w:eastAsia="宋体" w:cs="宋体"/>
                <w:color w:val="000000"/>
                <w:sz w:val="24"/>
                <w:highlight w:val="none"/>
              </w:rPr>
            </w:pPr>
            <w:r>
              <w:rPr>
                <w:rFonts w:hint="eastAsia" w:ascii="宋体" w:hAnsi="宋体" w:eastAsia="宋体" w:cs="宋体"/>
                <w:sz w:val="24"/>
                <w:highlight w:val="none"/>
              </w:rPr>
              <w:t>法定代表人</w:t>
            </w:r>
          </w:p>
        </w:tc>
        <w:tc>
          <w:tcPr>
            <w:tcW w:w="2577" w:type="dxa"/>
            <w:vAlign w:val="center"/>
          </w:tcPr>
          <w:p w14:paraId="4F911080">
            <w:pPr>
              <w:pageBreakBefore w:val="0"/>
              <w:bidi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日   期</w:t>
            </w:r>
          </w:p>
        </w:tc>
      </w:tr>
      <w:tr w14:paraId="4629B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9" w:hRule="atLeast"/>
          <w:jc w:val="center"/>
        </w:trPr>
        <w:tc>
          <w:tcPr>
            <w:tcW w:w="3132" w:type="dxa"/>
            <w:vAlign w:val="center"/>
          </w:tcPr>
          <w:p w14:paraId="011DE62A">
            <w:pPr>
              <w:pageBreakBefore w:val="0"/>
              <w:bidi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（公章）</w:t>
            </w:r>
          </w:p>
        </w:tc>
        <w:tc>
          <w:tcPr>
            <w:tcW w:w="3765" w:type="dxa"/>
            <w:vAlign w:val="center"/>
          </w:tcPr>
          <w:p w14:paraId="498B4432">
            <w:pPr>
              <w:pageBreakBefore w:val="0"/>
              <w:bidi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（签字或盖章）</w:t>
            </w:r>
          </w:p>
        </w:tc>
        <w:tc>
          <w:tcPr>
            <w:tcW w:w="2577" w:type="dxa"/>
            <w:vAlign w:val="center"/>
          </w:tcPr>
          <w:p w14:paraId="5A363E8D">
            <w:pPr>
              <w:pageBreakBefore w:val="0"/>
              <w:bidi w:val="0"/>
              <w:spacing w:line="360" w:lineRule="auto"/>
              <w:ind w:firstLine="240" w:firstLineChars="10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年  月  日</w:t>
            </w:r>
          </w:p>
        </w:tc>
      </w:tr>
    </w:tbl>
    <w:p w14:paraId="3BFDD9B2">
      <w:pPr>
        <w:pageBreakBefore w:val="0"/>
        <w:bidi w:val="0"/>
        <w:spacing w:line="360" w:lineRule="auto"/>
        <w:jc w:val="center"/>
        <w:rPr>
          <w:rFonts w:hint="eastAsia" w:ascii="宋体" w:hAnsi="宋体" w:eastAsia="宋体" w:cs="宋体"/>
          <w:b/>
          <w:color w:val="000000"/>
          <w:sz w:val="24"/>
          <w:highlight w:val="none"/>
        </w:rPr>
      </w:pPr>
    </w:p>
    <w:p w14:paraId="39162144">
      <w:pPr>
        <w:pageBreakBefore w:val="0"/>
        <w:bidi w:val="0"/>
        <w:spacing w:line="360" w:lineRule="auto"/>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承诺书Ⅳ</w:t>
      </w:r>
    </w:p>
    <w:p w14:paraId="2A937411">
      <w:pPr>
        <w:pageBreakBefore w:val="0"/>
        <w:bidi w:val="0"/>
        <w:spacing w:line="360" w:lineRule="auto"/>
        <w:jc w:val="center"/>
        <w:rPr>
          <w:rFonts w:hint="eastAsia" w:ascii="宋体" w:hAnsi="宋体" w:eastAsia="宋体" w:cs="宋体"/>
          <w:b/>
          <w:color w:val="000000"/>
          <w:sz w:val="24"/>
          <w:highlight w:val="none"/>
        </w:rPr>
      </w:pP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71"/>
        <w:gridCol w:w="3725"/>
        <w:gridCol w:w="2635"/>
      </w:tblGrid>
      <w:tr w14:paraId="54ABE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9531" w:type="dxa"/>
            <w:gridSpan w:val="3"/>
            <w:vAlign w:val="center"/>
          </w:tcPr>
          <w:p w14:paraId="098335D0">
            <w:pPr>
              <w:pageBreakBefore w:val="0"/>
              <w:bidi w:val="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致：</w:t>
            </w:r>
            <w:r>
              <w:rPr>
                <w:rFonts w:hint="eastAsia" w:ascii="宋体" w:hAnsi="宋体" w:eastAsia="宋体" w:cs="宋体"/>
                <w:color w:val="000000"/>
                <w:sz w:val="24"/>
                <w:highlight w:val="none"/>
                <w:lang w:eastAsia="zh-CN"/>
              </w:rPr>
              <w:t xml:space="preserve">华睿诚项目管理有限公司 </w:t>
            </w:r>
          </w:p>
        </w:tc>
      </w:tr>
      <w:tr w14:paraId="5AB87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6" w:hRule="atLeast"/>
          <w:jc w:val="center"/>
        </w:trPr>
        <w:tc>
          <w:tcPr>
            <w:tcW w:w="9531" w:type="dxa"/>
            <w:gridSpan w:val="3"/>
            <w:vAlign w:val="center"/>
          </w:tcPr>
          <w:p w14:paraId="31065CD3">
            <w:pPr>
              <w:pageBreakBefore w:val="0"/>
              <w:bidi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作为参加贵公司组织的谈判采购项目的供应商，本公司承诺：参加本次谈判提交的所有资质证明文件及业绩证明文件是真实的、有效的，如有隐瞒实情，愿承担一切责任及后果。</w:t>
            </w:r>
          </w:p>
        </w:tc>
      </w:tr>
      <w:tr w14:paraId="247F2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3171" w:type="dxa"/>
            <w:vAlign w:val="center"/>
          </w:tcPr>
          <w:p w14:paraId="5E5059FF">
            <w:pPr>
              <w:pageBreakBefore w:val="0"/>
              <w:bidi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供应商</w:t>
            </w:r>
          </w:p>
        </w:tc>
        <w:tc>
          <w:tcPr>
            <w:tcW w:w="3725" w:type="dxa"/>
            <w:vAlign w:val="center"/>
          </w:tcPr>
          <w:p w14:paraId="04466E40">
            <w:pPr>
              <w:pageBreakBefore w:val="0"/>
              <w:bidi w:val="0"/>
              <w:spacing w:line="360" w:lineRule="auto"/>
              <w:jc w:val="center"/>
              <w:rPr>
                <w:rFonts w:hint="eastAsia" w:ascii="宋体" w:hAnsi="宋体" w:eastAsia="宋体" w:cs="宋体"/>
                <w:color w:val="000000"/>
                <w:sz w:val="24"/>
                <w:highlight w:val="none"/>
              </w:rPr>
            </w:pPr>
            <w:r>
              <w:rPr>
                <w:rFonts w:hint="eastAsia" w:ascii="宋体" w:hAnsi="宋体" w:eastAsia="宋体" w:cs="宋体"/>
                <w:sz w:val="24"/>
                <w:highlight w:val="none"/>
              </w:rPr>
              <w:t>法定代表人</w:t>
            </w:r>
          </w:p>
        </w:tc>
        <w:tc>
          <w:tcPr>
            <w:tcW w:w="2635" w:type="dxa"/>
            <w:vAlign w:val="center"/>
          </w:tcPr>
          <w:p w14:paraId="4A822468">
            <w:pPr>
              <w:pageBreakBefore w:val="0"/>
              <w:bidi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日   期</w:t>
            </w:r>
          </w:p>
        </w:tc>
      </w:tr>
      <w:tr w14:paraId="241C9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7" w:hRule="atLeast"/>
          <w:jc w:val="center"/>
        </w:trPr>
        <w:tc>
          <w:tcPr>
            <w:tcW w:w="3171" w:type="dxa"/>
            <w:vAlign w:val="center"/>
          </w:tcPr>
          <w:p w14:paraId="1084EACC">
            <w:pPr>
              <w:pageBreakBefore w:val="0"/>
              <w:bidi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（公章）</w:t>
            </w:r>
          </w:p>
        </w:tc>
        <w:tc>
          <w:tcPr>
            <w:tcW w:w="3725" w:type="dxa"/>
            <w:vAlign w:val="center"/>
          </w:tcPr>
          <w:p w14:paraId="50021591">
            <w:pPr>
              <w:pageBreakBefore w:val="0"/>
              <w:bidi w:val="0"/>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（签字或盖章）</w:t>
            </w:r>
          </w:p>
        </w:tc>
        <w:tc>
          <w:tcPr>
            <w:tcW w:w="2635" w:type="dxa"/>
            <w:vAlign w:val="center"/>
          </w:tcPr>
          <w:p w14:paraId="30D7D96B">
            <w:pPr>
              <w:pageBreakBefore w:val="0"/>
              <w:bidi w:val="0"/>
              <w:spacing w:line="360" w:lineRule="auto"/>
              <w:ind w:firstLine="240" w:firstLineChars="10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年  月  日</w:t>
            </w:r>
          </w:p>
        </w:tc>
      </w:tr>
    </w:tbl>
    <w:p w14:paraId="24ACEB4E">
      <w:pPr>
        <w:pageBreakBefore w:val="0"/>
        <w:bidi w:val="0"/>
        <w:spacing w:line="360" w:lineRule="auto"/>
        <w:rPr>
          <w:rFonts w:hint="eastAsia" w:ascii="宋体" w:hAnsi="宋体" w:eastAsia="宋体" w:cs="宋体"/>
          <w:b/>
          <w:color w:val="000000"/>
          <w:sz w:val="42"/>
          <w:szCs w:val="42"/>
          <w:highlight w:val="none"/>
        </w:rPr>
      </w:pPr>
    </w:p>
    <w:p w14:paraId="6503233C">
      <w:pPr>
        <w:pageBreakBefore w:val="0"/>
        <w:bidi w:val="0"/>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r>
    </w:p>
    <w:p w14:paraId="6BBDCC7A">
      <w:pPr>
        <w:pageBreakBefore w:val="0"/>
        <w:bidi w:val="0"/>
        <w:spacing w:line="360" w:lineRule="auto"/>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承诺书</w:t>
      </w:r>
      <w:r>
        <w:rPr>
          <w:rFonts w:hint="eastAsia" w:ascii="宋体" w:hAnsi="宋体" w:eastAsia="宋体" w:cs="宋体"/>
          <w:b/>
          <w:sz w:val="36"/>
          <w:szCs w:val="36"/>
          <w:highlight w:val="none"/>
        </w:rPr>
        <w:fldChar w:fldCharType="begin"/>
      </w:r>
      <w:r>
        <w:rPr>
          <w:rFonts w:hint="eastAsia" w:ascii="宋体" w:hAnsi="宋体" w:eastAsia="宋体" w:cs="宋体"/>
          <w:b/>
          <w:sz w:val="36"/>
          <w:szCs w:val="36"/>
          <w:highlight w:val="none"/>
        </w:rPr>
        <w:instrText xml:space="preserve"> = 5 \* ROMAN </w:instrText>
      </w:r>
      <w:r>
        <w:rPr>
          <w:rFonts w:hint="eastAsia" w:ascii="宋体" w:hAnsi="宋体" w:eastAsia="宋体" w:cs="宋体"/>
          <w:b/>
          <w:sz w:val="36"/>
          <w:szCs w:val="36"/>
          <w:highlight w:val="none"/>
        </w:rPr>
        <w:fldChar w:fldCharType="separate"/>
      </w:r>
      <w:r>
        <w:rPr>
          <w:rFonts w:hint="eastAsia" w:ascii="宋体" w:hAnsi="宋体" w:eastAsia="宋体" w:cs="宋体"/>
          <w:b/>
          <w:sz w:val="36"/>
          <w:szCs w:val="36"/>
          <w:highlight w:val="none"/>
        </w:rPr>
        <w:t>V</w:t>
      </w:r>
      <w:r>
        <w:rPr>
          <w:rFonts w:hint="eastAsia" w:ascii="宋体" w:hAnsi="宋体" w:eastAsia="宋体" w:cs="宋体"/>
          <w:b/>
          <w:sz w:val="36"/>
          <w:szCs w:val="36"/>
          <w:highlight w:val="none"/>
        </w:rPr>
        <w:fldChar w:fldCharType="end"/>
      </w:r>
    </w:p>
    <w:p w14:paraId="27F54929">
      <w:pPr>
        <w:pageBreakBefore w:val="0"/>
        <w:widowControl/>
        <w:bidi w:val="0"/>
        <w:spacing w:line="360" w:lineRule="auto"/>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t>陕西省政府采购供应商</w:t>
      </w:r>
    </w:p>
    <w:p w14:paraId="69AB3DF0">
      <w:pPr>
        <w:pageBreakBefore w:val="0"/>
        <w:widowControl/>
        <w:bidi w:val="0"/>
        <w:spacing w:line="360" w:lineRule="auto"/>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t>拒绝政府采购领域商业贿赂承诺书</w:t>
      </w:r>
    </w:p>
    <w:p w14:paraId="4CA44DAC">
      <w:pPr>
        <w:pageBreakBefore w:val="0"/>
        <w:bidi w:val="0"/>
        <w:spacing w:line="360" w:lineRule="auto"/>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t>（执行陕财办采管[2006]21号文件）</w:t>
      </w:r>
    </w:p>
    <w:p w14:paraId="0192DF4A">
      <w:pPr>
        <w:pageBreakBefore w:val="0"/>
        <w:bidi w:val="0"/>
        <w:spacing w:line="360" w:lineRule="auto"/>
        <w:jc w:val="center"/>
        <w:rPr>
          <w:rFonts w:hint="eastAsia" w:ascii="宋体" w:hAnsi="宋体" w:eastAsia="宋体" w:cs="宋体"/>
          <w:bCs/>
          <w:sz w:val="24"/>
          <w:highlight w:val="none"/>
        </w:rPr>
      </w:pPr>
    </w:p>
    <w:p w14:paraId="522629A3">
      <w:pPr>
        <w:pageBreakBefore w:val="0"/>
        <w:bidi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为响应党中央、国务院关于治理政府采购领域商业贿赂行为的号召，我公司在此庄严承诺：</w:t>
      </w:r>
    </w:p>
    <w:p w14:paraId="5465E21C">
      <w:pPr>
        <w:pageBreakBefore w:val="0"/>
        <w:bidi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1、在参与政府采购活动中遵纪守法、诚信经营、公平竞标。</w:t>
      </w:r>
    </w:p>
    <w:p w14:paraId="73BD6917">
      <w:pPr>
        <w:pageBreakBefore w:val="0"/>
        <w:bidi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2、不向政府采购人、采购代理机构和政府采购评审专家进行任何形式的商业贿赂以谋取交易机会。</w:t>
      </w:r>
    </w:p>
    <w:p w14:paraId="1E0978D8">
      <w:pPr>
        <w:pageBreakBefore w:val="0"/>
        <w:bidi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3、不向政府采购代理机构和采购人提供虚假资格文件或采用虚假应标方式参与政府采购市场竞争并谋取成交。</w:t>
      </w:r>
    </w:p>
    <w:p w14:paraId="18614895">
      <w:pPr>
        <w:pageBreakBefore w:val="0"/>
        <w:bidi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4、不采取“围标、陪标”等商业欺诈手段获得政府采购定单。</w:t>
      </w:r>
    </w:p>
    <w:p w14:paraId="4900FAC4">
      <w:pPr>
        <w:pageBreakBefore w:val="0"/>
        <w:bidi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5、不采取不正当手段诋毁、排挤其他供应商。</w:t>
      </w:r>
    </w:p>
    <w:p w14:paraId="32B06898">
      <w:pPr>
        <w:pageBreakBefore w:val="0"/>
        <w:bidi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6、不在提供商品和服务时“偷梁换柱、以次充好”损害采购人的合法权益。</w:t>
      </w:r>
    </w:p>
    <w:p w14:paraId="2076A197">
      <w:pPr>
        <w:pageBreakBefore w:val="0"/>
        <w:bidi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7、不与采购人、采购代理机构政府采购评审专家或其它供应商恶意串通，进行质疑和投诉，维护政府采购市场秩序。</w:t>
      </w:r>
    </w:p>
    <w:p w14:paraId="34B7B9CE">
      <w:pPr>
        <w:pageBreakBefore w:val="0"/>
        <w:bidi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8、尊重和接受政府采购监督管理部门的监督和政府采购代理机构询价采购要求，承担因违约行为给采购人造成的损失。</w:t>
      </w:r>
    </w:p>
    <w:p w14:paraId="6ACE70EF">
      <w:pPr>
        <w:pageBreakBefore w:val="0"/>
        <w:bidi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9、不发生其他有悖于政府采购公开、公平、公正和诚信原则的行为。</w:t>
      </w:r>
    </w:p>
    <w:p w14:paraId="5A54B576">
      <w:pPr>
        <w:pageBreakBefore w:val="0"/>
        <w:bidi w:val="0"/>
        <w:spacing w:line="360" w:lineRule="auto"/>
        <w:ind w:firstLine="480" w:firstLineChars="200"/>
        <w:rPr>
          <w:rFonts w:hint="eastAsia" w:ascii="宋体" w:hAnsi="宋体" w:eastAsia="宋体" w:cs="宋体"/>
          <w:sz w:val="24"/>
          <w:highlight w:val="none"/>
        </w:rPr>
      </w:pPr>
    </w:p>
    <w:p w14:paraId="08E0B6AF">
      <w:pPr>
        <w:pageBreakBefore w:val="0"/>
        <w:bidi w:val="0"/>
        <w:spacing w:line="360" w:lineRule="auto"/>
        <w:ind w:firstLine="480" w:firstLineChars="200"/>
        <w:rPr>
          <w:rFonts w:hint="eastAsia" w:ascii="宋体" w:hAnsi="宋体" w:eastAsia="宋体" w:cs="宋体"/>
          <w:sz w:val="24"/>
          <w:highlight w:val="none"/>
        </w:rPr>
      </w:pPr>
    </w:p>
    <w:p w14:paraId="58C26CA4">
      <w:pPr>
        <w:pageBreakBefore w:val="0"/>
        <w:bidi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承诺单位：</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（盖章） </w:t>
      </w:r>
    </w:p>
    <w:p w14:paraId="3AB9319D">
      <w:pPr>
        <w:pageBreakBefore w:val="0"/>
        <w:bidi w:val="0"/>
        <w:spacing w:line="360" w:lineRule="auto"/>
        <w:ind w:firstLine="420" w:firstLineChars="175"/>
        <w:rPr>
          <w:rFonts w:hint="eastAsia" w:ascii="宋体" w:hAnsi="宋体" w:eastAsia="宋体" w:cs="宋体"/>
          <w:sz w:val="24"/>
          <w:highlight w:val="none"/>
        </w:rPr>
      </w:pPr>
      <w:r>
        <w:rPr>
          <w:rFonts w:hint="eastAsia" w:ascii="宋体" w:hAnsi="宋体" w:eastAsia="宋体" w:cs="宋体"/>
          <w:sz w:val="24"/>
          <w:highlight w:val="none"/>
        </w:rPr>
        <w:t>全权代表：</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（签字或盖章）</w:t>
      </w:r>
    </w:p>
    <w:p w14:paraId="171BAA89">
      <w:pPr>
        <w:pageBreakBefore w:val="0"/>
        <w:bidi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 xml:space="preserve">地  址：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p>
    <w:p w14:paraId="6B67CA19">
      <w:pPr>
        <w:pageBreakBefore w:val="0"/>
        <w:bidi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 xml:space="preserve">电  话：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p>
    <w:p w14:paraId="1472FCC9">
      <w:pPr>
        <w:pageBreakBefore w:val="0"/>
        <w:bidi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邮  编：</w:t>
      </w:r>
      <w:r>
        <w:rPr>
          <w:rFonts w:hint="eastAsia" w:ascii="宋体" w:hAnsi="宋体" w:eastAsia="宋体" w:cs="宋体"/>
          <w:sz w:val="24"/>
          <w:highlight w:val="none"/>
          <w:u w:val="single"/>
        </w:rPr>
        <w:t xml:space="preserve">                                   </w:t>
      </w:r>
    </w:p>
    <w:p w14:paraId="595C488F">
      <w:pPr>
        <w:pageBreakBefore w:val="0"/>
        <w:bidi w:val="0"/>
        <w:spacing w:line="360" w:lineRule="auto"/>
        <w:jc w:val="right"/>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日</w:t>
      </w:r>
    </w:p>
    <w:p w14:paraId="28DE03B9">
      <w:pPr>
        <w:pageBreakBefore w:val="0"/>
        <w:bidi w:val="0"/>
        <w:spacing w:line="360" w:lineRule="auto"/>
        <w:jc w:val="center"/>
        <w:rPr>
          <w:rFonts w:hint="eastAsia" w:ascii="宋体" w:hAnsi="宋体" w:eastAsia="宋体" w:cs="宋体"/>
          <w:b/>
          <w:bCs/>
          <w:sz w:val="30"/>
          <w:szCs w:val="30"/>
          <w:highlight w:val="none"/>
        </w:rPr>
      </w:pPr>
      <w:bookmarkStart w:id="66" w:name="OLE_LINK76"/>
      <w:r>
        <w:rPr>
          <w:rFonts w:hint="eastAsia" w:ascii="宋体" w:hAnsi="宋体" w:eastAsia="宋体" w:cs="宋体"/>
          <w:b/>
          <w:bCs/>
          <w:sz w:val="30"/>
          <w:szCs w:val="30"/>
          <w:highlight w:val="none"/>
        </w:rPr>
        <w:t>八、供应商认为有必要补充说明的事项</w:t>
      </w:r>
    </w:p>
    <w:bookmarkEnd w:id="64"/>
    <w:bookmarkEnd w:id="66"/>
    <w:p w14:paraId="6841A027">
      <w:pPr>
        <w:pageBreakBefore w:val="0"/>
        <w:bidi w:val="0"/>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br w:type="page"/>
      </w:r>
    </w:p>
    <w:p w14:paraId="38A9F11A">
      <w:pPr>
        <w:pStyle w:val="3"/>
        <w:pageBreakBefore w:val="0"/>
        <w:bidi w:val="0"/>
        <w:spacing w:line="360" w:lineRule="auto"/>
        <w:jc w:val="both"/>
        <w:rPr>
          <w:rFonts w:hint="eastAsia" w:ascii="宋体" w:hAnsi="宋体" w:eastAsia="宋体" w:cs="宋体"/>
          <w:szCs w:val="28"/>
          <w:highlight w:val="none"/>
        </w:rPr>
      </w:pPr>
      <w:bookmarkStart w:id="67" w:name="OLE_LINK72"/>
      <w:r>
        <w:rPr>
          <w:rFonts w:hint="eastAsia" w:ascii="宋体" w:hAnsi="宋体" w:eastAsia="宋体" w:cs="宋体"/>
          <w:spacing w:val="4"/>
          <w:szCs w:val="28"/>
          <w:highlight w:val="none"/>
        </w:rPr>
        <w:t>附件：</w:t>
      </w:r>
    </w:p>
    <w:p w14:paraId="6A9352BA">
      <w:pPr>
        <w:pStyle w:val="3"/>
        <w:pageBreakBefore w:val="0"/>
        <w:bidi w:val="0"/>
        <w:spacing w:line="360" w:lineRule="auto"/>
        <w:rPr>
          <w:rFonts w:hint="eastAsia" w:ascii="宋体" w:hAnsi="宋体" w:eastAsia="宋体" w:cs="宋体"/>
          <w:highlight w:val="none"/>
        </w:rPr>
      </w:pPr>
      <w:r>
        <w:rPr>
          <w:rFonts w:hint="eastAsia" w:ascii="宋体" w:hAnsi="宋体" w:eastAsia="宋体" w:cs="宋体"/>
          <w:szCs w:val="28"/>
          <w:highlight w:val="none"/>
        </w:rPr>
        <w:t>一、</w:t>
      </w:r>
      <w:bookmarkStart w:id="68" w:name="_Toc7134"/>
      <w:r>
        <w:rPr>
          <w:rFonts w:hint="eastAsia" w:ascii="宋体" w:hAnsi="宋体" w:eastAsia="宋体" w:cs="宋体"/>
          <w:highlight w:val="none"/>
        </w:rPr>
        <w:t>中小企业声明函（货物）</w:t>
      </w:r>
      <w:bookmarkEnd w:id="68"/>
    </w:p>
    <w:p w14:paraId="30D99312">
      <w:pPr>
        <w:pStyle w:val="7"/>
        <w:pageBreakBefore w:val="0"/>
        <w:bidi w:val="0"/>
        <w:spacing w:before="1" w:line="360" w:lineRule="auto"/>
        <w:ind w:right="288"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本公司（联合体）郑重声明，根据《政府采购促进中小企业发展管理办法》（财库﹝2020﹞46号）的规定，本公司（联合体）参加</w:t>
      </w:r>
      <w:r>
        <w:rPr>
          <w:rFonts w:hint="eastAsia" w:ascii="宋体" w:hAnsi="宋体" w:eastAsia="宋体" w:cs="宋体"/>
          <w:color w:val="auto"/>
          <w:highlight w:val="none"/>
          <w:u w:val="single"/>
        </w:rPr>
        <w:t>（企业名称）</w:t>
      </w:r>
      <w:r>
        <w:rPr>
          <w:rFonts w:hint="eastAsia" w:ascii="宋体" w:hAnsi="宋体" w:eastAsia="宋体" w:cs="宋体"/>
          <w:color w:val="auto"/>
          <w:highlight w:val="none"/>
        </w:rPr>
        <w:t>的</w:t>
      </w:r>
      <w:r>
        <w:rPr>
          <w:rFonts w:hint="eastAsia" w:ascii="宋体" w:hAnsi="宋体" w:eastAsia="宋体" w:cs="宋体"/>
          <w:color w:val="auto"/>
          <w:highlight w:val="none"/>
          <w:u w:val="single"/>
        </w:rPr>
        <w:t>（采购项目名称）</w:t>
      </w:r>
      <w:r>
        <w:rPr>
          <w:rFonts w:hint="eastAsia" w:ascii="宋体" w:hAnsi="宋体" w:eastAsia="宋体" w:cs="宋体"/>
          <w:color w:val="auto"/>
          <w:highlight w:val="none"/>
        </w:rPr>
        <w:t>采购活动，提供的货物全部由符合政策要求的中小企业制造。相关企业（含联合体中的中小企业、签订分包意向协议的中小企业）的具体情况如下：</w:t>
      </w:r>
    </w:p>
    <w:p w14:paraId="25EBE9CA">
      <w:pPr>
        <w:pageBreakBefore w:val="0"/>
        <w:widowControl/>
        <w:bidi w:val="0"/>
        <w:spacing w:line="360" w:lineRule="auto"/>
        <w:ind w:right="256" w:rightChars="122" w:firstLine="480" w:firstLineChars="200"/>
        <w:jc w:val="left"/>
        <w:rPr>
          <w:rFonts w:hint="eastAsia" w:ascii="宋体" w:hAnsi="宋体" w:eastAsia="宋体" w:cs="宋体"/>
          <w:sz w:val="24"/>
          <w:highlight w:val="none"/>
        </w:rPr>
      </w:pPr>
      <w:r>
        <w:rPr>
          <w:rFonts w:hint="eastAsia" w:ascii="宋体" w:hAnsi="宋体" w:eastAsia="宋体" w:cs="宋体"/>
          <w:kern w:val="0"/>
          <w:sz w:val="24"/>
          <w:highlight w:val="none"/>
          <w:lang w:bidi="ar"/>
        </w:rPr>
        <w:t>1.</w:t>
      </w:r>
      <w:r>
        <w:rPr>
          <w:rFonts w:hint="eastAsia" w:ascii="宋体" w:hAnsi="宋体" w:eastAsia="宋体" w:cs="宋体"/>
          <w:kern w:val="0"/>
          <w:sz w:val="24"/>
          <w:highlight w:val="none"/>
          <w:u w:val="single"/>
          <w:lang w:bidi="ar"/>
        </w:rPr>
        <w:t xml:space="preserve">（标的名称） </w:t>
      </w:r>
      <w:r>
        <w:rPr>
          <w:rFonts w:hint="eastAsia" w:ascii="宋体" w:hAnsi="宋体" w:eastAsia="宋体" w:cs="宋体"/>
          <w:kern w:val="0"/>
          <w:sz w:val="24"/>
          <w:highlight w:val="none"/>
          <w:lang w:bidi="ar"/>
        </w:rPr>
        <w:t>，属于</w:t>
      </w:r>
      <w:r>
        <w:rPr>
          <w:rFonts w:hint="eastAsia" w:ascii="宋体" w:hAnsi="宋体" w:eastAsia="宋体" w:cs="宋体"/>
          <w:kern w:val="0"/>
          <w:sz w:val="24"/>
          <w:highlight w:val="none"/>
          <w:u w:val="single"/>
          <w:lang w:bidi="ar"/>
        </w:rPr>
        <w:t>（采购文件中明确的所属行业）行业</w:t>
      </w:r>
      <w:r>
        <w:rPr>
          <w:rFonts w:hint="eastAsia" w:ascii="宋体" w:hAnsi="宋体" w:eastAsia="宋体" w:cs="宋体"/>
          <w:kern w:val="0"/>
          <w:sz w:val="24"/>
          <w:highlight w:val="none"/>
          <w:lang w:bidi="ar"/>
        </w:rPr>
        <w:t>；制造商为</w:t>
      </w:r>
      <w:r>
        <w:rPr>
          <w:rFonts w:hint="eastAsia" w:ascii="宋体" w:hAnsi="宋体" w:eastAsia="宋体" w:cs="宋体"/>
          <w:kern w:val="0"/>
          <w:sz w:val="24"/>
          <w:highlight w:val="none"/>
          <w:u w:val="single"/>
          <w:lang w:bidi="ar"/>
        </w:rPr>
        <w:t>（企业名称）</w:t>
      </w:r>
      <w:r>
        <w:rPr>
          <w:rFonts w:hint="eastAsia" w:ascii="宋体" w:hAnsi="宋体" w:eastAsia="宋体" w:cs="宋体"/>
          <w:kern w:val="0"/>
          <w:sz w:val="24"/>
          <w:highlight w:val="none"/>
          <w:lang w:bidi="ar"/>
        </w:rPr>
        <w:t>，从业人员</w:t>
      </w:r>
      <w:r>
        <w:rPr>
          <w:rFonts w:hint="eastAsia" w:ascii="宋体" w:hAnsi="宋体" w:eastAsia="宋体" w:cs="宋体"/>
          <w:kern w:val="0"/>
          <w:sz w:val="24"/>
          <w:highlight w:val="none"/>
          <w:u w:val="single"/>
          <w:lang w:bidi="ar"/>
        </w:rPr>
        <w:t xml:space="preserve">     </w:t>
      </w:r>
      <w:r>
        <w:rPr>
          <w:rFonts w:hint="eastAsia" w:ascii="宋体" w:hAnsi="宋体" w:eastAsia="宋体" w:cs="宋体"/>
          <w:kern w:val="0"/>
          <w:sz w:val="24"/>
          <w:highlight w:val="none"/>
          <w:lang w:bidi="ar"/>
        </w:rPr>
        <w:t>人，营业收入为</w:t>
      </w:r>
      <w:r>
        <w:rPr>
          <w:rFonts w:hint="eastAsia" w:ascii="宋体" w:hAnsi="宋体" w:eastAsia="宋体" w:cs="宋体"/>
          <w:kern w:val="0"/>
          <w:sz w:val="24"/>
          <w:highlight w:val="none"/>
          <w:u w:val="single"/>
          <w:lang w:bidi="ar"/>
        </w:rPr>
        <w:t xml:space="preserve">     </w:t>
      </w:r>
      <w:r>
        <w:rPr>
          <w:rFonts w:hint="eastAsia" w:ascii="宋体" w:hAnsi="宋体" w:eastAsia="宋体" w:cs="宋体"/>
          <w:kern w:val="0"/>
          <w:sz w:val="24"/>
          <w:highlight w:val="none"/>
          <w:lang w:bidi="ar"/>
        </w:rPr>
        <w:t>万元，资产总额为</w:t>
      </w:r>
      <w:r>
        <w:rPr>
          <w:rFonts w:hint="eastAsia" w:ascii="宋体" w:hAnsi="宋体" w:eastAsia="宋体" w:cs="宋体"/>
          <w:kern w:val="0"/>
          <w:sz w:val="24"/>
          <w:highlight w:val="none"/>
          <w:u w:val="single"/>
          <w:lang w:bidi="ar"/>
        </w:rPr>
        <w:t xml:space="preserve">    </w:t>
      </w:r>
      <w:r>
        <w:rPr>
          <w:rFonts w:hint="eastAsia" w:ascii="宋体" w:hAnsi="宋体" w:eastAsia="宋体" w:cs="宋体"/>
          <w:kern w:val="0"/>
          <w:sz w:val="24"/>
          <w:highlight w:val="none"/>
          <w:lang w:bidi="ar"/>
        </w:rPr>
        <w:t>万元，属于</w:t>
      </w:r>
      <w:r>
        <w:rPr>
          <w:rFonts w:hint="eastAsia" w:ascii="宋体" w:hAnsi="宋体" w:eastAsia="宋体" w:cs="宋体"/>
          <w:kern w:val="0"/>
          <w:sz w:val="24"/>
          <w:highlight w:val="none"/>
          <w:u w:val="single"/>
          <w:lang w:bidi="ar"/>
        </w:rPr>
        <w:t>（中型企业、小型企业、微型企业）</w:t>
      </w:r>
      <w:r>
        <w:rPr>
          <w:rFonts w:hint="eastAsia" w:ascii="宋体" w:hAnsi="宋体" w:eastAsia="宋体" w:cs="宋体"/>
          <w:kern w:val="0"/>
          <w:sz w:val="24"/>
          <w:highlight w:val="none"/>
          <w:lang w:bidi="ar"/>
        </w:rPr>
        <w:t xml:space="preserve">； </w:t>
      </w:r>
    </w:p>
    <w:p w14:paraId="6674B276">
      <w:pPr>
        <w:pageBreakBefore w:val="0"/>
        <w:widowControl/>
        <w:bidi w:val="0"/>
        <w:spacing w:line="360" w:lineRule="auto"/>
        <w:ind w:right="256" w:rightChars="122" w:firstLine="480" w:firstLineChars="200"/>
        <w:jc w:val="left"/>
        <w:rPr>
          <w:rFonts w:hint="eastAsia" w:ascii="宋体" w:hAnsi="宋体" w:eastAsia="宋体" w:cs="宋体"/>
          <w:sz w:val="24"/>
          <w:highlight w:val="none"/>
        </w:rPr>
      </w:pPr>
      <w:r>
        <w:rPr>
          <w:rFonts w:hint="eastAsia" w:ascii="宋体" w:hAnsi="宋体" w:eastAsia="宋体" w:cs="宋体"/>
          <w:kern w:val="0"/>
          <w:sz w:val="24"/>
          <w:highlight w:val="none"/>
          <w:lang w:bidi="ar"/>
        </w:rPr>
        <w:t>2.</w:t>
      </w:r>
      <w:r>
        <w:rPr>
          <w:rFonts w:hint="eastAsia" w:ascii="宋体" w:hAnsi="宋体" w:eastAsia="宋体" w:cs="宋体"/>
          <w:kern w:val="0"/>
          <w:sz w:val="24"/>
          <w:highlight w:val="none"/>
          <w:u w:val="single"/>
          <w:lang w:bidi="ar"/>
        </w:rPr>
        <w:t xml:space="preserve">（标的名称） </w:t>
      </w:r>
      <w:r>
        <w:rPr>
          <w:rFonts w:hint="eastAsia" w:ascii="宋体" w:hAnsi="宋体" w:eastAsia="宋体" w:cs="宋体"/>
          <w:kern w:val="0"/>
          <w:sz w:val="24"/>
          <w:highlight w:val="none"/>
          <w:lang w:bidi="ar"/>
        </w:rPr>
        <w:t>，属于</w:t>
      </w:r>
      <w:r>
        <w:rPr>
          <w:rFonts w:hint="eastAsia" w:ascii="宋体" w:hAnsi="宋体" w:eastAsia="宋体" w:cs="宋体"/>
          <w:kern w:val="0"/>
          <w:sz w:val="24"/>
          <w:highlight w:val="none"/>
          <w:u w:val="single"/>
          <w:lang w:bidi="ar"/>
        </w:rPr>
        <w:t>（采购文件中明确的所属行业）行业</w:t>
      </w:r>
      <w:r>
        <w:rPr>
          <w:rFonts w:hint="eastAsia" w:ascii="宋体" w:hAnsi="宋体" w:eastAsia="宋体" w:cs="宋体"/>
          <w:kern w:val="0"/>
          <w:sz w:val="24"/>
          <w:highlight w:val="none"/>
          <w:lang w:bidi="ar"/>
        </w:rPr>
        <w:t>；制造商为</w:t>
      </w:r>
      <w:r>
        <w:rPr>
          <w:rFonts w:hint="eastAsia" w:ascii="宋体" w:hAnsi="宋体" w:eastAsia="宋体" w:cs="宋体"/>
          <w:kern w:val="0"/>
          <w:sz w:val="24"/>
          <w:highlight w:val="none"/>
          <w:u w:val="single"/>
          <w:lang w:bidi="ar"/>
        </w:rPr>
        <w:t>（企业名称）</w:t>
      </w:r>
      <w:r>
        <w:rPr>
          <w:rFonts w:hint="eastAsia" w:ascii="宋体" w:hAnsi="宋体" w:eastAsia="宋体" w:cs="宋体"/>
          <w:kern w:val="0"/>
          <w:sz w:val="24"/>
          <w:highlight w:val="none"/>
          <w:lang w:bidi="ar"/>
        </w:rPr>
        <w:t>，从业人员</w:t>
      </w:r>
      <w:r>
        <w:rPr>
          <w:rFonts w:hint="eastAsia" w:ascii="宋体" w:hAnsi="宋体" w:eastAsia="宋体" w:cs="宋体"/>
          <w:kern w:val="0"/>
          <w:sz w:val="24"/>
          <w:highlight w:val="none"/>
          <w:u w:val="single"/>
          <w:lang w:bidi="ar"/>
        </w:rPr>
        <w:t xml:space="preserve">     </w:t>
      </w:r>
      <w:r>
        <w:rPr>
          <w:rFonts w:hint="eastAsia" w:ascii="宋体" w:hAnsi="宋体" w:eastAsia="宋体" w:cs="宋体"/>
          <w:kern w:val="0"/>
          <w:sz w:val="24"/>
          <w:highlight w:val="none"/>
          <w:lang w:bidi="ar"/>
        </w:rPr>
        <w:t>人，营业收入为</w:t>
      </w:r>
      <w:r>
        <w:rPr>
          <w:rFonts w:hint="eastAsia" w:ascii="宋体" w:hAnsi="宋体" w:eastAsia="宋体" w:cs="宋体"/>
          <w:kern w:val="0"/>
          <w:sz w:val="24"/>
          <w:highlight w:val="none"/>
          <w:u w:val="single"/>
          <w:lang w:bidi="ar"/>
        </w:rPr>
        <w:t xml:space="preserve">     </w:t>
      </w:r>
      <w:r>
        <w:rPr>
          <w:rFonts w:hint="eastAsia" w:ascii="宋体" w:hAnsi="宋体" w:eastAsia="宋体" w:cs="宋体"/>
          <w:kern w:val="0"/>
          <w:sz w:val="24"/>
          <w:highlight w:val="none"/>
          <w:lang w:bidi="ar"/>
        </w:rPr>
        <w:t>万元，资产总额为</w:t>
      </w:r>
      <w:r>
        <w:rPr>
          <w:rFonts w:hint="eastAsia" w:ascii="宋体" w:hAnsi="宋体" w:eastAsia="宋体" w:cs="宋体"/>
          <w:kern w:val="0"/>
          <w:sz w:val="24"/>
          <w:highlight w:val="none"/>
          <w:u w:val="single"/>
          <w:lang w:bidi="ar"/>
        </w:rPr>
        <w:t xml:space="preserve">    </w:t>
      </w:r>
      <w:r>
        <w:rPr>
          <w:rFonts w:hint="eastAsia" w:ascii="宋体" w:hAnsi="宋体" w:eastAsia="宋体" w:cs="宋体"/>
          <w:kern w:val="0"/>
          <w:sz w:val="24"/>
          <w:highlight w:val="none"/>
          <w:lang w:bidi="ar"/>
        </w:rPr>
        <w:t>万元，属于</w:t>
      </w:r>
      <w:r>
        <w:rPr>
          <w:rFonts w:hint="eastAsia" w:ascii="宋体" w:hAnsi="宋体" w:eastAsia="宋体" w:cs="宋体"/>
          <w:kern w:val="0"/>
          <w:sz w:val="24"/>
          <w:highlight w:val="none"/>
          <w:u w:val="single"/>
          <w:lang w:bidi="ar"/>
        </w:rPr>
        <w:t>（中型企业、小型企业、微型企业）</w:t>
      </w:r>
      <w:r>
        <w:rPr>
          <w:rFonts w:hint="eastAsia" w:ascii="宋体" w:hAnsi="宋体" w:eastAsia="宋体" w:cs="宋体"/>
          <w:kern w:val="0"/>
          <w:sz w:val="24"/>
          <w:highlight w:val="none"/>
          <w:lang w:bidi="ar"/>
        </w:rPr>
        <w:t xml:space="preserve">； </w:t>
      </w:r>
    </w:p>
    <w:p w14:paraId="25EF4F08">
      <w:pPr>
        <w:pStyle w:val="7"/>
        <w:pageBreakBefore w:val="0"/>
        <w:bidi w:val="0"/>
        <w:spacing w:line="360" w:lineRule="auto"/>
        <w:ind w:left="218" w:right="256" w:rightChars="122"/>
        <w:rPr>
          <w:rFonts w:hint="eastAsia" w:ascii="宋体" w:hAnsi="宋体" w:eastAsia="宋体" w:cs="宋体"/>
          <w:color w:val="auto"/>
          <w:highlight w:val="none"/>
        </w:rPr>
      </w:pPr>
      <w:r>
        <w:rPr>
          <w:rFonts w:hint="eastAsia" w:ascii="宋体" w:hAnsi="宋体" w:eastAsia="宋体" w:cs="宋体"/>
          <w:color w:val="auto"/>
          <w:highlight w:val="none"/>
        </w:rPr>
        <w:t>……</w:t>
      </w:r>
    </w:p>
    <w:p w14:paraId="68B7AA8A">
      <w:pPr>
        <w:pStyle w:val="7"/>
        <w:pageBreakBefore w:val="0"/>
        <w:bidi w:val="0"/>
        <w:spacing w:before="155" w:line="360" w:lineRule="auto"/>
        <w:ind w:right="363"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以上企业，不属于大企业的分支机构，不存在控股股东为大企业的情形，也不存在与大企业的负责人为同一人的情形。</w:t>
      </w:r>
    </w:p>
    <w:p w14:paraId="691658A8">
      <w:pPr>
        <w:pStyle w:val="7"/>
        <w:pageBreakBefore w:val="0"/>
        <w:bidi w:val="0"/>
        <w:spacing w:line="360" w:lineRule="auto"/>
        <w:ind w:right="368" w:rightChars="175"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本企业对上述声明内容的真实性负责。如有虚假，将依法承担相应责任。</w:t>
      </w:r>
    </w:p>
    <w:p w14:paraId="19540DC9">
      <w:pPr>
        <w:pStyle w:val="7"/>
        <w:pageBreakBefore w:val="0"/>
        <w:bidi w:val="0"/>
        <w:spacing w:before="172" w:line="360" w:lineRule="auto"/>
        <w:ind w:left="227" w:leftChars="108" w:right="-54" w:firstLine="2620" w:firstLineChars="1092"/>
        <w:rPr>
          <w:rFonts w:hint="eastAsia" w:ascii="宋体" w:hAnsi="宋体" w:eastAsia="宋体" w:cs="宋体"/>
          <w:color w:val="auto"/>
          <w:highlight w:val="none"/>
          <w:u w:val="single"/>
        </w:rPr>
      </w:pPr>
      <w:r>
        <w:rPr>
          <w:rFonts w:hint="eastAsia" w:ascii="宋体" w:hAnsi="宋体" w:eastAsia="宋体" w:cs="宋体"/>
          <w:color w:val="auto"/>
          <w:highlight w:val="none"/>
        </w:rPr>
        <w:t>企业名称（盖章）：</w:t>
      </w:r>
      <w:r>
        <w:rPr>
          <w:rFonts w:hint="eastAsia" w:ascii="宋体" w:hAnsi="宋体" w:eastAsia="宋体" w:cs="宋体"/>
          <w:color w:val="auto"/>
          <w:highlight w:val="none"/>
          <w:u w:val="single"/>
        </w:rPr>
        <w:t xml:space="preserve">                  </w:t>
      </w:r>
    </w:p>
    <w:p w14:paraId="48A188F3">
      <w:pPr>
        <w:pStyle w:val="7"/>
        <w:pageBreakBefore w:val="0"/>
        <w:bidi w:val="0"/>
        <w:spacing w:before="172" w:line="360" w:lineRule="auto"/>
        <w:ind w:left="227" w:leftChars="108" w:right="-54" w:firstLine="2620" w:firstLineChars="1092"/>
        <w:rPr>
          <w:rFonts w:hint="eastAsia" w:ascii="宋体" w:hAnsi="宋体" w:eastAsia="宋体" w:cs="宋体"/>
          <w:highlight w:val="none"/>
          <w:u w:val="single"/>
        </w:rPr>
      </w:pPr>
      <w:r>
        <w:rPr>
          <w:rFonts w:hint="eastAsia" w:ascii="宋体" w:hAnsi="宋体" w:eastAsia="宋体" w:cs="宋体"/>
          <w:color w:val="auto"/>
          <w:highlight w:val="none"/>
        </w:rPr>
        <w:t>日            期：</w:t>
      </w:r>
      <w:r>
        <w:rPr>
          <w:rFonts w:hint="eastAsia" w:ascii="宋体" w:hAnsi="宋体" w:eastAsia="宋体" w:cs="宋体"/>
          <w:color w:val="auto"/>
          <w:highlight w:val="none"/>
          <w:u w:val="single"/>
        </w:rPr>
        <w:t xml:space="preserve">                  </w:t>
      </w:r>
    </w:p>
    <w:p w14:paraId="780F9D34">
      <w:pPr>
        <w:pageBreakBefore w:val="0"/>
        <w:bidi w:val="0"/>
        <w:spacing w:line="360" w:lineRule="auto"/>
        <w:ind w:firstLine="480" w:firstLineChars="200"/>
        <w:jc w:val="left"/>
        <w:rPr>
          <w:rFonts w:hint="eastAsia" w:ascii="宋体" w:hAnsi="宋体" w:eastAsia="宋体" w:cs="宋体"/>
          <w:bCs/>
          <w:sz w:val="24"/>
          <w:highlight w:val="none"/>
        </w:rPr>
      </w:pPr>
      <w:r>
        <w:rPr>
          <w:rFonts w:hint="eastAsia" w:ascii="宋体" w:hAnsi="宋体" w:eastAsia="宋体" w:cs="宋体"/>
          <w:bCs/>
          <w:sz w:val="24"/>
          <w:highlight w:val="none"/>
        </w:rPr>
        <w:t>注：¹从业人员、营业收入、资产总额填报上一年度数据，无上一年度数据的新成立企业可不填报。</w:t>
      </w:r>
    </w:p>
    <w:p w14:paraId="0A0EC64F">
      <w:pPr>
        <w:pageBreakBefore w:val="0"/>
        <w:bidi w:val="0"/>
        <w:spacing w:line="360" w:lineRule="auto"/>
        <w:jc w:val="left"/>
        <w:rPr>
          <w:rFonts w:hint="eastAsia" w:ascii="宋体" w:hAnsi="宋体" w:eastAsia="宋体" w:cs="宋体"/>
          <w:b/>
          <w:sz w:val="24"/>
          <w:highlight w:val="none"/>
        </w:rPr>
      </w:pPr>
      <w:r>
        <w:rPr>
          <w:rFonts w:hint="eastAsia" w:ascii="宋体" w:hAnsi="宋体" w:eastAsia="宋体" w:cs="宋体"/>
          <w:b/>
          <w:bCs/>
          <w:sz w:val="32"/>
          <w:szCs w:val="32"/>
          <w:highlight w:val="none"/>
        </w:rPr>
        <w:t xml:space="preserve">   </w:t>
      </w:r>
      <w:r>
        <w:rPr>
          <w:rFonts w:hint="eastAsia" w:ascii="宋体" w:hAnsi="宋体" w:eastAsia="宋体" w:cs="宋体"/>
          <w:b/>
          <w:sz w:val="24"/>
          <w:highlight w:val="none"/>
        </w:rPr>
        <w:t>备注：</w:t>
      </w:r>
    </w:p>
    <w:p w14:paraId="215D8FB5">
      <w:pPr>
        <w:pageBreakBefore w:val="0"/>
        <w:bidi w:val="0"/>
        <w:spacing w:line="360" w:lineRule="auto"/>
        <w:ind w:firstLine="482"/>
        <w:rPr>
          <w:rFonts w:hint="eastAsia" w:ascii="宋体" w:hAnsi="宋体" w:eastAsia="宋体" w:cs="宋体"/>
          <w:b/>
          <w:sz w:val="24"/>
          <w:szCs w:val="22"/>
          <w:highlight w:val="none"/>
        </w:rPr>
      </w:pPr>
      <w:r>
        <w:rPr>
          <w:rFonts w:hint="eastAsia" w:ascii="宋体" w:hAnsi="宋体" w:eastAsia="宋体" w:cs="宋体"/>
          <w:b/>
          <w:sz w:val="24"/>
          <w:highlight w:val="none"/>
        </w:rPr>
        <w:t>1.</w:t>
      </w:r>
      <w:r>
        <w:rPr>
          <w:rFonts w:hint="eastAsia" w:ascii="宋体" w:hAnsi="宋体" w:eastAsia="宋体" w:cs="宋体"/>
          <w:b/>
          <w:sz w:val="24"/>
          <w:szCs w:val="22"/>
          <w:highlight w:val="none"/>
        </w:rPr>
        <w:t>供应商提供《中小企业声明函》的需保证其真实性，如经查实存在虚假证明的情况，由供应商承担相应责任。由供应商承担相应责任。</w:t>
      </w:r>
    </w:p>
    <w:p w14:paraId="1D5EE4CE">
      <w:pPr>
        <w:pStyle w:val="18"/>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outlineLvl w:val="9"/>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2</w:t>
      </w:r>
      <w:r>
        <w:rPr>
          <w:rFonts w:hint="eastAsia" w:ascii="宋体" w:hAnsi="宋体" w:eastAsia="宋体" w:cs="宋体"/>
          <w:sz w:val="24"/>
          <w:szCs w:val="22"/>
          <w:highlight w:val="none"/>
        </w:rPr>
        <w:t>.本项目</w:t>
      </w:r>
      <w:r>
        <w:rPr>
          <w:rFonts w:hint="eastAsia" w:ascii="宋体" w:hAnsi="宋体" w:eastAsia="宋体" w:cs="宋体"/>
          <w:sz w:val="24"/>
          <w:szCs w:val="22"/>
          <w:highlight w:val="none"/>
          <w:lang w:val="en-US" w:eastAsia="zh-CN"/>
        </w:rPr>
        <w:t>不</w:t>
      </w:r>
      <w:r>
        <w:rPr>
          <w:rFonts w:hint="eastAsia" w:ascii="宋体" w:hAnsi="宋体" w:eastAsia="宋体" w:cs="宋体"/>
          <w:sz w:val="24"/>
          <w:szCs w:val="22"/>
          <w:highlight w:val="none"/>
        </w:rPr>
        <w:t>专门面向中小企业。</w:t>
      </w:r>
    </w:p>
    <w:p w14:paraId="0CD302B2">
      <w:pPr>
        <w:pStyle w:val="18"/>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outlineLvl w:val="9"/>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3</w:t>
      </w:r>
      <w:r>
        <w:rPr>
          <w:rFonts w:hint="eastAsia" w:ascii="宋体" w:hAnsi="宋体" w:eastAsia="宋体" w:cs="宋体"/>
          <w:sz w:val="24"/>
          <w:szCs w:val="22"/>
          <w:highlight w:val="none"/>
        </w:rPr>
        <w:t>.本项目所属行业：</w:t>
      </w:r>
      <w:r>
        <w:rPr>
          <w:rFonts w:hint="eastAsia" w:ascii="宋体" w:hAnsi="宋体" w:eastAsia="宋体" w:cs="宋体"/>
          <w:sz w:val="24"/>
          <w:szCs w:val="22"/>
          <w:highlight w:val="none"/>
          <w:lang w:val="en-US" w:eastAsia="zh-CN"/>
        </w:rPr>
        <w:t>工业</w:t>
      </w:r>
      <w:r>
        <w:rPr>
          <w:rFonts w:hint="eastAsia" w:ascii="宋体" w:hAnsi="宋体" w:eastAsia="宋体" w:cs="宋体"/>
          <w:sz w:val="24"/>
          <w:szCs w:val="22"/>
          <w:highlight w:val="none"/>
        </w:rPr>
        <w:t>。</w:t>
      </w:r>
    </w:p>
    <w:p w14:paraId="507C0439">
      <w:pPr>
        <w:pageBreakBefore w:val="0"/>
        <w:bidi w:val="0"/>
        <w:spacing w:line="360" w:lineRule="auto"/>
        <w:rPr>
          <w:rFonts w:hint="eastAsia" w:ascii="宋体" w:hAnsi="宋体" w:eastAsia="宋体" w:cs="宋体"/>
          <w:sz w:val="24"/>
          <w:szCs w:val="22"/>
          <w:highlight w:val="none"/>
        </w:rPr>
      </w:pPr>
    </w:p>
    <w:p w14:paraId="75171521">
      <w:pPr>
        <w:pageBreakBefore w:val="0"/>
        <w:bidi w:val="0"/>
        <w:spacing w:line="360" w:lineRule="auto"/>
        <w:rPr>
          <w:rFonts w:hint="eastAsia" w:ascii="宋体" w:hAnsi="宋体" w:eastAsia="宋体" w:cs="宋体"/>
          <w:sz w:val="24"/>
          <w:szCs w:val="22"/>
          <w:highlight w:val="none"/>
        </w:rPr>
        <w:sectPr>
          <w:headerReference r:id="rId10" w:type="default"/>
          <w:footerReference r:id="rId11" w:type="default"/>
          <w:footerReference r:id="rId12" w:type="even"/>
          <w:pgSz w:w="11906" w:h="16838"/>
          <w:pgMar w:top="1440" w:right="1800" w:bottom="1440" w:left="1800" w:header="851" w:footer="992" w:gutter="0"/>
          <w:cols w:space="720" w:num="1"/>
          <w:titlePg/>
          <w:docGrid w:type="lines" w:linePitch="312" w:charSpace="0"/>
        </w:sectPr>
      </w:pPr>
    </w:p>
    <w:p w14:paraId="3D7A1229">
      <w:pPr>
        <w:pageBreakBefore w:val="0"/>
        <w:tabs>
          <w:tab w:val="left" w:pos="1755"/>
        </w:tabs>
        <w:bidi w:val="0"/>
        <w:spacing w:line="360" w:lineRule="auto"/>
        <w:jc w:val="center"/>
        <w:outlineLvl w:val="2"/>
        <w:rPr>
          <w:rFonts w:hint="eastAsia" w:ascii="宋体" w:hAnsi="宋体" w:eastAsia="宋体" w:cs="宋体"/>
          <w:b/>
          <w:kern w:val="0"/>
          <w:sz w:val="28"/>
          <w:szCs w:val="28"/>
          <w:highlight w:val="none"/>
          <w:lang w:val="zh-CN"/>
        </w:rPr>
      </w:pPr>
      <w:r>
        <w:rPr>
          <w:rFonts w:hint="eastAsia" w:ascii="宋体" w:hAnsi="宋体" w:eastAsia="宋体" w:cs="宋体"/>
          <w:b/>
          <w:bCs/>
          <w:sz w:val="28"/>
          <w:szCs w:val="28"/>
          <w:highlight w:val="none"/>
        </w:rPr>
        <w:t>（二）</w:t>
      </w:r>
      <w:r>
        <w:rPr>
          <w:rFonts w:hint="eastAsia" w:ascii="宋体" w:hAnsi="宋体" w:eastAsia="宋体" w:cs="宋体"/>
          <w:b/>
          <w:kern w:val="0"/>
          <w:sz w:val="28"/>
          <w:szCs w:val="28"/>
          <w:highlight w:val="none"/>
          <w:lang w:val="zh-CN"/>
        </w:rPr>
        <w:t>残疾人福利性单位声明函</w:t>
      </w:r>
    </w:p>
    <w:p w14:paraId="2AD58397">
      <w:pPr>
        <w:pageBreakBefore w:val="0"/>
        <w:tabs>
          <w:tab w:val="left" w:pos="1755"/>
        </w:tabs>
        <w:bidi w:val="0"/>
        <w:spacing w:line="360" w:lineRule="auto"/>
        <w:jc w:val="center"/>
        <w:outlineLvl w:val="2"/>
        <w:rPr>
          <w:rFonts w:hint="eastAsia" w:ascii="宋体" w:hAnsi="宋体" w:eastAsia="宋体" w:cs="宋体"/>
          <w:b/>
          <w:bCs/>
          <w:sz w:val="28"/>
          <w:szCs w:val="28"/>
          <w:highlight w:val="none"/>
        </w:rPr>
      </w:pPr>
      <w:r>
        <w:rPr>
          <w:rFonts w:hint="eastAsia" w:ascii="宋体" w:hAnsi="宋体" w:eastAsia="宋体" w:cs="宋体"/>
          <w:b/>
          <w:kern w:val="0"/>
          <w:sz w:val="28"/>
          <w:szCs w:val="28"/>
          <w:highlight w:val="none"/>
          <w:lang w:val="zh-CN"/>
        </w:rPr>
        <w:t>（非</w:t>
      </w:r>
      <w:r>
        <w:rPr>
          <w:rFonts w:hint="eastAsia" w:ascii="宋体" w:hAnsi="宋体" w:eastAsia="宋体" w:cs="宋体"/>
          <w:b/>
          <w:bCs/>
          <w:sz w:val="28"/>
          <w:szCs w:val="28"/>
          <w:highlight w:val="none"/>
        </w:rPr>
        <w:t>残疾人福利企业</w:t>
      </w:r>
      <w:r>
        <w:rPr>
          <w:rFonts w:hint="eastAsia" w:ascii="宋体" w:hAnsi="宋体" w:eastAsia="宋体" w:cs="宋体"/>
          <w:b/>
          <w:kern w:val="0"/>
          <w:sz w:val="28"/>
          <w:szCs w:val="28"/>
          <w:highlight w:val="none"/>
          <w:lang w:val="zh-CN"/>
        </w:rPr>
        <w:t>不</w:t>
      </w:r>
      <w:r>
        <w:rPr>
          <w:rFonts w:hint="eastAsia" w:ascii="宋体" w:hAnsi="宋体" w:eastAsia="宋体" w:cs="宋体"/>
          <w:b/>
          <w:bCs/>
          <w:kern w:val="0"/>
          <w:sz w:val="28"/>
          <w:szCs w:val="28"/>
          <w:highlight w:val="none"/>
        </w:rPr>
        <w:t>填写</w:t>
      </w:r>
      <w:r>
        <w:rPr>
          <w:rFonts w:hint="eastAsia" w:ascii="宋体" w:hAnsi="宋体" w:eastAsia="宋体" w:cs="宋体"/>
          <w:b/>
          <w:bCs/>
          <w:kern w:val="0"/>
          <w:sz w:val="28"/>
          <w:szCs w:val="28"/>
          <w:highlight w:val="none"/>
          <w:lang w:eastAsia="zh-CN"/>
        </w:rPr>
        <w:t>，但必须提交空表</w:t>
      </w:r>
      <w:r>
        <w:rPr>
          <w:rFonts w:hint="eastAsia" w:ascii="宋体" w:hAnsi="宋体" w:eastAsia="宋体" w:cs="宋体"/>
          <w:b/>
          <w:kern w:val="0"/>
          <w:sz w:val="28"/>
          <w:szCs w:val="28"/>
          <w:highlight w:val="none"/>
          <w:lang w:val="zh-CN"/>
        </w:rPr>
        <w:t>）</w:t>
      </w:r>
    </w:p>
    <w:p w14:paraId="5C26057B">
      <w:pPr>
        <w:pageBreakBefore w:val="0"/>
        <w:bidi w:val="0"/>
        <w:spacing w:line="360" w:lineRule="auto"/>
        <w:rPr>
          <w:rFonts w:hint="eastAsia" w:ascii="宋体" w:hAnsi="宋体" w:eastAsia="宋体" w:cs="宋体"/>
          <w:b/>
          <w:spacing w:val="6"/>
          <w:sz w:val="32"/>
          <w:szCs w:val="32"/>
          <w:highlight w:val="none"/>
          <w:shd w:val="pct10" w:color="auto" w:fill="FFFFFF"/>
        </w:rPr>
      </w:pPr>
    </w:p>
    <w:p w14:paraId="39AD206B">
      <w:pPr>
        <w:pageBreakBefore w:val="0"/>
        <w:bidi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项目采购活动提供本单位制造的服务（由本单位承担工程/提供服务），或者提供其他残疾人福利性单位制造的服务（不包括使用非残疾人福利性单位注册商标的服务）。</w:t>
      </w:r>
    </w:p>
    <w:p w14:paraId="41C16F74">
      <w:pPr>
        <w:pageBreakBefore w:val="0"/>
        <w:bidi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本单位对上述声明的真实性负责。如有虚假，将依法承担相应责任。</w:t>
      </w:r>
    </w:p>
    <w:p w14:paraId="34DD9307">
      <w:pPr>
        <w:pageBreakBefore w:val="0"/>
        <w:bidi w:val="0"/>
        <w:spacing w:line="360" w:lineRule="auto"/>
        <w:ind w:firstLine="480" w:firstLineChars="200"/>
        <w:rPr>
          <w:rFonts w:hint="eastAsia" w:ascii="宋体" w:hAnsi="宋体" w:eastAsia="宋体" w:cs="宋体"/>
          <w:sz w:val="24"/>
          <w:highlight w:val="none"/>
        </w:rPr>
      </w:pPr>
    </w:p>
    <w:p w14:paraId="335E3DDF">
      <w:pPr>
        <w:pageBreakBefore w:val="0"/>
        <w:bidi w:val="0"/>
        <w:spacing w:line="360" w:lineRule="auto"/>
        <w:ind w:firstLine="480" w:firstLineChars="200"/>
        <w:rPr>
          <w:rFonts w:hint="eastAsia" w:ascii="宋体" w:hAnsi="宋体" w:eastAsia="宋体" w:cs="宋体"/>
          <w:sz w:val="24"/>
          <w:highlight w:val="none"/>
        </w:rPr>
      </w:pPr>
    </w:p>
    <w:p w14:paraId="4178750B">
      <w:pPr>
        <w:pageBreakBefore w:val="0"/>
        <w:tabs>
          <w:tab w:val="left" w:pos="4860"/>
          <w:tab w:val="left" w:pos="8040"/>
          <w:tab w:val="left" w:pos="8160"/>
        </w:tabs>
        <w:bidi w:val="0"/>
        <w:spacing w:line="360" w:lineRule="auto"/>
        <w:ind w:right="862" w:firstLine="480" w:firstLineChars="200"/>
        <w:jc w:val="center"/>
        <w:rPr>
          <w:rFonts w:hint="eastAsia" w:ascii="宋体" w:hAnsi="宋体" w:eastAsia="宋体" w:cs="宋体"/>
          <w:sz w:val="24"/>
          <w:highlight w:val="none"/>
          <w:u w:val="single"/>
        </w:rPr>
      </w:pPr>
      <w:r>
        <w:rPr>
          <w:rFonts w:hint="eastAsia" w:ascii="宋体" w:hAnsi="宋体" w:eastAsia="宋体" w:cs="宋体"/>
          <w:sz w:val="24"/>
          <w:highlight w:val="none"/>
        </w:rPr>
        <w:t xml:space="preserve">               单位名称（盖章）：</w:t>
      </w:r>
      <w:r>
        <w:rPr>
          <w:rFonts w:hint="eastAsia" w:ascii="宋体" w:hAnsi="宋体" w:eastAsia="宋体" w:cs="宋体"/>
          <w:sz w:val="24"/>
          <w:highlight w:val="none"/>
          <w:u w:val="single"/>
        </w:rPr>
        <w:t xml:space="preserve">                   </w:t>
      </w:r>
    </w:p>
    <w:p w14:paraId="452F0974">
      <w:pPr>
        <w:pageBreakBefore w:val="0"/>
        <w:tabs>
          <w:tab w:val="left" w:pos="4860"/>
        </w:tabs>
        <w:bidi w:val="0"/>
        <w:spacing w:line="360" w:lineRule="auto"/>
        <w:ind w:right="1560" w:firstLine="480" w:firstLineChars="200"/>
        <w:jc w:val="center"/>
        <w:rPr>
          <w:rFonts w:hint="eastAsia" w:ascii="宋体" w:hAnsi="宋体" w:eastAsia="宋体" w:cs="宋体"/>
          <w:sz w:val="24"/>
          <w:highlight w:val="none"/>
        </w:rPr>
      </w:pPr>
      <w:r>
        <w:rPr>
          <w:rFonts w:hint="eastAsia" w:ascii="宋体" w:hAnsi="宋体" w:eastAsia="宋体" w:cs="宋体"/>
          <w:sz w:val="24"/>
          <w:highlight w:val="none"/>
        </w:rPr>
        <w:t xml:space="preserve">       </w:t>
      </w:r>
    </w:p>
    <w:p w14:paraId="388A748B">
      <w:pPr>
        <w:pageBreakBefore w:val="0"/>
        <w:tabs>
          <w:tab w:val="left" w:pos="4860"/>
        </w:tabs>
        <w:bidi w:val="0"/>
        <w:spacing w:line="360" w:lineRule="auto"/>
        <w:ind w:right="670" w:firstLine="480" w:firstLineChars="200"/>
        <w:jc w:val="center"/>
        <w:rPr>
          <w:rFonts w:hint="eastAsia" w:ascii="宋体" w:hAnsi="宋体" w:eastAsia="宋体" w:cs="宋体"/>
          <w:sz w:val="24"/>
          <w:highlight w:val="none"/>
        </w:rPr>
      </w:pPr>
      <w:r>
        <w:rPr>
          <w:rFonts w:hint="eastAsia" w:ascii="宋体" w:hAnsi="宋体" w:eastAsia="宋体" w:cs="宋体"/>
          <w:sz w:val="24"/>
          <w:highlight w:val="none"/>
        </w:rPr>
        <w:t xml:space="preserve">                           日  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日</w:t>
      </w:r>
    </w:p>
    <w:p w14:paraId="32A5C453">
      <w:pPr>
        <w:pageBreakBefore w:val="0"/>
        <w:tabs>
          <w:tab w:val="left" w:pos="4860"/>
        </w:tabs>
        <w:bidi w:val="0"/>
        <w:spacing w:line="360" w:lineRule="auto"/>
        <w:ind w:right="1560" w:firstLine="480" w:firstLineChars="200"/>
        <w:jc w:val="center"/>
        <w:rPr>
          <w:rFonts w:hint="eastAsia" w:ascii="宋体" w:hAnsi="宋体" w:eastAsia="宋体" w:cs="宋体"/>
          <w:sz w:val="24"/>
          <w:highlight w:val="none"/>
        </w:rPr>
      </w:pPr>
    </w:p>
    <w:p w14:paraId="1C69771A">
      <w:pPr>
        <w:pageBreakBefore w:val="0"/>
        <w:bidi w:val="0"/>
        <w:spacing w:line="360" w:lineRule="auto"/>
        <w:ind w:firstLine="506" w:firstLineChars="200"/>
        <w:rPr>
          <w:rFonts w:hint="eastAsia" w:ascii="宋体" w:hAnsi="宋体" w:eastAsia="宋体" w:cs="宋体"/>
          <w:b/>
          <w:spacing w:val="6"/>
          <w:sz w:val="24"/>
          <w:highlight w:val="none"/>
          <w:shd w:val="pct10" w:color="auto" w:fill="FFFFFF"/>
        </w:rPr>
      </w:pPr>
    </w:p>
    <w:p w14:paraId="150AD6D9">
      <w:pPr>
        <w:pageBreakBefore w:val="0"/>
        <w:bidi w:val="0"/>
        <w:spacing w:line="360" w:lineRule="auto"/>
        <w:ind w:firstLine="506" w:firstLineChars="200"/>
        <w:rPr>
          <w:rFonts w:hint="eastAsia" w:ascii="宋体" w:hAnsi="宋体" w:eastAsia="宋体" w:cs="宋体"/>
          <w:b/>
          <w:spacing w:val="6"/>
          <w:sz w:val="24"/>
          <w:highlight w:val="none"/>
          <w:shd w:val="pct10" w:color="auto" w:fill="FFFFFF"/>
        </w:rPr>
      </w:pPr>
    </w:p>
    <w:p w14:paraId="5BE0F15C">
      <w:pPr>
        <w:pageBreakBefore w:val="0"/>
        <w:kinsoku w:val="0"/>
        <w:bidi w:val="0"/>
        <w:spacing w:line="360" w:lineRule="auto"/>
        <w:ind w:firstLine="480" w:firstLineChars="200"/>
        <w:rPr>
          <w:rFonts w:hint="eastAsia" w:ascii="宋体" w:hAnsi="宋体" w:eastAsia="宋体" w:cs="宋体"/>
          <w:kern w:val="0"/>
          <w:sz w:val="24"/>
          <w:highlight w:val="none"/>
          <w:lang w:val="zh-CN"/>
        </w:rPr>
      </w:pPr>
      <w:r>
        <w:rPr>
          <w:rFonts w:hint="eastAsia" w:ascii="宋体" w:hAnsi="宋体" w:eastAsia="宋体" w:cs="宋体"/>
          <w:kern w:val="0"/>
          <w:sz w:val="24"/>
          <w:highlight w:val="none"/>
          <w:lang w:val="zh-CN"/>
        </w:rPr>
        <w:t>备注：投标单位提供的《残疾人福利性单位声明函》必须真实有效，如果被举报经查实出具虚假声明函的，将被取消投标资格，并按有关规定予以处理。</w:t>
      </w:r>
    </w:p>
    <w:p w14:paraId="5F984EE8">
      <w:pPr>
        <w:pageBreakBefore w:val="0"/>
        <w:tabs>
          <w:tab w:val="left" w:pos="1620"/>
          <w:tab w:val="left" w:pos="1800"/>
        </w:tabs>
        <w:bidi w:val="0"/>
        <w:spacing w:line="360" w:lineRule="auto"/>
        <w:ind w:right="540" w:rightChars="257"/>
        <w:rPr>
          <w:rFonts w:hint="eastAsia" w:ascii="宋体" w:hAnsi="宋体" w:eastAsia="宋体" w:cs="宋体"/>
          <w:highlight w:val="none"/>
        </w:rPr>
      </w:pPr>
    </w:p>
    <w:p w14:paraId="7117F71D">
      <w:pPr>
        <w:pageBreakBefore w:val="0"/>
        <w:tabs>
          <w:tab w:val="left" w:pos="1620"/>
          <w:tab w:val="left" w:pos="1800"/>
        </w:tabs>
        <w:bidi w:val="0"/>
        <w:spacing w:line="360" w:lineRule="auto"/>
        <w:ind w:right="540" w:rightChars="257"/>
        <w:rPr>
          <w:rFonts w:hint="eastAsia" w:ascii="宋体" w:hAnsi="宋体" w:eastAsia="宋体" w:cs="宋体"/>
          <w:highlight w:val="none"/>
        </w:rPr>
      </w:pPr>
    </w:p>
    <w:p w14:paraId="3F7015C3">
      <w:pPr>
        <w:pageBreakBefore w:val="0"/>
        <w:bidi w:val="0"/>
        <w:spacing w:line="360" w:lineRule="auto"/>
        <w:ind w:right="620"/>
        <w:jc w:val="right"/>
        <w:rPr>
          <w:rFonts w:hint="eastAsia" w:ascii="宋体" w:hAnsi="宋体" w:eastAsia="宋体" w:cs="宋体"/>
          <w:highlight w:val="none"/>
        </w:rPr>
      </w:pPr>
    </w:p>
    <w:p w14:paraId="49FFA7FD">
      <w:pPr>
        <w:pStyle w:val="7"/>
        <w:pageBreakBefore w:val="0"/>
        <w:bidi w:val="0"/>
        <w:spacing w:line="360" w:lineRule="auto"/>
        <w:rPr>
          <w:rFonts w:hint="eastAsia" w:ascii="宋体" w:hAnsi="宋体" w:eastAsia="宋体" w:cs="宋体"/>
          <w:color w:val="auto"/>
          <w:highlight w:val="none"/>
        </w:rPr>
      </w:pPr>
    </w:p>
    <w:p w14:paraId="6FDC800E">
      <w:pPr>
        <w:pStyle w:val="7"/>
        <w:pageBreakBefore w:val="0"/>
        <w:bidi w:val="0"/>
        <w:spacing w:line="360" w:lineRule="auto"/>
        <w:rPr>
          <w:rFonts w:hint="eastAsia" w:ascii="宋体" w:hAnsi="宋体" w:eastAsia="宋体" w:cs="宋体"/>
          <w:color w:val="auto"/>
          <w:highlight w:val="none"/>
        </w:rPr>
      </w:pPr>
    </w:p>
    <w:p w14:paraId="79298F8B">
      <w:pPr>
        <w:pStyle w:val="7"/>
        <w:pageBreakBefore w:val="0"/>
        <w:bidi w:val="0"/>
        <w:spacing w:line="360" w:lineRule="auto"/>
        <w:rPr>
          <w:rFonts w:hint="eastAsia" w:ascii="宋体" w:hAnsi="宋体" w:eastAsia="宋体" w:cs="宋体"/>
          <w:color w:val="auto"/>
          <w:highlight w:val="none"/>
        </w:rPr>
      </w:pPr>
    </w:p>
    <w:p w14:paraId="4A74CE71">
      <w:pPr>
        <w:pageBreakBefore w:val="0"/>
        <w:bidi w:val="0"/>
        <w:spacing w:line="360" w:lineRule="auto"/>
        <w:rPr>
          <w:rFonts w:hint="eastAsia" w:ascii="宋体" w:hAnsi="宋体" w:eastAsia="宋体" w:cs="宋体"/>
          <w:highlight w:val="none"/>
        </w:rPr>
      </w:pPr>
    </w:p>
    <w:p w14:paraId="7E20A422">
      <w:pPr>
        <w:pStyle w:val="12"/>
        <w:pageBreakBefore w:val="0"/>
        <w:bidi w:val="0"/>
        <w:spacing w:line="360" w:lineRule="auto"/>
        <w:rPr>
          <w:rFonts w:hint="eastAsia" w:ascii="宋体" w:hAnsi="宋体" w:eastAsia="宋体" w:cs="宋体"/>
          <w:highlight w:val="none"/>
        </w:rPr>
      </w:pPr>
    </w:p>
    <w:p w14:paraId="45459972">
      <w:pPr>
        <w:pStyle w:val="12"/>
        <w:pageBreakBefore w:val="0"/>
        <w:bidi w:val="0"/>
        <w:spacing w:line="360" w:lineRule="auto"/>
        <w:rPr>
          <w:rFonts w:hint="eastAsia" w:ascii="宋体" w:hAnsi="宋体" w:eastAsia="宋体" w:cs="宋体"/>
          <w:highlight w:val="none"/>
        </w:rPr>
      </w:pPr>
    </w:p>
    <w:p w14:paraId="375EA6AB">
      <w:pPr>
        <w:pageBreakBefore w:val="0"/>
        <w:bidi w:val="0"/>
        <w:spacing w:line="360" w:lineRule="auto"/>
        <w:jc w:val="center"/>
        <w:rPr>
          <w:rFonts w:hint="eastAsia" w:ascii="宋体" w:hAnsi="宋体" w:eastAsia="宋体" w:cs="宋体"/>
          <w:b/>
          <w:kern w:val="0"/>
          <w:sz w:val="28"/>
          <w:szCs w:val="28"/>
          <w:highlight w:val="none"/>
          <w:lang w:val="zh-CN"/>
        </w:rPr>
      </w:pPr>
      <w:r>
        <w:rPr>
          <w:rFonts w:hint="eastAsia" w:ascii="宋体" w:hAnsi="宋体" w:eastAsia="宋体" w:cs="宋体"/>
          <w:b/>
          <w:kern w:val="0"/>
          <w:sz w:val="28"/>
          <w:szCs w:val="28"/>
          <w:highlight w:val="none"/>
        </w:rPr>
        <w:br w:type="page"/>
      </w:r>
      <w:r>
        <w:rPr>
          <w:rFonts w:hint="eastAsia" w:ascii="宋体" w:hAnsi="宋体" w:eastAsia="宋体" w:cs="宋体"/>
          <w:b/>
          <w:bCs/>
          <w:sz w:val="28"/>
          <w:szCs w:val="28"/>
          <w:highlight w:val="none"/>
        </w:rPr>
        <w:t>（三）</w:t>
      </w:r>
      <w:r>
        <w:rPr>
          <w:rFonts w:hint="eastAsia" w:ascii="宋体" w:hAnsi="宋体" w:eastAsia="宋体" w:cs="宋体"/>
          <w:b/>
          <w:kern w:val="0"/>
          <w:sz w:val="28"/>
          <w:szCs w:val="28"/>
          <w:highlight w:val="none"/>
          <w:lang w:val="zh-CN"/>
        </w:rPr>
        <w:t>监狱企业声明函</w:t>
      </w:r>
    </w:p>
    <w:p w14:paraId="452CC989">
      <w:pPr>
        <w:pageBreakBefore w:val="0"/>
        <w:tabs>
          <w:tab w:val="left" w:pos="1755"/>
        </w:tabs>
        <w:bidi w:val="0"/>
        <w:spacing w:line="360" w:lineRule="auto"/>
        <w:jc w:val="center"/>
        <w:outlineLvl w:val="2"/>
        <w:rPr>
          <w:rFonts w:hint="eastAsia" w:ascii="宋体" w:hAnsi="宋体" w:eastAsia="宋体" w:cs="宋体"/>
          <w:b/>
          <w:bCs/>
          <w:sz w:val="28"/>
          <w:szCs w:val="28"/>
          <w:highlight w:val="none"/>
        </w:rPr>
      </w:pPr>
      <w:r>
        <w:rPr>
          <w:rFonts w:hint="eastAsia" w:ascii="宋体" w:hAnsi="宋体" w:eastAsia="宋体" w:cs="宋体"/>
          <w:b/>
          <w:kern w:val="0"/>
          <w:sz w:val="28"/>
          <w:szCs w:val="28"/>
          <w:highlight w:val="none"/>
          <w:lang w:val="zh-CN"/>
        </w:rPr>
        <w:t>（非监狱企业不</w:t>
      </w:r>
      <w:r>
        <w:rPr>
          <w:rFonts w:hint="eastAsia" w:ascii="宋体" w:hAnsi="宋体" w:eastAsia="宋体" w:cs="宋体"/>
          <w:b/>
          <w:bCs/>
          <w:kern w:val="0"/>
          <w:sz w:val="28"/>
          <w:szCs w:val="28"/>
          <w:highlight w:val="none"/>
        </w:rPr>
        <w:t>填写，但必须提交空表</w:t>
      </w:r>
      <w:r>
        <w:rPr>
          <w:rFonts w:hint="eastAsia" w:ascii="宋体" w:hAnsi="宋体" w:eastAsia="宋体" w:cs="宋体"/>
          <w:b/>
          <w:kern w:val="0"/>
          <w:sz w:val="28"/>
          <w:szCs w:val="28"/>
          <w:highlight w:val="none"/>
          <w:lang w:val="zh-CN"/>
        </w:rPr>
        <w:t>）</w:t>
      </w:r>
    </w:p>
    <w:p w14:paraId="623C5752">
      <w:pPr>
        <w:pageBreakBefore w:val="0"/>
        <w:bidi w:val="0"/>
        <w:spacing w:line="360" w:lineRule="auto"/>
        <w:rPr>
          <w:rFonts w:hint="eastAsia" w:ascii="宋体" w:hAnsi="宋体" w:eastAsia="宋体" w:cs="宋体"/>
          <w:sz w:val="32"/>
          <w:szCs w:val="32"/>
          <w:highlight w:val="none"/>
        </w:rPr>
      </w:pPr>
    </w:p>
    <w:p w14:paraId="3FEEDABA">
      <w:pPr>
        <w:pageBreakBefore w:val="0"/>
        <w:bidi w:val="0"/>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4949E7AA">
      <w:pPr>
        <w:pageBreakBefore w:val="0"/>
        <w:bidi w:val="0"/>
        <w:spacing w:line="360" w:lineRule="auto"/>
        <w:rPr>
          <w:rFonts w:hint="eastAsia" w:ascii="宋体" w:hAnsi="宋体" w:eastAsia="宋体" w:cs="宋体"/>
          <w:sz w:val="32"/>
          <w:szCs w:val="32"/>
          <w:highlight w:val="none"/>
        </w:rPr>
      </w:pPr>
    </w:p>
    <w:p w14:paraId="33493349">
      <w:pPr>
        <w:pStyle w:val="20"/>
        <w:pageBreakBefore w:val="0"/>
        <w:bidi w:val="0"/>
        <w:spacing w:line="360" w:lineRule="auto"/>
        <w:rPr>
          <w:rFonts w:hint="eastAsia" w:ascii="宋体" w:hAnsi="宋体" w:eastAsia="宋体" w:cs="宋体"/>
          <w:highlight w:val="none"/>
        </w:rPr>
      </w:pPr>
    </w:p>
    <w:p w14:paraId="1A4138C9">
      <w:pPr>
        <w:pageBreakBefore w:val="0"/>
        <w:tabs>
          <w:tab w:val="left" w:pos="4860"/>
          <w:tab w:val="left" w:pos="8040"/>
          <w:tab w:val="left" w:pos="8160"/>
        </w:tabs>
        <w:bidi w:val="0"/>
        <w:spacing w:line="360" w:lineRule="auto"/>
        <w:ind w:right="862" w:firstLine="480" w:firstLineChars="200"/>
        <w:jc w:val="center"/>
        <w:rPr>
          <w:rFonts w:hint="eastAsia" w:ascii="宋体" w:hAnsi="宋体" w:eastAsia="宋体" w:cs="宋体"/>
          <w:sz w:val="24"/>
          <w:highlight w:val="none"/>
          <w:u w:val="single"/>
        </w:rPr>
      </w:pPr>
      <w:r>
        <w:rPr>
          <w:rFonts w:hint="eastAsia" w:ascii="宋体" w:hAnsi="宋体" w:eastAsia="宋体" w:cs="宋体"/>
          <w:sz w:val="24"/>
          <w:highlight w:val="none"/>
        </w:rPr>
        <w:t xml:space="preserve">        单位名称（盖章）：</w:t>
      </w:r>
      <w:r>
        <w:rPr>
          <w:rFonts w:hint="eastAsia" w:ascii="宋体" w:hAnsi="宋体" w:eastAsia="宋体" w:cs="宋体"/>
          <w:sz w:val="24"/>
          <w:highlight w:val="none"/>
          <w:u w:val="single"/>
        </w:rPr>
        <w:t xml:space="preserve">                   </w:t>
      </w:r>
    </w:p>
    <w:p w14:paraId="532C3283">
      <w:pPr>
        <w:pageBreakBefore w:val="0"/>
        <w:tabs>
          <w:tab w:val="left" w:pos="4860"/>
        </w:tabs>
        <w:bidi w:val="0"/>
        <w:spacing w:line="360" w:lineRule="auto"/>
        <w:ind w:right="1560" w:firstLine="480" w:firstLineChars="200"/>
        <w:jc w:val="center"/>
        <w:rPr>
          <w:rFonts w:hint="eastAsia" w:ascii="宋体" w:hAnsi="宋体" w:eastAsia="宋体" w:cs="宋体"/>
          <w:sz w:val="24"/>
          <w:highlight w:val="none"/>
        </w:rPr>
      </w:pPr>
      <w:r>
        <w:rPr>
          <w:rFonts w:hint="eastAsia" w:ascii="宋体" w:hAnsi="宋体" w:eastAsia="宋体" w:cs="宋体"/>
          <w:sz w:val="24"/>
          <w:highlight w:val="none"/>
        </w:rPr>
        <w:t xml:space="preserve">       </w:t>
      </w:r>
    </w:p>
    <w:p w14:paraId="619AADF8">
      <w:pPr>
        <w:pageBreakBefore w:val="0"/>
        <w:tabs>
          <w:tab w:val="left" w:pos="4860"/>
        </w:tabs>
        <w:bidi w:val="0"/>
        <w:spacing w:line="360" w:lineRule="auto"/>
        <w:ind w:right="670" w:firstLine="480" w:firstLineChars="200"/>
        <w:jc w:val="center"/>
        <w:rPr>
          <w:rFonts w:hint="eastAsia" w:ascii="宋体" w:hAnsi="宋体" w:eastAsia="宋体" w:cs="宋体"/>
          <w:sz w:val="24"/>
          <w:highlight w:val="none"/>
        </w:rPr>
      </w:pPr>
      <w:r>
        <w:rPr>
          <w:rFonts w:hint="eastAsia" w:ascii="宋体" w:hAnsi="宋体" w:eastAsia="宋体" w:cs="宋体"/>
          <w:sz w:val="24"/>
          <w:highlight w:val="none"/>
        </w:rPr>
        <w:t xml:space="preserve">                           日  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日</w:t>
      </w:r>
    </w:p>
    <w:p w14:paraId="0610EFE5">
      <w:pPr>
        <w:pageBreakBefore w:val="0"/>
        <w:tabs>
          <w:tab w:val="left" w:pos="1755"/>
        </w:tabs>
        <w:bidi w:val="0"/>
        <w:spacing w:line="360" w:lineRule="auto"/>
        <w:jc w:val="center"/>
        <w:outlineLvl w:val="1"/>
        <w:rPr>
          <w:rFonts w:hint="eastAsia" w:ascii="宋体" w:hAnsi="宋体" w:eastAsia="宋体" w:cs="宋体"/>
          <w:b/>
          <w:bCs/>
          <w:sz w:val="32"/>
          <w:szCs w:val="32"/>
          <w:highlight w:val="none"/>
        </w:rPr>
      </w:pPr>
    </w:p>
    <w:p w14:paraId="52CFCDC7">
      <w:pPr>
        <w:pageBreakBefore w:val="0"/>
        <w:tabs>
          <w:tab w:val="left" w:pos="1755"/>
        </w:tabs>
        <w:bidi w:val="0"/>
        <w:spacing w:line="360" w:lineRule="auto"/>
        <w:jc w:val="center"/>
        <w:outlineLvl w:val="1"/>
        <w:rPr>
          <w:rFonts w:hint="eastAsia" w:ascii="宋体" w:hAnsi="宋体" w:eastAsia="宋体" w:cs="宋体"/>
          <w:b/>
          <w:bCs/>
          <w:sz w:val="32"/>
          <w:szCs w:val="32"/>
          <w:highlight w:val="none"/>
        </w:rPr>
      </w:pPr>
    </w:p>
    <w:p w14:paraId="09161DDE">
      <w:pPr>
        <w:pageBreakBefore w:val="0"/>
        <w:tabs>
          <w:tab w:val="left" w:pos="1755"/>
        </w:tabs>
        <w:bidi w:val="0"/>
        <w:spacing w:line="360" w:lineRule="auto"/>
        <w:jc w:val="center"/>
        <w:outlineLvl w:val="1"/>
        <w:rPr>
          <w:rFonts w:hint="eastAsia" w:ascii="宋体" w:hAnsi="宋体" w:eastAsia="宋体" w:cs="宋体"/>
          <w:b/>
          <w:bCs/>
          <w:sz w:val="32"/>
          <w:szCs w:val="32"/>
          <w:highlight w:val="none"/>
        </w:rPr>
      </w:pPr>
    </w:p>
    <w:p w14:paraId="30848792">
      <w:pPr>
        <w:pageBreakBefore w:val="0"/>
        <w:tabs>
          <w:tab w:val="left" w:pos="1755"/>
        </w:tabs>
        <w:bidi w:val="0"/>
        <w:spacing w:line="360" w:lineRule="auto"/>
        <w:jc w:val="center"/>
        <w:outlineLvl w:val="1"/>
        <w:rPr>
          <w:rFonts w:hint="eastAsia" w:ascii="宋体" w:hAnsi="宋体" w:eastAsia="宋体" w:cs="宋体"/>
          <w:b/>
          <w:bCs/>
          <w:sz w:val="32"/>
          <w:szCs w:val="32"/>
          <w:highlight w:val="none"/>
        </w:rPr>
      </w:pPr>
    </w:p>
    <w:p w14:paraId="6751AF2C">
      <w:pPr>
        <w:pageBreakBefore w:val="0"/>
        <w:tabs>
          <w:tab w:val="left" w:pos="1755"/>
        </w:tabs>
        <w:bidi w:val="0"/>
        <w:spacing w:line="360" w:lineRule="auto"/>
        <w:outlineLvl w:val="1"/>
        <w:rPr>
          <w:rFonts w:hint="eastAsia" w:ascii="宋体" w:hAnsi="宋体" w:eastAsia="宋体" w:cs="宋体"/>
          <w:b/>
          <w:bCs/>
          <w:sz w:val="32"/>
          <w:szCs w:val="32"/>
          <w:highlight w:val="none"/>
        </w:rPr>
      </w:pPr>
    </w:p>
    <w:p w14:paraId="43BA2199">
      <w:pPr>
        <w:pStyle w:val="34"/>
        <w:pageBreakBefore w:val="0"/>
        <w:bidi w:val="0"/>
        <w:spacing w:line="360" w:lineRule="auto"/>
        <w:ind w:firstLine="480"/>
        <w:rPr>
          <w:rFonts w:hint="eastAsia" w:ascii="宋体" w:hAnsi="宋体" w:eastAsia="宋体" w:cs="宋体"/>
          <w:highlight w:val="none"/>
        </w:rPr>
      </w:pPr>
    </w:p>
    <w:p w14:paraId="56A7B2A9">
      <w:pPr>
        <w:pageBreakBefore w:val="0"/>
        <w:tabs>
          <w:tab w:val="left" w:pos="1755"/>
        </w:tabs>
        <w:bidi w:val="0"/>
        <w:spacing w:line="360" w:lineRule="auto"/>
        <w:outlineLvl w:val="1"/>
        <w:rPr>
          <w:rFonts w:hint="eastAsia" w:ascii="宋体" w:hAnsi="宋体" w:eastAsia="宋体" w:cs="宋体"/>
          <w:b/>
          <w:bCs/>
          <w:sz w:val="32"/>
          <w:szCs w:val="32"/>
          <w:highlight w:val="none"/>
        </w:rPr>
      </w:pPr>
    </w:p>
    <w:p w14:paraId="7A7DF38E">
      <w:pPr>
        <w:pageBreakBefore w:val="0"/>
        <w:tabs>
          <w:tab w:val="left" w:pos="1755"/>
        </w:tabs>
        <w:bidi w:val="0"/>
        <w:spacing w:line="360" w:lineRule="auto"/>
        <w:outlineLvl w:val="1"/>
        <w:rPr>
          <w:rFonts w:hint="eastAsia" w:ascii="宋体" w:hAnsi="宋体" w:eastAsia="宋体" w:cs="宋体"/>
          <w:b/>
          <w:bCs/>
          <w:sz w:val="32"/>
          <w:szCs w:val="32"/>
          <w:highlight w:val="none"/>
        </w:rPr>
      </w:pPr>
    </w:p>
    <w:p w14:paraId="4CF57995">
      <w:pPr>
        <w:pageBreakBefore w:val="0"/>
        <w:bidi w:val="0"/>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br w:type="page"/>
      </w:r>
    </w:p>
    <w:p w14:paraId="756E356F">
      <w:pPr>
        <w:pStyle w:val="3"/>
        <w:pageBreakBefore w:val="0"/>
        <w:bidi w:val="0"/>
        <w:spacing w:line="360" w:lineRule="auto"/>
        <w:jc w:val="both"/>
        <w:rPr>
          <w:rFonts w:hint="eastAsia" w:ascii="宋体" w:hAnsi="宋体" w:eastAsia="宋体" w:cs="宋体"/>
          <w:spacing w:val="4"/>
          <w:szCs w:val="28"/>
          <w:highlight w:val="none"/>
        </w:rPr>
      </w:pPr>
      <w:r>
        <w:rPr>
          <w:rFonts w:hint="eastAsia" w:ascii="宋体" w:hAnsi="宋体" w:eastAsia="宋体" w:cs="宋体"/>
          <w:spacing w:val="4"/>
          <w:szCs w:val="28"/>
          <w:highlight w:val="none"/>
        </w:rPr>
        <w:t>附件</w:t>
      </w:r>
    </w:p>
    <w:p w14:paraId="74BA5B3F">
      <w:pPr>
        <w:pStyle w:val="3"/>
        <w:pageBreakBefore w:val="0"/>
        <w:bidi w:val="0"/>
        <w:spacing w:line="360" w:lineRule="auto"/>
        <w:jc w:val="center"/>
        <w:rPr>
          <w:rFonts w:hint="eastAsia" w:ascii="宋体" w:hAnsi="宋体" w:eastAsia="宋体" w:cs="宋体"/>
          <w:szCs w:val="28"/>
          <w:highlight w:val="none"/>
        </w:rPr>
      </w:pPr>
      <w:r>
        <w:rPr>
          <w:rFonts w:hint="eastAsia" w:ascii="宋体" w:hAnsi="宋体" w:eastAsia="宋体" w:cs="宋体"/>
          <w:szCs w:val="28"/>
          <w:highlight w:val="none"/>
        </w:rPr>
        <w:t>投标担保函</w:t>
      </w:r>
    </w:p>
    <w:p w14:paraId="16FFF8B5">
      <w:pPr>
        <w:pageBreakBefore w:val="0"/>
        <w:bidi w:val="0"/>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编号:</w:t>
      </w:r>
    </w:p>
    <w:p w14:paraId="0BAF2C08">
      <w:pPr>
        <w:pageBreakBefore w:val="0"/>
        <w:bidi w:val="0"/>
        <w:spacing w:line="360" w:lineRule="auto"/>
        <w:ind w:firstLine="480" w:firstLineChars="200"/>
        <w:rPr>
          <w:rFonts w:hint="eastAsia" w:ascii="宋体" w:hAnsi="宋体" w:eastAsia="宋体" w:cs="宋体"/>
          <w:sz w:val="24"/>
          <w:szCs w:val="22"/>
          <w:highlight w:val="none"/>
        </w:rPr>
      </w:pPr>
    </w:p>
    <w:p w14:paraId="094CB103">
      <w:pPr>
        <w:pageBreakBefore w:val="0"/>
        <w:bidi w:val="0"/>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___________(采购人或采购代理机构):</w:t>
      </w:r>
    </w:p>
    <w:p w14:paraId="1E6A6163">
      <w:pPr>
        <w:pageBreakBefore w:val="0"/>
        <w:bidi w:val="0"/>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鉴于___</w:t>
      </w:r>
      <w:r>
        <w:rPr>
          <w:rFonts w:hint="eastAsia" w:ascii="宋体" w:hAnsi="宋体" w:eastAsia="宋体" w:cs="宋体"/>
          <w:sz w:val="24"/>
          <w:szCs w:val="22"/>
          <w:highlight w:val="none"/>
          <w:u w:val="single"/>
        </w:rPr>
        <w:t>_</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u w:val="single"/>
        </w:rPr>
        <w:t>__</w:t>
      </w:r>
      <w:r>
        <w:rPr>
          <w:rFonts w:hint="eastAsia" w:ascii="宋体" w:hAnsi="宋体" w:eastAsia="宋体" w:cs="宋体"/>
          <w:sz w:val="24"/>
          <w:szCs w:val="22"/>
          <w:highlight w:val="none"/>
        </w:rPr>
        <w:t>____(以下简称“供应商”)拟参加编号为_</w:t>
      </w:r>
      <w:r>
        <w:rPr>
          <w:rFonts w:hint="eastAsia" w:ascii="宋体" w:hAnsi="宋体" w:eastAsia="宋体" w:cs="宋体"/>
          <w:sz w:val="24"/>
          <w:szCs w:val="22"/>
          <w:highlight w:val="none"/>
          <w:u w:val="single"/>
        </w:rPr>
        <w:t>_</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u w:val="single"/>
        </w:rPr>
        <w:t>_</w:t>
      </w:r>
      <w:r>
        <w:rPr>
          <w:rFonts w:hint="eastAsia" w:ascii="宋体" w:hAnsi="宋体" w:eastAsia="宋体" w:cs="宋体"/>
          <w:sz w:val="24"/>
          <w:szCs w:val="22"/>
          <w:highlight w:val="none"/>
        </w:rPr>
        <w:t>____的</w:t>
      </w:r>
    </w:p>
    <w:p w14:paraId="2C30F2B3">
      <w:pPr>
        <w:pageBreakBefore w:val="0"/>
        <w:bidi w:val="0"/>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rPr>
        <w:t>项目(以下简称“本项目”)投标，根据本项目谈判文件，</w:t>
      </w:r>
    </w:p>
    <w:p w14:paraId="047AFCCB">
      <w:pPr>
        <w:pageBreakBefore w:val="0"/>
        <w:bidi w:val="0"/>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供应商参加谈判时应向你方交纳投标保证金，且可以投标担保函的形式交纳投标保证金。应供应商的申请，我方以保证的方式向你方提供如下投标保证金担保:</w:t>
      </w:r>
    </w:p>
    <w:p w14:paraId="0FB3E5D4">
      <w:pPr>
        <w:pageBreakBefore w:val="0"/>
        <w:bidi w:val="0"/>
        <w:spacing w:line="360" w:lineRule="auto"/>
        <w:ind w:firstLine="482" w:firstLineChars="200"/>
        <w:rPr>
          <w:rFonts w:hint="eastAsia" w:ascii="宋体" w:hAnsi="宋体" w:eastAsia="宋体" w:cs="宋体"/>
          <w:b/>
          <w:bCs/>
          <w:sz w:val="24"/>
          <w:szCs w:val="22"/>
          <w:highlight w:val="none"/>
        </w:rPr>
      </w:pPr>
      <w:r>
        <w:rPr>
          <w:rFonts w:hint="eastAsia" w:ascii="宋体" w:hAnsi="宋体" w:eastAsia="宋体" w:cs="宋体"/>
          <w:b/>
          <w:bCs/>
          <w:sz w:val="24"/>
          <w:szCs w:val="22"/>
          <w:highlight w:val="none"/>
        </w:rPr>
        <w:t>一、保证责任的情形及该判保证金额</w:t>
      </w:r>
    </w:p>
    <w:p w14:paraId="54F1D8E0">
      <w:pPr>
        <w:pageBreakBefore w:val="0"/>
        <w:bidi w:val="0"/>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(一)在供应商出现下列情形之一时，我方承担保证责任:</w:t>
      </w:r>
    </w:p>
    <w:p w14:paraId="7C4222D6">
      <w:pPr>
        <w:pageBreakBefore w:val="0"/>
        <w:bidi w:val="0"/>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1.中标后供应商无正当理由不与采购人或者采购代理机构签订《政府采购合同》;</w:t>
      </w:r>
    </w:p>
    <w:p w14:paraId="3DB6DD4E">
      <w:pPr>
        <w:pageBreakBefore w:val="0"/>
        <w:bidi w:val="0"/>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2.招标文件规定的供应商应当交纳投标保证金的其他情形。</w:t>
      </w:r>
    </w:p>
    <w:p w14:paraId="68F5DDB3">
      <w:pPr>
        <w:pageBreakBefore w:val="0"/>
        <w:bidi w:val="0"/>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(二)我方承担保证责任的最高金额为人民币____元(大写________)，即本项目的投标保证金金额。</w:t>
      </w:r>
    </w:p>
    <w:p w14:paraId="2C9FC54D">
      <w:pPr>
        <w:pageBreakBefore w:val="0"/>
        <w:bidi w:val="0"/>
        <w:spacing w:line="360" w:lineRule="auto"/>
        <w:ind w:firstLine="482" w:firstLineChars="200"/>
        <w:rPr>
          <w:rFonts w:hint="eastAsia" w:ascii="宋体" w:hAnsi="宋体" w:eastAsia="宋体" w:cs="宋体"/>
          <w:b/>
          <w:bCs/>
          <w:sz w:val="24"/>
          <w:szCs w:val="22"/>
          <w:highlight w:val="none"/>
        </w:rPr>
      </w:pPr>
      <w:r>
        <w:rPr>
          <w:rFonts w:hint="eastAsia" w:ascii="宋体" w:hAnsi="宋体" w:eastAsia="宋体" w:cs="宋体"/>
          <w:b/>
          <w:bCs/>
          <w:sz w:val="24"/>
          <w:szCs w:val="22"/>
          <w:highlight w:val="none"/>
        </w:rPr>
        <w:t>二、保证的方式及保证期间</w:t>
      </w:r>
    </w:p>
    <w:p w14:paraId="70445697">
      <w:pPr>
        <w:pageBreakBefore w:val="0"/>
        <w:bidi w:val="0"/>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我方保证的方式为:连带责任保证。</w:t>
      </w:r>
    </w:p>
    <w:p w14:paraId="312A72DF">
      <w:pPr>
        <w:pageBreakBefore w:val="0"/>
        <w:bidi w:val="0"/>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我方的保证期间为:自本保函生效之日起_--_个月止。</w:t>
      </w:r>
    </w:p>
    <w:p w14:paraId="026A52F1">
      <w:pPr>
        <w:pageBreakBefore w:val="0"/>
        <w:bidi w:val="0"/>
        <w:spacing w:line="360" w:lineRule="auto"/>
        <w:ind w:firstLine="482" w:firstLineChars="200"/>
        <w:rPr>
          <w:rFonts w:hint="eastAsia" w:ascii="宋体" w:hAnsi="宋体" w:eastAsia="宋体" w:cs="宋体"/>
          <w:b/>
          <w:bCs/>
          <w:sz w:val="24"/>
          <w:szCs w:val="22"/>
          <w:highlight w:val="none"/>
        </w:rPr>
      </w:pPr>
      <w:r>
        <w:rPr>
          <w:rFonts w:hint="eastAsia" w:ascii="宋体" w:hAnsi="宋体" w:eastAsia="宋体" w:cs="宋体"/>
          <w:b/>
          <w:bCs/>
          <w:sz w:val="24"/>
          <w:szCs w:val="22"/>
          <w:highlight w:val="none"/>
        </w:rPr>
        <w:t>三、承担保证责任的程序</w:t>
      </w:r>
    </w:p>
    <w:p w14:paraId="79324059">
      <w:pPr>
        <w:pageBreakBefore w:val="0"/>
        <w:bidi w:val="0"/>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1.你方要求我方承担保证责任的，应在本保函保证期间内向我方发出书面索赔通知。索赔通知应写明要求索赔的金额，支付款项应到达的账号，并附有证明供应商发生我方应承担保证责任情形的事实材料。</w:t>
      </w:r>
    </w:p>
    <w:p w14:paraId="14B8DFD2">
      <w:pPr>
        <w:pageBreakBefore w:val="0"/>
        <w:bidi w:val="0"/>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2.我方在收到索赔通知及相关证明材料后，在个工作日内进行审查，符合应承担保证责任情形的，我方应按照你方的要求代供应商向你方支付投标保证金。</w:t>
      </w:r>
    </w:p>
    <w:p w14:paraId="51D28CED">
      <w:pPr>
        <w:pageBreakBefore w:val="0"/>
        <w:bidi w:val="0"/>
        <w:spacing w:line="360" w:lineRule="auto"/>
        <w:ind w:firstLine="482" w:firstLineChars="200"/>
        <w:rPr>
          <w:rFonts w:hint="eastAsia" w:ascii="宋体" w:hAnsi="宋体" w:eastAsia="宋体" w:cs="宋体"/>
          <w:b/>
          <w:bCs/>
          <w:sz w:val="24"/>
          <w:szCs w:val="22"/>
          <w:highlight w:val="none"/>
        </w:rPr>
      </w:pPr>
      <w:r>
        <w:rPr>
          <w:rFonts w:hint="eastAsia" w:ascii="宋体" w:hAnsi="宋体" w:eastAsia="宋体" w:cs="宋体"/>
          <w:b/>
          <w:bCs/>
          <w:sz w:val="24"/>
          <w:szCs w:val="22"/>
          <w:highlight w:val="none"/>
        </w:rPr>
        <w:t>四、保证责任的终止</w:t>
      </w:r>
    </w:p>
    <w:p w14:paraId="0AE6D025">
      <w:pPr>
        <w:pageBreakBefore w:val="0"/>
        <w:bidi w:val="0"/>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1.保证期间届满你方未向我方书面主张保证责任的，自保证期间届满次日起，我方保证责任自动终止。</w:t>
      </w:r>
    </w:p>
    <w:p w14:paraId="74CEBD90">
      <w:pPr>
        <w:pageBreakBefore w:val="0"/>
        <w:bidi w:val="0"/>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2.我方按照本保函向你方履行了保证责任后，自我方向你方支付款项(支付款项从我方账户划出)之日起，保证责任终止。</w:t>
      </w:r>
    </w:p>
    <w:p w14:paraId="34029572">
      <w:pPr>
        <w:pageBreakBefore w:val="0"/>
        <w:bidi w:val="0"/>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3.按照法律法规的规定或出现我方保证责任终止的其它情形的，我方在本保函项下的保证责任亦终止。</w:t>
      </w:r>
    </w:p>
    <w:p w14:paraId="5E870DB4">
      <w:pPr>
        <w:pageBreakBefore w:val="0"/>
        <w:bidi w:val="0"/>
        <w:spacing w:line="360" w:lineRule="auto"/>
        <w:ind w:firstLine="482" w:firstLineChars="200"/>
        <w:rPr>
          <w:rFonts w:hint="eastAsia" w:ascii="宋体" w:hAnsi="宋体" w:eastAsia="宋体" w:cs="宋体"/>
          <w:b/>
          <w:bCs/>
          <w:sz w:val="24"/>
          <w:szCs w:val="22"/>
          <w:highlight w:val="none"/>
        </w:rPr>
      </w:pPr>
      <w:r>
        <w:rPr>
          <w:rFonts w:hint="eastAsia" w:ascii="宋体" w:hAnsi="宋体" w:eastAsia="宋体" w:cs="宋体"/>
          <w:b/>
          <w:bCs/>
          <w:sz w:val="24"/>
          <w:szCs w:val="22"/>
          <w:highlight w:val="none"/>
        </w:rPr>
        <w:t>五、免责条款</w:t>
      </w:r>
    </w:p>
    <w:p w14:paraId="4A06258A">
      <w:pPr>
        <w:pageBreakBefore w:val="0"/>
        <w:bidi w:val="0"/>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1.依照法律规定或你方与供应商的另行约定，全部或者部分免除供应商投标保证金义务时，我方亦免除相应的保证责任。</w:t>
      </w:r>
    </w:p>
    <w:p w14:paraId="30820328">
      <w:pPr>
        <w:pageBreakBefore w:val="0"/>
        <w:bidi w:val="0"/>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2.因你方原因致使供应商发生本保函第一条第(一)款约定情形的，我方不承担保证责任。</w:t>
      </w:r>
    </w:p>
    <w:p w14:paraId="772B673B">
      <w:pPr>
        <w:pageBreakBefore w:val="0"/>
        <w:bidi w:val="0"/>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3.因不可抗力造成供应商发生本保函第一条约定情形的，我方不承担保证责任。</w:t>
      </w:r>
    </w:p>
    <w:p w14:paraId="4A6BA8B9">
      <w:pPr>
        <w:pageBreakBefore w:val="0"/>
        <w:bidi w:val="0"/>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4.你方或其他有权机关对招标文件进行任何澄清或修改，加重我方保证责任的，我方对加重部分不承担保证责任，但该澄清或修改经我方事先书面同意的除外。</w:t>
      </w:r>
    </w:p>
    <w:p w14:paraId="7C34915E">
      <w:pPr>
        <w:pageBreakBefore w:val="0"/>
        <w:bidi w:val="0"/>
        <w:spacing w:line="360" w:lineRule="auto"/>
        <w:ind w:firstLine="482" w:firstLineChars="200"/>
        <w:rPr>
          <w:rFonts w:hint="eastAsia" w:ascii="宋体" w:hAnsi="宋体" w:eastAsia="宋体" w:cs="宋体"/>
          <w:b/>
          <w:bCs/>
          <w:sz w:val="24"/>
          <w:szCs w:val="22"/>
          <w:highlight w:val="none"/>
        </w:rPr>
      </w:pPr>
      <w:r>
        <w:rPr>
          <w:rFonts w:hint="eastAsia" w:ascii="宋体" w:hAnsi="宋体" w:eastAsia="宋体" w:cs="宋体"/>
          <w:b/>
          <w:bCs/>
          <w:sz w:val="24"/>
          <w:szCs w:val="22"/>
          <w:highlight w:val="none"/>
        </w:rPr>
        <w:t>六、争议的解决</w:t>
      </w:r>
    </w:p>
    <w:p w14:paraId="49E9D87E">
      <w:pPr>
        <w:pageBreakBefore w:val="0"/>
        <w:bidi w:val="0"/>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因本保函发生的纠纷，由你我双方协商解决，协商不成的，通过诉讼程序解决，诉讼管辖地法院为__________法院。</w:t>
      </w:r>
    </w:p>
    <w:p w14:paraId="4945591C">
      <w:pPr>
        <w:pageBreakBefore w:val="0"/>
        <w:bidi w:val="0"/>
        <w:spacing w:line="360" w:lineRule="auto"/>
        <w:ind w:firstLine="482" w:firstLineChars="200"/>
        <w:rPr>
          <w:rFonts w:hint="eastAsia" w:ascii="宋体" w:hAnsi="宋体" w:eastAsia="宋体" w:cs="宋体"/>
          <w:b/>
          <w:bCs/>
          <w:sz w:val="24"/>
          <w:szCs w:val="22"/>
          <w:highlight w:val="none"/>
        </w:rPr>
      </w:pPr>
      <w:r>
        <w:rPr>
          <w:rFonts w:hint="eastAsia" w:ascii="宋体" w:hAnsi="宋体" w:eastAsia="宋体" w:cs="宋体"/>
          <w:b/>
          <w:bCs/>
          <w:sz w:val="24"/>
          <w:szCs w:val="22"/>
          <w:highlight w:val="none"/>
        </w:rPr>
        <w:t>七、保函的生效</w:t>
      </w:r>
    </w:p>
    <w:p w14:paraId="4402FE7E">
      <w:pPr>
        <w:pageBreakBefore w:val="0"/>
        <w:bidi w:val="0"/>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本保函自我方加盖公章之日起生效。</w:t>
      </w:r>
    </w:p>
    <w:p w14:paraId="5BA14F16">
      <w:pPr>
        <w:pageBreakBefore w:val="0"/>
        <w:bidi w:val="0"/>
        <w:spacing w:line="360" w:lineRule="auto"/>
        <w:ind w:firstLine="480" w:firstLineChars="200"/>
        <w:rPr>
          <w:rFonts w:hint="eastAsia" w:ascii="宋体" w:hAnsi="宋体" w:eastAsia="宋体" w:cs="宋体"/>
          <w:sz w:val="24"/>
          <w:szCs w:val="22"/>
          <w:highlight w:val="none"/>
        </w:rPr>
      </w:pPr>
    </w:p>
    <w:p w14:paraId="4C75856F">
      <w:pPr>
        <w:pageBreakBefore w:val="0"/>
        <w:bidi w:val="0"/>
        <w:spacing w:line="360" w:lineRule="auto"/>
        <w:ind w:firstLine="480" w:firstLineChars="200"/>
        <w:rPr>
          <w:rFonts w:hint="eastAsia" w:ascii="宋体" w:hAnsi="宋体" w:eastAsia="宋体" w:cs="宋体"/>
          <w:sz w:val="24"/>
          <w:szCs w:val="22"/>
          <w:highlight w:val="none"/>
        </w:rPr>
      </w:pPr>
    </w:p>
    <w:p w14:paraId="5AC6D4F6">
      <w:pPr>
        <w:pageBreakBefore w:val="0"/>
        <w:bidi w:val="0"/>
        <w:spacing w:line="360" w:lineRule="auto"/>
        <w:ind w:firstLine="480" w:firstLineChars="200"/>
        <w:rPr>
          <w:rFonts w:hint="eastAsia" w:ascii="宋体" w:hAnsi="宋体" w:eastAsia="宋体" w:cs="宋体"/>
          <w:sz w:val="24"/>
          <w:szCs w:val="22"/>
          <w:highlight w:val="none"/>
        </w:rPr>
      </w:pPr>
    </w:p>
    <w:p w14:paraId="32E56A09">
      <w:pPr>
        <w:pageBreakBefore w:val="0"/>
        <w:bidi w:val="0"/>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保证人:(公章)</w:t>
      </w:r>
    </w:p>
    <w:p w14:paraId="3436D22B">
      <w:pPr>
        <w:pageBreakBefore w:val="0"/>
        <w:bidi w:val="0"/>
        <w:spacing w:line="360" w:lineRule="auto"/>
        <w:ind w:firstLine="5520" w:firstLineChars="2300"/>
        <w:rPr>
          <w:rFonts w:hint="eastAsia" w:ascii="宋体" w:hAnsi="宋体" w:eastAsia="宋体" w:cs="宋体"/>
          <w:sz w:val="24"/>
          <w:szCs w:val="22"/>
          <w:highlight w:val="none"/>
        </w:rPr>
      </w:pPr>
      <w:r>
        <w:rPr>
          <w:rFonts w:hint="eastAsia" w:ascii="宋体" w:hAnsi="宋体" w:eastAsia="宋体" w:cs="宋体"/>
          <w:sz w:val="24"/>
          <w:szCs w:val="22"/>
          <w:highlight w:val="none"/>
        </w:rPr>
        <w:t>年</w:t>
      </w:r>
      <w:r>
        <w:rPr>
          <w:rFonts w:hint="eastAsia" w:ascii="宋体" w:hAnsi="宋体" w:eastAsia="宋体" w:cs="宋体"/>
          <w:sz w:val="24"/>
          <w:szCs w:val="22"/>
          <w:highlight w:val="none"/>
          <w:lang w:val="en-US" w:eastAsia="zh-CN"/>
        </w:rPr>
        <w:t xml:space="preserve">  </w:t>
      </w:r>
      <w:r>
        <w:rPr>
          <w:rFonts w:hint="eastAsia" w:ascii="宋体" w:hAnsi="宋体" w:eastAsia="宋体" w:cs="宋体"/>
          <w:sz w:val="24"/>
          <w:szCs w:val="22"/>
          <w:highlight w:val="none"/>
        </w:rPr>
        <w:t>月</w:t>
      </w:r>
      <w:r>
        <w:rPr>
          <w:rFonts w:hint="eastAsia" w:ascii="宋体" w:hAnsi="宋体" w:eastAsia="宋体" w:cs="宋体"/>
          <w:sz w:val="24"/>
          <w:szCs w:val="22"/>
          <w:highlight w:val="none"/>
          <w:lang w:val="en-US" w:eastAsia="zh-CN"/>
        </w:rPr>
        <w:t xml:space="preserve">  </w:t>
      </w:r>
      <w:r>
        <w:rPr>
          <w:rFonts w:hint="eastAsia" w:ascii="宋体" w:hAnsi="宋体" w:eastAsia="宋体" w:cs="宋体"/>
          <w:sz w:val="24"/>
          <w:szCs w:val="22"/>
          <w:highlight w:val="none"/>
        </w:rPr>
        <w:t>日</w:t>
      </w:r>
    </w:p>
    <w:p w14:paraId="5F370011">
      <w:pPr>
        <w:pageBreakBefore w:val="0"/>
        <w:bidi w:val="0"/>
        <w:spacing w:line="360" w:lineRule="auto"/>
        <w:ind w:firstLine="480" w:firstLineChars="200"/>
        <w:rPr>
          <w:rFonts w:hint="eastAsia" w:ascii="宋体" w:hAnsi="宋体" w:eastAsia="宋体" w:cs="宋体"/>
          <w:sz w:val="24"/>
          <w:szCs w:val="22"/>
          <w:highlight w:val="none"/>
        </w:rPr>
      </w:pPr>
    </w:p>
    <w:p w14:paraId="2B607AEE">
      <w:pPr>
        <w:pStyle w:val="3"/>
        <w:pageBreakBefore w:val="0"/>
        <w:bidi w:val="0"/>
        <w:spacing w:line="360" w:lineRule="auto"/>
        <w:rPr>
          <w:rFonts w:hint="eastAsia"/>
          <w:highlight w:val="none"/>
        </w:rPr>
      </w:pPr>
    </w:p>
    <w:p w14:paraId="07026FCB">
      <w:pPr>
        <w:pageBreakBefore w:val="0"/>
        <w:bidi w:val="0"/>
        <w:spacing w:line="360" w:lineRule="auto"/>
        <w:rPr>
          <w:rFonts w:hint="eastAsia"/>
          <w:highlight w:val="none"/>
        </w:rPr>
      </w:pPr>
    </w:p>
    <w:p w14:paraId="1910EC2D">
      <w:pPr>
        <w:pStyle w:val="3"/>
        <w:pageBreakBefore w:val="0"/>
        <w:bidi w:val="0"/>
        <w:spacing w:line="360" w:lineRule="auto"/>
        <w:rPr>
          <w:rFonts w:hint="eastAsia"/>
          <w:highlight w:val="none"/>
        </w:rPr>
      </w:pPr>
    </w:p>
    <w:p w14:paraId="4A11DC95">
      <w:pPr>
        <w:pageBreakBefore w:val="0"/>
        <w:bidi w:val="0"/>
        <w:spacing w:line="360" w:lineRule="auto"/>
        <w:rPr>
          <w:rFonts w:hint="eastAsia"/>
          <w:highlight w:val="none"/>
        </w:rPr>
      </w:pPr>
    </w:p>
    <w:p w14:paraId="713BF2FA">
      <w:pPr>
        <w:pageBreakBefore w:val="0"/>
        <w:bidi w:val="0"/>
        <w:spacing w:line="360" w:lineRule="auto"/>
        <w:rPr>
          <w:rFonts w:hint="eastAsia"/>
          <w:highlight w:val="none"/>
        </w:rPr>
      </w:pPr>
    </w:p>
    <w:bookmarkEnd w:id="50"/>
    <w:bookmarkEnd w:id="67"/>
    <w:p w14:paraId="2F6BBB79">
      <w:pPr>
        <w:pageBreakBefore w:val="0"/>
        <w:bidi w:val="0"/>
        <w:spacing w:line="360" w:lineRule="auto"/>
        <w:rPr>
          <w:rFonts w:hint="eastAsia" w:ascii="宋体" w:hAnsi="宋体" w:eastAsia="宋体" w:cs="宋体"/>
          <w:highlight w:val="none"/>
        </w:rPr>
      </w:pPr>
    </w:p>
    <w:sectPr>
      <w:headerReference r:id="rId13" w:type="default"/>
      <w:footerReference r:id="rId14" w:type="default"/>
      <w:pgSz w:w="11907" w:h="16840"/>
      <w:pgMar w:top="1701" w:right="1134" w:bottom="1701" w:left="1134" w:header="851" w:footer="992" w:gutter="567"/>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DE4FD">
    <w:pPr>
      <w:pStyle w:val="13"/>
      <w:framePr w:wrap="around" w:vAnchor="text" w:hAnchor="margin" w:xAlign="center" w:y="1"/>
      <w:rPr>
        <w:rStyle w:val="25"/>
      </w:rPr>
    </w:pPr>
    <w:r>
      <w:fldChar w:fldCharType="begin"/>
    </w:r>
    <w:r>
      <w:rPr>
        <w:rStyle w:val="25"/>
      </w:rPr>
      <w:instrText xml:space="preserve">PAGE  </w:instrText>
    </w:r>
    <w:r>
      <w:fldChar w:fldCharType="separate"/>
    </w:r>
    <w:r>
      <w:rPr>
        <w:rStyle w:val="25"/>
      </w:rPr>
      <w:t>6</w:t>
    </w:r>
    <w:r>
      <w:fldChar w:fldCharType="end"/>
    </w:r>
  </w:p>
  <w:p w14:paraId="58B65CC8">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02F623">
    <w:pPr>
      <w:pStyle w:val="13"/>
      <w:rPr>
        <w:u w:val="single"/>
      </w:rPr>
    </w:pPr>
  </w:p>
  <w:p w14:paraId="29A96EFD">
    <w:pPr>
      <w:pStyle w:val="13"/>
      <w:rPr>
        <w:rFonts w:eastAsia="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AC425D">
    <w:pPr>
      <w:pStyle w:val="13"/>
    </w:pPr>
    <w:r>
      <w:rPr>
        <w:rFonts w:hint="eastAsia"/>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5D7A25">
    <w:pPr>
      <w:pStyle w:val="1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FF676E">
                          <w:pPr>
                            <w:pStyle w:val="13"/>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15FF676E">
                    <w:pPr>
                      <w:pStyle w:val="13"/>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3844B">
    <w:pPr>
      <w:pStyle w:val="13"/>
      <w:rPr>
        <w:rStyle w:val="25"/>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A33C94">
                          <w:pPr>
                            <w:pStyle w:val="13"/>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78A33C94">
                    <w:pPr>
                      <w:pStyle w:val="13"/>
                    </w:pPr>
                    <w:r>
                      <w:fldChar w:fldCharType="begin"/>
                    </w:r>
                    <w:r>
                      <w:instrText xml:space="preserve"> PAGE  \* MERGEFORMAT </w:instrText>
                    </w:r>
                    <w:r>
                      <w:fldChar w:fldCharType="separate"/>
                    </w:r>
                    <w:r>
                      <w:t>57</w:t>
                    </w:r>
                    <w:r>
                      <w:fldChar w:fldCharType="end"/>
                    </w:r>
                  </w:p>
                </w:txbxContent>
              </v:textbox>
            </v:shape>
          </w:pict>
        </mc:Fallback>
      </mc:AlternateContent>
    </w:r>
  </w:p>
  <w:p w14:paraId="454720E4">
    <w:pPr>
      <w:pStyle w:val="13"/>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58D206">
    <w:pPr>
      <w:pStyle w:val="13"/>
      <w:framePr w:wrap="around" w:vAnchor="text" w:hAnchor="margin" w:xAlign="center" w:y="1"/>
      <w:rPr>
        <w:rStyle w:val="25"/>
      </w:rPr>
    </w:pPr>
    <w:r>
      <w:fldChar w:fldCharType="begin"/>
    </w:r>
    <w:r>
      <w:rPr>
        <w:rStyle w:val="25"/>
      </w:rPr>
      <w:instrText xml:space="preserve">PAGE  </w:instrText>
    </w:r>
    <w:r>
      <w:fldChar w:fldCharType="end"/>
    </w:r>
  </w:p>
  <w:p w14:paraId="6B7E18A1">
    <w:pPr>
      <w:pStyle w:val="13"/>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5F0609">
    <w:pPr>
      <w:pStyle w:val="13"/>
      <w:rPr>
        <w:szCs w:val="28"/>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710F88">
                          <w:pPr>
                            <w:pStyle w:val="13"/>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2E710F88">
                    <w:pPr>
                      <w:pStyle w:val="13"/>
                    </w:pPr>
                    <w:r>
                      <w:fldChar w:fldCharType="begin"/>
                    </w:r>
                    <w:r>
                      <w:instrText xml:space="preserve"> PAGE  \* MERGEFORMAT </w:instrText>
                    </w:r>
                    <w:r>
                      <w:fldChar w:fldCharType="separate"/>
                    </w:r>
                    <w:r>
                      <w:t>61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834E0">
    <w:pPr>
      <w:pStyle w:val="14"/>
      <w:pBdr>
        <w:bottom w:val="none" w:color="auto" w:sz="0" w:space="2"/>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93B168">
    <w:pPr>
      <w:pStyle w:val="14"/>
      <w:pBdr>
        <w:bottom w:val="none" w:color="auto" w:sz="0" w:space="2"/>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92C84">
    <w:pPr>
      <w:pStyle w:val="14"/>
      <w:pBdr>
        <w:bottom w:val="none" w:color="auto" w:sz="0" w:space="1"/>
      </w:pBdr>
      <w:rPr>
        <w:rFonts w:hint="eastAsia"/>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C15733">
    <w:pPr>
      <w:pStyle w:val="14"/>
      <w:pBdr>
        <w:bottom w:val="none" w:color="auto" w:sz="0" w:space="1"/>
      </w:pBdr>
      <w:jc w:val="right"/>
    </w:pPr>
    <w:r>
      <w:rPr>
        <w:rFonts w:hint="eastAsia"/>
      </w:rPr>
      <w:t xml:space="preserve"> </w:t>
    </w:r>
  </w:p>
  <w:p w14:paraId="3D3B1E9D">
    <w:pPr>
      <w:pStyle w:val="14"/>
      <w:pBdr>
        <w:bottom w:val="none" w:color="auto" w:sz="0" w:space="0"/>
      </w:pBdr>
      <w:jc w:val="right"/>
    </w:pPr>
    <w:r>
      <w:rPr>
        <w:rFonts w:hint="eastAsia"/>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FDD55">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FD60AD"/>
    <w:multiLevelType w:val="singleLevel"/>
    <w:tmpl w:val="B2FD60AD"/>
    <w:lvl w:ilvl="0" w:tentative="0">
      <w:start w:val="2"/>
      <w:numFmt w:val="chineseCounting"/>
      <w:suff w:val="nothing"/>
      <w:lvlText w:val="%1、"/>
      <w:lvlJc w:val="left"/>
      <w:rPr>
        <w:rFonts w:hint="eastAsia"/>
      </w:rPr>
    </w:lvl>
  </w:abstractNum>
  <w:abstractNum w:abstractNumId="1">
    <w:nsid w:val="DABBA193"/>
    <w:multiLevelType w:val="singleLevel"/>
    <w:tmpl w:val="DABBA193"/>
    <w:lvl w:ilvl="0" w:tentative="0">
      <w:start w:val="15"/>
      <w:numFmt w:val="decimal"/>
      <w:suff w:val="nothing"/>
      <w:lvlText w:val="（%1）"/>
      <w:lvlJc w:val="left"/>
    </w:lvl>
  </w:abstractNum>
  <w:abstractNum w:abstractNumId="2">
    <w:nsid w:val="0390F100"/>
    <w:multiLevelType w:val="singleLevel"/>
    <w:tmpl w:val="0390F100"/>
    <w:lvl w:ilvl="0" w:tentative="0">
      <w:start w:val="1"/>
      <w:numFmt w:val="decimal"/>
      <w:lvlText w:val="%1."/>
      <w:lvlJc w:val="left"/>
      <w:pPr>
        <w:tabs>
          <w:tab w:val="left" w:pos="312"/>
        </w:tabs>
      </w:pPr>
    </w:lvl>
  </w:abstractNum>
  <w:abstractNum w:abstractNumId="3">
    <w:nsid w:val="54D1C6D8"/>
    <w:multiLevelType w:val="singleLevel"/>
    <w:tmpl w:val="54D1C6D8"/>
    <w:lvl w:ilvl="0" w:tentative="0">
      <w:start w:val="14"/>
      <w:numFmt w:val="decimal"/>
      <w:suff w:val="nothing"/>
      <w:lvlText w:val="（%1）"/>
      <w:lvlJc w:val="left"/>
    </w:lvl>
  </w:abstractNum>
  <w:abstractNum w:abstractNumId="4">
    <w:nsid w:val="5694B7E5"/>
    <w:multiLevelType w:val="singleLevel"/>
    <w:tmpl w:val="5694B7E5"/>
    <w:lvl w:ilvl="0" w:tentative="0">
      <w:start w:val="1"/>
      <w:numFmt w:val="decimal"/>
      <w:suff w:val="nothing"/>
      <w:lvlText w:val="%1、"/>
      <w:lvlJc w:val="left"/>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I2NzU2NGRmNTE4NDllOGMzMDVlZTAyZGFiMDgzOTUifQ=="/>
  </w:docVars>
  <w:rsids>
    <w:rsidRoot w:val="17C75F98"/>
    <w:rsid w:val="00292BAB"/>
    <w:rsid w:val="002B2C17"/>
    <w:rsid w:val="00345950"/>
    <w:rsid w:val="003D62DD"/>
    <w:rsid w:val="00443FC6"/>
    <w:rsid w:val="004E085F"/>
    <w:rsid w:val="00572333"/>
    <w:rsid w:val="009341AA"/>
    <w:rsid w:val="009804E4"/>
    <w:rsid w:val="00C37189"/>
    <w:rsid w:val="00C93659"/>
    <w:rsid w:val="00CA7F86"/>
    <w:rsid w:val="00DA1E3F"/>
    <w:rsid w:val="00DA5C53"/>
    <w:rsid w:val="00DF5AC4"/>
    <w:rsid w:val="00F34129"/>
    <w:rsid w:val="01785B98"/>
    <w:rsid w:val="01A8508C"/>
    <w:rsid w:val="01BF5575"/>
    <w:rsid w:val="01C20073"/>
    <w:rsid w:val="020016E9"/>
    <w:rsid w:val="02151639"/>
    <w:rsid w:val="02922C89"/>
    <w:rsid w:val="02BB32CD"/>
    <w:rsid w:val="02ED6112"/>
    <w:rsid w:val="03991DF6"/>
    <w:rsid w:val="03B1493A"/>
    <w:rsid w:val="03B31109"/>
    <w:rsid w:val="04041965"/>
    <w:rsid w:val="04447FB3"/>
    <w:rsid w:val="04C63BF2"/>
    <w:rsid w:val="052E47BF"/>
    <w:rsid w:val="06C13B3D"/>
    <w:rsid w:val="09DB4F16"/>
    <w:rsid w:val="0A96708F"/>
    <w:rsid w:val="0B183F48"/>
    <w:rsid w:val="0B6158EF"/>
    <w:rsid w:val="0B8B66C9"/>
    <w:rsid w:val="0B8D0492"/>
    <w:rsid w:val="0B942573"/>
    <w:rsid w:val="0BCF0AAA"/>
    <w:rsid w:val="0BF71DAF"/>
    <w:rsid w:val="0C252478"/>
    <w:rsid w:val="0C696A4D"/>
    <w:rsid w:val="0C9F66CF"/>
    <w:rsid w:val="0D2941EA"/>
    <w:rsid w:val="0DAC18DA"/>
    <w:rsid w:val="0E6574A4"/>
    <w:rsid w:val="0EAC189D"/>
    <w:rsid w:val="0EF56A7A"/>
    <w:rsid w:val="0F5E64C8"/>
    <w:rsid w:val="0F7D6CDF"/>
    <w:rsid w:val="107E484D"/>
    <w:rsid w:val="11902A8A"/>
    <w:rsid w:val="13DF1F8B"/>
    <w:rsid w:val="14C447F8"/>
    <w:rsid w:val="15052509"/>
    <w:rsid w:val="153C0833"/>
    <w:rsid w:val="15477903"/>
    <w:rsid w:val="157328A2"/>
    <w:rsid w:val="15963379"/>
    <w:rsid w:val="165128B0"/>
    <w:rsid w:val="173F766A"/>
    <w:rsid w:val="178A1D29"/>
    <w:rsid w:val="17980C52"/>
    <w:rsid w:val="17C75F98"/>
    <w:rsid w:val="182B350C"/>
    <w:rsid w:val="18AB63FB"/>
    <w:rsid w:val="18B6225D"/>
    <w:rsid w:val="190D44B0"/>
    <w:rsid w:val="190E24E6"/>
    <w:rsid w:val="19722A75"/>
    <w:rsid w:val="1A3A7A37"/>
    <w:rsid w:val="1AC15A62"/>
    <w:rsid w:val="1AC63078"/>
    <w:rsid w:val="1AF71484"/>
    <w:rsid w:val="1C381D54"/>
    <w:rsid w:val="1C512181"/>
    <w:rsid w:val="1C776E36"/>
    <w:rsid w:val="1C98760D"/>
    <w:rsid w:val="1CF00880"/>
    <w:rsid w:val="1D830D37"/>
    <w:rsid w:val="1DA93B33"/>
    <w:rsid w:val="1DB36121"/>
    <w:rsid w:val="1E230477"/>
    <w:rsid w:val="1E56013E"/>
    <w:rsid w:val="1E83119C"/>
    <w:rsid w:val="1E895406"/>
    <w:rsid w:val="1F1B770B"/>
    <w:rsid w:val="1F325180"/>
    <w:rsid w:val="1F460C2C"/>
    <w:rsid w:val="1F691D3E"/>
    <w:rsid w:val="1F8D1E7C"/>
    <w:rsid w:val="1FAC4343"/>
    <w:rsid w:val="1FD3016F"/>
    <w:rsid w:val="212B632B"/>
    <w:rsid w:val="218912A4"/>
    <w:rsid w:val="222039B6"/>
    <w:rsid w:val="22272D56"/>
    <w:rsid w:val="23F8626D"/>
    <w:rsid w:val="2423778D"/>
    <w:rsid w:val="24BB3477"/>
    <w:rsid w:val="250273A3"/>
    <w:rsid w:val="252A7C5A"/>
    <w:rsid w:val="25452DE0"/>
    <w:rsid w:val="261B4920"/>
    <w:rsid w:val="26865DB2"/>
    <w:rsid w:val="26CC10A8"/>
    <w:rsid w:val="28282078"/>
    <w:rsid w:val="28CB61EE"/>
    <w:rsid w:val="28D46146"/>
    <w:rsid w:val="28ED67B2"/>
    <w:rsid w:val="298B161E"/>
    <w:rsid w:val="29D6493F"/>
    <w:rsid w:val="2B055C91"/>
    <w:rsid w:val="2B08148B"/>
    <w:rsid w:val="2B603075"/>
    <w:rsid w:val="2BA967CA"/>
    <w:rsid w:val="2C2440A3"/>
    <w:rsid w:val="2CDA2662"/>
    <w:rsid w:val="2D030A47"/>
    <w:rsid w:val="2D59004C"/>
    <w:rsid w:val="2D9E7E85"/>
    <w:rsid w:val="2DCD42C6"/>
    <w:rsid w:val="2E3E3A4B"/>
    <w:rsid w:val="2E7C6418"/>
    <w:rsid w:val="2E933762"/>
    <w:rsid w:val="2F94153F"/>
    <w:rsid w:val="30D23312"/>
    <w:rsid w:val="30F65786"/>
    <w:rsid w:val="335A65FC"/>
    <w:rsid w:val="33F23A9A"/>
    <w:rsid w:val="342C56A3"/>
    <w:rsid w:val="34E268A9"/>
    <w:rsid w:val="352D1AEF"/>
    <w:rsid w:val="35397B62"/>
    <w:rsid w:val="358E3D56"/>
    <w:rsid w:val="35CB558F"/>
    <w:rsid w:val="36372C24"/>
    <w:rsid w:val="3680018A"/>
    <w:rsid w:val="36EA7C97"/>
    <w:rsid w:val="36EF0F55"/>
    <w:rsid w:val="37AC319E"/>
    <w:rsid w:val="37D54F27"/>
    <w:rsid w:val="38002C27"/>
    <w:rsid w:val="391A5FA8"/>
    <w:rsid w:val="39754190"/>
    <w:rsid w:val="397A7E87"/>
    <w:rsid w:val="3987227C"/>
    <w:rsid w:val="39AD0063"/>
    <w:rsid w:val="39E86ACE"/>
    <w:rsid w:val="39FA5356"/>
    <w:rsid w:val="3A0550CD"/>
    <w:rsid w:val="3A4133E0"/>
    <w:rsid w:val="3A6442DC"/>
    <w:rsid w:val="3A8B353F"/>
    <w:rsid w:val="3AA27DC0"/>
    <w:rsid w:val="3AC0768C"/>
    <w:rsid w:val="3AEE41FA"/>
    <w:rsid w:val="3B1A2F6C"/>
    <w:rsid w:val="3B60677A"/>
    <w:rsid w:val="3BEB24E7"/>
    <w:rsid w:val="3C047A4D"/>
    <w:rsid w:val="3C984B1E"/>
    <w:rsid w:val="3CBD5EF4"/>
    <w:rsid w:val="3CEA4D9C"/>
    <w:rsid w:val="3D08531B"/>
    <w:rsid w:val="3D170FAE"/>
    <w:rsid w:val="3D1B41C5"/>
    <w:rsid w:val="3DA60DBB"/>
    <w:rsid w:val="3DF06474"/>
    <w:rsid w:val="3E1E227F"/>
    <w:rsid w:val="3F69491B"/>
    <w:rsid w:val="3F6E3798"/>
    <w:rsid w:val="3F9D1D4A"/>
    <w:rsid w:val="3FBB6674"/>
    <w:rsid w:val="3FDC3651"/>
    <w:rsid w:val="40362E2E"/>
    <w:rsid w:val="40C257BA"/>
    <w:rsid w:val="40E60DB0"/>
    <w:rsid w:val="40ED6D01"/>
    <w:rsid w:val="412E3412"/>
    <w:rsid w:val="41760AA5"/>
    <w:rsid w:val="41B617E9"/>
    <w:rsid w:val="41DD6F6B"/>
    <w:rsid w:val="42925DB2"/>
    <w:rsid w:val="43CC374D"/>
    <w:rsid w:val="44E30A56"/>
    <w:rsid w:val="45141661"/>
    <w:rsid w:val="4521341D"/>
    <w:rsid w:val="457C4AF8"/>
    <w:rsid w:val="461B5819"/>
    <w:rsid w:val="47811F51"/>
    <w:rsid w:val="479F4BCD"/>
    <w:rsid w:val="47CA7D9C"/>
    <w:rsid w:val="486F26F2"/>
    <w:rsid w:val="48E94252"/>
    <w:rsid w:val="498A0AC6"/>
    <w:rsid w:val="49E862B8"/>
    <w:rsid w:val="4A7E7BF1"/>
    <w:rsid w:val="4AFA2747"/>
    <w:rsid w:val="4B201A81"/>
    <w:rsid w:val="4B362C2A"/>
    <w:rsid w:val="4B692A55"/>
    <w:rsid w:val="4B7E5126"/>
    <w:rsid w:val="4BBE19C6"/>
    <w:rsid w:val="4C0C793F"/>
    <w:rsid w:val="4CD640C6"/>
    <w:rsid w:val="4D1A0E7E"/>
    <w:rsid w:val="4D2E027D"/>
    <w:rsid w:val="4D423F31"/>
    <w:rsid w:val="4D962035"/>
    <w:rsid w:val="4DC62DB4"/>
    <w:rsid w:val="4DE70D5A"/>
    <w:rsid w:val="4E280072"/>
    <w:rsid w:val="4E796078"/>
    <w:rsid w:val="4F2C4E99"/>
    <w:rsid w:val="4F9933DB"/>
    <w:rsid w:val="4FE02B99"/>
    <w:rsid w:val="50425351"/>
    <w:rsid w:val="5076286F"/>
    <w:rsid w:val="50AD2009"/>
    <w:rsid w:val="50C35389"/>
    <w:rsid w:val="5124051D"/>
    <w:rsid w:val="517E44CE"/>
    <w:rsid w:val="523C3645"/>
    <w:rsid w:val="52A511EA"/>
    <w:rsid w:val="53A72D40"/>
    <w:rsid w:val="53B603DC"/>
    <w:rsid w:val="53E932F1"/>
    <w:rsid w:val="5405516E"/>
    <w:rsid w:val="543C436E"/>
    <w:rsid w:val="54680ECA"/>
    <w:rsid w:val="548062A4"/>
    <w:rsid w:val="549857E0"/>
    <w:rsid w:val="54D20290"/>
    <w:rsid w:val="554E608A"/>
    <w:rsid w:val="55CE055B"/>
    <w:rsid w:val="565F0675"/>
    <w:rsid w:val="56836083"/>
    <w:rsid w:val="58A125E8"/>
    <w:rsid w:val="58BC728D"/>
    <w:rsid w:val="58E467E4"/>
    <w:rsid w:val="59462FFB"/>
    <w:rsid w:val="598D68D5"/>
    <w:rsid w:val="59F85F4A"/>
    <w:rsid w:val="5AAD1584"/>
    <w:rsid w:val="5B3F7D02"/>
    <w:rsid w:val="5BD90156"/>
    <w:rsid w:val="5CB0535B"/>
    <w:rsid w:val="5D06275B"/>
    <w:rsid w:val="5D355860"/>
    <w:rsid w:val="5E745F14"/>
    <w:rsid w:val="5F5A15AE"/>
    <w:rsid w:val="5F5E109E"/>
    <w:rsid w:val="5FAA5C20"/>
    <w:rsid w:val="5FC26D6A"/>
    <w:rsid w:val="600339F4"/>
    <w:rsid w:val="600953E0"/>
    <w:rsid w:val="602D4600"/>
    <w:rsid w:val="60FB0B6F"/>
    <w:rsid w:val="61C15914"/>
    <w:rsid w:val="62310026"/>
    <w:rsid w:val="623C4F9B"/>
    <w:rsid w:val="63876E11"/>
    <w:rsid w:val="638C3D00"/>
    <w:rsid w:val="64597590"/>
    <w:rsid w:val="645A7AE6"/>
    <w:rsid w:val="648800ED"/>
    <w:rsid w:val="65783CBA"/>
    <w:rsid w:val="657E4150"/>
    <w:rsid w:val="665E22FF"/>
    <w:rsid w:val="6663343E"/>
    <w:rsid w:val="66B9305E"/>
    <w:rsid w:val="66E63727"/>
    <w:rsid w:val="6759214B"/>
    <w:rsid w:val="67923D23"/>
    <w:rsid w:val="67A10C80"/>
    <w:rsid w:val="681542C4"/>
    <w:rsid w:val="68B27D65"/>
    <w:rsid w:val="68EB7347"/>
    <w:rsid w:val="69BA3040"/>
    <w:rsid w:val="69EC3F3F"/>
    <w:rsid w:val="6A7B7546"/>
    <w:rsid w:val="6AFD72E0"/>
    <w:rsid w:val="6B081868"/>
    <w:rsid w:val="6B0D652E"/>
    <w:rsid w:val="6BD14133"/>
    <w:rsid w:val="6BEA4779"/>
    <w:rsid w:val="6C754E49"/>
    <w:rsid w:val="6CB24CF1"/>
    <w:rsid w:val="6D273B38"/>
    <w:rsid w:val="6D437B25"/>
    <w:rsid w:val="6D633D24"/>
    <w:rsid w:val="6D637F9C"/>
    <w:rsid w:val="6DB95988"/>
    <w:rsid w:val="6E0E3C8F"/>
    <w:rsid w:val="6E402836"/>
    <w:rsid w:val="6E871D71"/>
    <w:rsid w:val="6E940155"/>
    <w:rsid w:val="6F0E4B4C"/>
    <w:rsid w:val="70822713"/>
    <w:rsid w:val="70F10A19"/>
    <w:rsid w:val="712401BF"/>
    <w:rsid w:val="732C6185"/>
    <w:rsid w:val="73A66718"/>
    <w:rsid w:val="73C82B32"/>
    <w:rsid w:val="746D5B34"/>
    <w:rsid w:val="74B12141"/>
    <w:rsid w:val="74DF1EE2"/>
    <w:rsid w:val="74E92D60"/>
    <w:rsid w:val="752B3379"/>
    <w:rsid w:val="75C93E5B"/>
    <w:rsid w:val="75FF13B0"/>
    <w:rsid w:val="76562678"/>
    <w:rsid w:val="76A22E47"/>
    <w:rsid w:val="76E903D4"/>
    <w:rsid w:val="7736177B"/>
    <w:rsid w:val="77657E74"/>
    <w:rsid w:val="778737E2"/>
    <w:rsid w:val="77BD2282"/>
    <w:rsid w:val="78342545"/>
    <w:rsid w:val="78A376CA"/>
    <w:rsid w:val="7A245757"/>
    <w:rsid w:val="7A5C7FDD"/>
    <w:rsid w:val="7AE53FCA"/>
    <w:rsid w:val="7BA11F47"/>
    <w:rsid w:val="7BC736D0"/>
    <w:rsid w:val="7C38637B"/>
    <w:rsid w:val="7C6F0797"/>
    <w:rsid w:val="7C831632"/>
    <w:rsid w:val="7C8B1F44"/>
    <w:rsid w:val="7C9D3D35"/>
    <w:rsid w:val="7CE036E6"/>
    <w:rsid w:val="7D7C618A"/>
    <w:rsid w:val="7DC46119"/>
    <w:rsid w:val="7E2C65B8"/>
    <w:rsid w:val="7E2E7A36"/>
    <w:rsid w:val="7F370E72"/>
    <w:rsid w:val="7F9C3A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qFormat="1"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keepNext/>
      <w:keepLines/>
      <w:spacing w:before="120" w:after="120" w:line="360" w:lineRule="auto"/>
      <w:jc w:val="center"/>
      <w:outlineLvl w:val="0"/>
    </w:pPr>
    <w:rPr>
      <w:b/>
      <w:bCs/>
      <w:kern w:val="44"/>
      <w:sz w:val="30"/>
      <w:szCs w:val="44"/>
    </w:rPr>
  </w:style>
  <w:style w:type="paragraph" w:styleId="3">
    <w:name w:val="heading 2"/>
    <w:basedOn w:val="1"/>
    <w:next w:val="1"/>
    <w:autoRedefine/>
    <w:unhideWhenUsed/>
    <w:qFormat/>
    <w:uiPriority w:val="0"/>
    <w:pPr>
      <w:keepNext/>
      <w:keepLines/>
      <w:spacing w:before="120" w:after="120" w:line="360" w:lineRule="auto"/>
      <w:jc w:val="center"/>
      <w:outlineLvl w:val="1"/>
    </w:pPr>
    <w:rPr>
      <w:rFonts w:ascii="Arial" w:hAnsi="Arial"/>
      <w:b/>
      <w:bCs/>
      <w:sz w:val="28"/>
      <w:szCs w:val="32"/>
    </w:rPr>
  </w:style>
  <w:style w:type="paragraph" w:styleId="4">
    <w:name w:val="heading 4"/>
    <w:basedOn w:val="1"/>
    <w:next w:val="1"/>
    <w:autoRedefine/>
    <w:semiHidden/>
    <w:unhideWhenUsed/>
    <w:qFormat/>
    <w:uiPriority w:val="0"/>
    <w:pPr>
      <w:spacing w:beforeAutospacing="1" w:afterAutospacing="1"/>
      <w:jc w:val="left"/>
      <w:outlineLvl w:val="3"/>
    </w:pPr>
    <w:rPr>
      <w:rFonts w:hint="eastAsia" w:ascii="宋体" w:hAnsi="宋体" w:eastAsia="宋体" w:cs="Times New Roman"/>
      <w:b/>
      <w:bCs/>
      <w:kern w:val="0"/>
      <w:sz w:val="24"/>
    </w:rPr>
  </w:style>
  <w:style w:type="paragraph" w:styleId="5">
    <w:name w:val="heading 6"/>
    <w:basedOn w:val="1"/>
    <w:next w:val="1"/>
    <w:autoRedefine/>
    <w:semiHidden/>
    <w:unhideWhenUsed/>
    <w:qFormat/>
    <w:uiPriority w:val="0"/>
    <w:pPr>
      <w:spacing w:beforeAutospacing="1" w:afterAutospacing="1"/>
      <w:jc w:val="left"/>
      <w:outlineLvl w:val="5"/>
    </w:pPr>
    <w:rPr>
      <w:rFonts w:hint="eastAsia" w:ascii="宋体" w:hAnsi="宋体" w:eastAsia="宋体" w:cs="Times New Roman"/>
      <w:b/>
      <w:bCs/>
      <w:kern w:val="0"/>
      <w:sz w:val="15"/>
      <w:szCs w:val="15"/>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qFormat/>
    <w:uiPriority w:val="0"/>
    <w:pPr>
      <w:ind w:left="1260"/>
      <w:jc w:val="left"/>
    </w:pPr>
    <w:rPr>
      <w:rFonts w:ascii="@仿宋_GB2312" w:hAnsi="@仿宋_GB2312" w:eastAsia="@仿宋_GB2312" w:cs="@仿宋_GB2312"/>
      <w:szCs w:val="21"/>
    </w:rPr>
  </w:style>
  <w:style w:type="paragraph" w:styleId="7">
    <w:name w:val="Body Text"/>
    <w:basedOn w:val="1"/>
    <w:next w:val="8"/>
    <w:link w:val="35"/>
    <w:autoRedefine/>
    <w:qFormat/>
    <w:uiPriority w:val="0"/>
    <w:rPr>
      <w:color w:val="993300"/>
      <w:sz w:val="24"/>
    </w:rPr>
  </w:style>
  <w:style w:type="paragraph" w:styleId="8">
    <w:name w:val="Body Text 2"/>
    <w:basedOn w:val="1"/>
    <w:qFormat/>
    <w:uiPriority w:val="0"/>
    <w:pPr>
      <w:spacing w:after="120" w:line="480" w:lineRule="auto"/>
    </w:pPr>
  </w:style>
  <w:style w:type="paragraph" w:styleId="9">
    <w:name w:val="Body Text Indent"/>
    <w:basedOn w:val="1"/>
    <w:next w:val="10"/>
    <w:autoRedefine/>
    <w:qFormat/>
    <w:uiPriority w:val="0"/>
    <w:pPr>
      <w:ind w:firstLine="480"/>
    </w:pPr>
    <w:rPr>
      <w:rFonts w:ascii="宋体" w:hAnsi="宋体"/>
    </w:rPr>
  </w:style>
  <w:style w:type="paragraph" w:styleId="10">
    <w:name w:val="envelope return"/>
    <w:basedOn w:val="1"/>
    <w:next w:val="6"/>
    <w:qFormat/>
    <w:uiPriority w:val="99"/>
    <w:rPr>
      <w:rFonts w:ascii="Arial" w:hAnsi="Arial" w:cs="Arial"/>
      <w:kern w:val="1"/>
    </w:rPr>
  </w:style>
  <w:style w:type="paragraph" w:styleId="11">
    <w:name w:val="Plain Text"/>
    <w:basedOn w:val="1"/>
    <w:autoRedefine/>
    <w:qFormat/>
    <w:uiPriority w:val="0"/>
    <w:rPr>
      <w:rFonts w:ascii="宋体" w:hAnsi="Courier New" w:cs="Courier New"/>
      <w:szCs w:val="21"/>
    </w:rPr>
  </w:style>
  <w:style w:type="paragraph" w:styleId="12">
    <w:name w:val="Body Text Indent 2"/>
    <w:basedOn w:val="1"/>
    <w:autoRedefine/>
    <w:qFormat/>
    <w:uiPriority w:val="0"/>
    <w:pPr>
      <w:spacing w:after="120" w:line="480" w:lineRule="auto"/>
      <w:ind w:left="420" w:leftChars="200"/>
    </w:pPr>
  </w:style>
  <w:style w:type="paragraph" w:styleId="13">
    <w:name w:val="footer"/>
    <w:basedOn w:val="1"/>
    <w:autoRedefine/>
    <w:qFormat/>
    <w:uiPriority w:val="0"/>
    <w:pPr>
      <w:tabs>
        <w:tab w:val="center" w:pos="4153"/>
        <w:tab w:val="right" w:pos="8306"/>
      </w:tabs>
      <w:snapToGrid w:val="0"/>
      <w:jc w:val="left"/>
    </w:pPr>
    <w:rPr>
      <w:sz w:val="18"/>
      <w:szCs w:val="18"/>
    </w:rPr>
  </w:style>
  <w:style w:type="paragraph" w:styleId="14">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0"/>
  </w:style>
  <w:style w:type="paragraph" w:styleId="1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7">
    <w:name w:val="Normal (Web)"/>
    <w:basedOn w:val="1"/>
    <w:autoRedefine/>
    <w:qFormat/>
    <w:uiPriority w:val="99"/>
    <w:pPr>
      <w:widowControl/>
      <w:spacing w:before="100" w:beforeAutospacing="1" w:after="100" w:afterAutospacing="1"/>
      <w:jc w:val="left"/>
    </w:pPr>
    <w:rPr>
      <w:rFonts w:ascii="宋体" w:hAnsi="宋体" w:cs="宋体"/>
      <w:kern w:val="0"/>
      <w:sz w:val="24"/>
    </w:rPr>
  </w:style>
  <w:style w:type="paragraph" w:styleId="18">
    <w:name w:val="Title"/>
    <w:basedOn w:val="1"/>
    <w:next w:val="1"/>
    <w:autoRedefine/>
    <w:qFormat/>
    <w:uiPriority w:val="0"/>
    <w:pPr>
      <w:jc w:val="center"/>
      <w:outlineLvl w:val="0"/>
    </w:pPr>
    <w:rPr>
      <w:rFonts w:ascii="Cambria" w:hAnsi="Cambria"/>
      <w:b/>
      <w:sz w:val="32"/>
    </w:rPr>
  </w:style>
  <w:style w:type="paragraph" w:styleId="19">
    <w:name w:val="Body Text First Indent"/>
    <w:basedOn w:val="7"/>
    <w:autoRedefine/>
    <w:qFormat/>
    <w:uiPriority w:val="0"/>
    <w:pPr>
      <w:adjustRightInd w:val="0"/>
      <w:spacing w:line="360" w:lineRule="auto"/>
      <w:ind w:firstLine="420"/>
      <w:textAlignment w:val="baseline"/>
    </w:pPr>
    <w:rPr>
      <w:rFonts w:ascii="Times New Roman" w:hAnsi="Times New Roman" w:eastAsia="楷体_GB2312"/>
      <w:kern w:val="0"/>
      <w:szCs w:val="20"/>
    </w:rPr>
  </w:style>
  <w:style w:type="paragraph" w:styleId="20">
    <w:name w:val="Body Text First Indent 2"/>
    <w:basedOn w:val="9"/>
    <w:next w:val="1"/>
    <w:autoRedefine/>
    <w:qFormat/>
    <w:uiPriority w:val="0"/>
    <w:pPr>
      <w:ind w:firstLine="420"/>
    </w:pPr>
  </w:style>
  <w:style w:type="table" w:styleId="22">
    <w:name w:val="Table Grid"/>
    <w:basedOn w:val="21"/>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autoRedefine/>
    <w:qFormat/>
    <w:uiPriority w:val="0"/>
    <w:rPr>
      <w:b/>
      <w:bCs/>
    </w:rPr>
  </w:style>
  <w:style w:type="character" w:styleId="25">
    <w:name w:val="page number"/>
    <w:basedOn w:val="23"/>
    <w:autoRedefine/>
    <w:qFormat/>
    <w:uiPriority w:val="0"/>
  </w:style>
  <w:style w:type="character" w:styleId="26">
    <w:name w:val="Hyperlink"/>
    <w:basedOn w:val="23"/>
    <w:autoRedefine/>
    <w:qFormat/>
    <w:uiPriority w:val="0"/>
    <w:rPr>
      <w:color w:val="0000FF"/>
      <w:u w:val="single"/>
    </w:rPr>
  </w:style>
  <w:style w:type="paragraph" w:customStyle="1" w:styleId="27">
    <w:name w:val="正文文本 31"/>
    <w:basedOn w:val="1"/>
    <w:autoRedefine/>
    <w:qFormat/>
    <w:uiPriority w:val="0"/>
    <w:rPr>
      <w:sz w:val="16"/>
      <w:szCs w:val="16"/>
    </w:rPr>
  </w:style>
  <w:style w:type="paragraph" w:styleId="28">
    <w:name w:val="List Paragraph"/>
    <w:basedOn w:val="1"/>
    <w:link w:val="36"/>
    <w:autoRedefine/>
    <w:unhideWhenUsed/>
    <w:qFormat/>
    <w:uiPriority w:val="34"/>
    <w:pPr>
      <w:ind w:firstLine="420" w:firstLineChars="200"/>
    </w:pPr>
  </w:style>
  <w:style w:type="character" w:customStyle="1" w:styleId="29">
    <w:name w:val="NormalCharacter"/>
    <w:autoRedefine/>
    <w:qFormat/>
    <w:uiPriority w:val="0"/>
    <w:rPr>
      <w:kern w:val="2"/>
      <w:sz w:val="21"/>
      <w:szCs w:val="24"/>
      <w:lang w:val="en-US" w:eastAsia="zh-CN" w:bidi="ar-SA"/>
    </w:rPr>
  </w:style>
  <w:style w:type="paragraph" w:customStyle="1" w:styleId="30">
    <w:name w:val="09正文_wh"/>
    <w:autoRedefine/>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31">
    <w:name w:val="WPSOffice手动目录 1"/>
    <w:autoRedefine/>
    <w:qFormat/>
    <w:uiPriority w:val="0"/>
    <w:rPr>
      <w:rFonts w:ascii="Times New Roman" w:hAnsi="Times New Roman" w:eastAsia="宋体" w:cs="Times New Roman"/>
      <w:lang w:val="en-US" w:eastAsia="zh-CN" w:bidi="ar-SA"/>
    </w:rPr>
  </w:style>
  <w:style w:type="paragraph" w:customStyle="1" w:styleId="32">
    <w:name w:val="目录"/>
    <w:basedOn w:val="1"/>
    <w:autoRedefine/>
    <w:qFormat/>
    <w:uiPriority w:val="0"/>
    <w:pPr>
      <w:widowControl/>
      <w:jc w:val="center"/>
    </w:pPr>
    <w:rPr>
      <w:rFonts w:ascii="宋体"/>
      <w:b/>
      <w:kern w:val="0"/>
      <w:sz w:val="36"/>
      <w:szCs w:val="20"/>
    </w:rPr>
  </w:style>
  <w:style w:type="paragraph" w:customStyle="1" w:styleId="33">
    <w:name w:val="正文缩进1"/>
    <w:basedOn w:val="1"/>
    <w:autoRedefine/>
    <w:qFormat/>
    <w:uiPriority w:val="0"/>
    <w:pPr>
      <w:ind w:firstLine="420" w:firstLineChars="200"/>
    </w:pPr>
  </w:style>
  <w:style w:type="paragraph" w:customStyle="1" w:styleId="34">
    <w:name w:val="1正文"/>
    <w:basedOn w:val="17"/>
    <w:autoRedefine/>
    <w:qFormat/>
    <w:uiPriority w:val="0"/>
    <w:pPr>
      <w:spacing w:beforeAutospacing="0" w:afterAutospacing="0" w:line="360" w:lineRule="auto"/>
      <w:ind w:firstLine="960" w:firstLineChars="200"/>
      <w:jc w:val="both"/>
    </w:pPr>
    <w:rPr>
      <w:rFonts w:ascii="Times New Roman" w:hAnsi="Times New Roman" w:cs="Times New Roman"/>
    </w:rPr>
  </w:style>
  <w:style w:type="character" w:customStyle="1" w:styleId="35">
    <w:name w:val="正文文本 字符"/>
    <w:basedOn w:val="23"/>
    <w:link w:val="7"/>
    <w:qFormat/>
    <w:uiPriority w:val="0"/>
    <w:rPr>
      <w:color w:val="993300"/>
      <w:kern w:val="2"/>
      <w:sz w:val="24"/>
      <w:szCs w:val="24"/>
    </w:rPr>
  </w:style>
  <w:style w:type="character" w:customStyle="1" w:styleId="36">
    <w:name w:val="列表段落 字符"/>
    <w:basedOn w:val="23"/>
    <w:link w:val="28"/>
    <w:qFormat/>
    <w:uiPriority w:val="34"/>
    <w:rPr>
      <w:kern w:val="2"/>
      <w:sz w:val="21"/>
      <w:szCs w:val="24"/>
    </w:rPr>
  </w:style>
  <w:style w:type="paragraph" w:customStyle="1" w:styleId="37">
    <w:name w:val="H-TextFormat"/>
    <w:qFormat/>
    <w:uiPriority w:val="0"/>
    <w:pPr>
      <w:autoSpaceDE w:val="0"/>
      <w:autoSpaceDN w:val="0"/>
      <w:adjustRightInd w:val="0"/>
    </w:pPr>
    <w:rPr>
      <w:rFonts w:ascii="Arial" w:hAnsi="Arial" w:eastAsia="宋体" w:cs="Arial"/>
      <w:sz w:val="22"/>
      <w:szCs w:val="22"/>
      <w:lang w:val="en-US" w:eastAsia="en-US" w:bidi="ar-SA"/>
    </w:rPr>
  </w:style>
  <w:style w:type="paragraph" w:customStyle="1" w:styleId="38">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9">
    <w:name w:val="正文缩进111"/>
    <w:basedOn w:val="1"/>
    <w:qFormat/>
    <w:uiPriority w:val="0"/>
    <w:pPr>
      <w:ind w:firstLine="420"/>
    </w:pPr>
    <w:rPr>
      <w:kern w:val="0"/>
      <w:sz w:val="20"/>
    </w:rPr>
  </w:style>
  <w:style w:type="character" w:customStyle="1" w:styleId="40">
    <w:name w:val="font61"/>
    <w:basedOn w:val="23"/>
    <w:qFormat/>
    <w:uiPriority w:val="0"/>
    <w:rPr>
      <w:rFonts w:ascii="Calibri" w:hAnsi="Calibri" w:cs="Calibri"/>
      <w:color w:val="000000"/>
      <w:sz w:val="20"/>
      <w:szCs w:val="20"/>
      <w:u w:val="none"/>
    </w:rPr>
  </w:style>
  <w:style w:type="character" w:customStyle="1" w:styleId="41">
    <w:name w:val="font11"/>
    <w:basedOn w:val="23"/>
    <w:qFormat/>
    <w:uiPriority w:val="0"/>
    <w:rPr>
      <w:rFonts w:hint="eastAsia" w:ascii="宋体" w:hAnsi="宋体" w:eastAsia="宋体" w:cs="宋体"/>
      <w:color w:val="000000"/>
      <w:sz w:val="20"/>
      <w:szCs w:val="20"/>
      <w:u w:val="none"/>
    </w:rPr>
  </w:style>
  <w:style w:type="character" w:customStyle="1" w:styleId="42">
    <w:name w:val="font71"/>
    <w:basedOn w:val="23"/>
    <w:qFormat/>
    <w:uiPriority w:val="0"/>
    <w:rPr>
      <w:rFonts w:hint="default" w:ascii="Calibri" w:hAnsi="Calibri" w:cs="Calibri"/>
      <w:color w:val="000000"/>
      <w:sz w:val="20"/>
      <w:szCs w:val="20"/>
      <w:u w:val="none"/>
    </w:rPr>
  </w:style>
  <w:style w:type="character" w:customStyle="1" w:styleId="43">
    <w:name w:val="font31"/>
    <w:basedOn w:val="23"/>
    <w:qFormat/>
    <w:uiPriority w:val="0"/>
    <w:rPr>
      <w:rFonts w:hint="eastAsia" w:ascii="宋体" w:hAnsi="宋体" w:eastAsia="宋体" w:cs="宋体"/>
      <w:color w:val="000000"/>
      <w:sz w:val="20"/>
      <w:szCs w:val="20"/>
      <w:u w:val="none"/>
    </w:rPr>
  </w:style>
  <w:style w:type="character" w:customStyle="1" w:styleId="44">
    <w:name w:val="font81"/>
    <w:basedOn w:val="23"/>
    <w:qFormat/>
    <w:uiPriority w:val="0"/>
    <w:rPr>
      <w:rFonts w:hint="default" w:ascii="Calibri" w:hAnsi="Calibri" w:cs="Calibri"/>
      <w:color w:val="000000"/>
      <w:sz w:val="20"/>
      <w:szCs w:val="20"/>
      <w:u w:val="none"/>
    </w:rPr>
  </w:style>
  <w:style w:type="character" w:customStyle="1" w:styleId="45">
    <w:name w:val="font21"/>
    <w:basedOn w:val="23"/>
    <w:qFormat/>
    <w:uiPriority w:val="0"/>
    <w:rPr>
      <w:rFonts w:hint="eastAsia" w:ascii="宋体" w:hAnsi="宋体" w:eastAsia="宋体" w:cs="宋体"/>
      <w:b/>
      <w:bCs/>
      <w:color w:val="000000"/>
      <w:sz w:val="20"/>
      <w:szCs w:val="20"/>
      <w:u w:val="none"/>
    </w:rPr>
  </w:style>
  <w:style w:type="character" w:customStyle="1" w:styleId="46">
    <w:name w:val="font91"/>
    <w:basedOn w:val="23"/>
    <w:qFormat/>
    <w:uiPriority w:val="0"/>
    <w:rPr>
      <w:rFonts w:hint="default" w:ascii="Calibri" w:hAnsi="Calibri" w:cs="Calibri"/>
      <w:b/>
      <w:bCs/>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65</Pages>
  <Words>155</Words>
  <Characters>181</Characters>
  <Lines>35</Lines>
  <Paragraphs>59</Paragraphs>
  <TotalTime>67</TotalTime>
  <ScaleCrop>false</ScaleCrop>
  <LinksUpToDate>false</LinksUpToDate>
  <CharactersWithSpaces>209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2024-08-22T06:36:00Z</dcterms:created>
  <dc:creator>lenovo</dc:creator>
  <cp:lastModifiedBy>NL...</cp:lastModifiedBy>
  <dcterms:modified xsi:type="dcterms:W3CDTF">2026-08-13T01:03:21Z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DE3443DC51A44897AD86D24CC651B9A8_13</vt:lpwstr>
  </property>
  <property fmtid="{D5CDD505-2E9C-101B-9397-08002B2CF9AE}" pid="4" name="KSOTemplateDocerSaveRecord">
    <vt:lpwstr>eyJoZGlkIjoiZDI2NzU2NGRmNTE4NDllOGMzMDVlZTAyZGFiMDgzOTUiLCJ1c2VySWQiOiI5OTY5NzgwMjkifQ==</vt:lpwstr>
  </property>
</Properties>
</file>