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AF8B12">
      <w:pPr>
        <w:pStyle w:val="2"/>
        <w:bidi w:val="0"/>
        <w:rPr>
          <w:rFonts w:hint="eastAsia" w:ascii="宋体" w:hAnsi="宋体" w:cs="宋体"/>
          <w:b/>
          <w:szCs w:val="36"/>
        </w:rPr>
      </w:pPr>
      <w:bookmarkStart w:id="0" w:name="_Toc18632"/>
      <w:bookmarkStart w:id="1" w:name="_Toc3188"/>
      <w:r>
        <w:rPr>
          <w:rFonts w:hint="eastAsia"/>
        </w:rPr>
        <w:t xml:space="preserve">第三章  </w:t>
      </w:r>
      <w:bookmarkEnd w:id="0"/>
      <w:bookmarkStart w:id="2" w:name="_Toc529368446"/>
      <w:bookmarkStart w:id="3" w:name="_Toc24998"/>
      <w:bookmarkStart w:id="4" w:name="_Toc529809669"/>
      <w:r>
        <w:rPr>
          <w:rFonts w:hint="eastAsia"/>
        </w:rPr>
        <w:t>工程技术标准和要求</w:t>
      </w:r>
      <w:bookmarkEnd w:id="1"/>
    </w:p>
    <w:bookmarkEnd w:id="2"/>
    <w:bookmarkEnd w:id="3"/>
    <w:bookmarkEnd w:id="4"/>
    <w:p w14:paraId="471E941D">
      <w:pPr>
        <w:pStyle w:val="5"/>
        <w:spacing w:before="0" w:after="0" w:line="360" w:lineRule="auto"/>
        <w:ind w:left="0" w:right="0" w:firstLine="482"/>
        <w:jc w:val="left"/>
      </w:pPr>
      <w:r>
        <w:rPr>
          <w:rFonts w:ascii="宋体" w:hAnsi="宋体" w:eastAsia="宋体" w:cs="宋体"/>
          <w:b/>
          <w:sz w:val="24"/>
        </w:rPr>
        <w:t>一、项目概况</w:t>
      </w:r>
    </w:p>
    <w:p w14:paraId="30BC2E2D">
      <w:pPr>
        <w:keepNext w:val="0"/>
        <w:keepLines w:val="0"/>
        <w:pageBreakBefore w:val="0"/>
        <w:widowControl w:val="0"/>
        <w:kinsoku/>
        <w:wordWrap/>
        <w:overflowPunct/>
        <w:topLinePunct w:val="0"/>
        <w:autoSpaceDE/>
        <w:autoSpaceDN/>
        <w:bidi w:val="0"/>
        <w:adjustRightInd/>
        <w:snapToGrid/>
        <w:spacing w:line="360" w:lineRule="auto"/>
        <w:ind w:left="420" w:leftChars="200" w:firstLine="480" w:firstLineChars="200"/>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陕西国防工业职业技术学院</w:t>
      </w:r>
      <w:r>
        <w:rPr>
          <w:rFonts w:hint="default" w:ascii="宋体" w:hAnsi="宋体" w:eastAsia="宋体" w:cs="宋体"/>
          <w:kern w:val="0"/>
          <w:sz w:val="24"/>
          <w:szCs w:val="24"/>
          <w:lang w:val="en-US" w:eastAsia="zh-CN"/>
        </w:rPr>
        <w:t>北校区2-3号教学楼节能灯更换项目，作为我校北区教学活动的核心载体之一，长期承担着各类课程教学、自习辅导等重要功能，是保障正常教学秩序、提升教学质量的基础场所。本项目工程是将两栋教学楼所有的传统日光灯全部更换为符合要求的T8型高亮LED日光灯具，并更换相应面板开关</w:t>
      </w:r>
      <w:r>
        <w:rPr>
          <w:rFonts w:hint="eastAsia" w:ascii="宋体" w:hAnsi="宋体" w:eastAsia="宋体" w:cs="宋体"/>
          <w:kern w:val="0"/>
          <w:sz w:val="24"/>
          <w:szCs w:val="24"/>
          <w:lang w:val="en-US" w:eastAsia="zh-CN"/>
        </w:rPr>
        <w:t>。</w:t>
      </w:r>
    </w:p>
    <w:p w14:paraId="15F6DBEE">
      <w:pPr>
        <w:pStyle w:val="5"/>
        <w:numPr>
          <w:ilvl w:val="0"/>
          <w:numId w:val="1"/>
        </w:numPr>
        <w:spacing w:before="0" w:after="0" w:line="360" w:lineRule="auto"/>
        <w:ind w:left="0" w:right="0" w:firstLine="482"/>
        <w:jc w:val="both"/>
        <w:rPr>
          <w:rFonts w:ascii="宋体" w:hAnsi="宋体" w:eastAsia="宋体" w:cs="宋体"/>
          <w:b/>
          <w:sz w:val="24"/>
        </w:rPr>
      </w:pPr>
      <w:r>
        <w:rPr>
          <w:rFonts w:ascii="宋体" w:hAnsi="宋体" w:eastAsia="宋体" w:cs="宋体"/>
          <w:b/>
          <w:sz w:val="24"/>
        </w:rPr>
        <w:t>工程技术标准及要求</w:t>
      </w:r>
    </w:p>
    <w:p w14:paraId="3B5B6594">
      <w:pPr>
        <w:pStyle w:val="5"/>
        <w:numPr>
          <w:ilvl w:val="0"/>
          <w:numId w:val="0"/>
        </w:numPr>
        <w:spacing w:before="0" w:after="0" w:line="360" w:lineRule="auto"/>
        <w:ind w:left="482" w:leftChars="0" w:right="0" w:rightChars="0"/>
        <w:jc w:val="both"/>
        <w:rPr>
          <w:rFonts w:hint="eastAsia" w:ascii="宋体" w:hAnsi="宋体" w:eastAsia="宋体" w:cs="宋体"/>
          <w:b/>
          <w:sz w:val="24"/>
          <w:lang w:eastAsia="zh-CN"/>
        </w:rPr>
      </w:pPr>
      <w:r>
        <w:rPr>
          <w:rFonts w:hint="eastAsia" w:cs="宋体"/>
          <w:b/>
          <w:sz w:val="24"/>
          <w:lang w:eastAsia="zh-CN"/>
        </w:rPr>
        <w:t>（一）总体要求：</w:t>
      </w:r>
    </w:p>
    <w:p w14:paraId="41B64FD1">
      <w:pPr>
        <w:pStyle w:val="5"/>
        <w:spacing w:before="0" w:after="0" w:line="360" w:lineRule="auto"/>
        <w:ind w:left="0" w:right="0" w:firstLine="480"/>
        <w:jc w:val="both"/>
      </w:pPr>
      <w:r>
        <w:rPr>
          <w:rFonts w:ascii="宋体" w:hAnsi="宋体" w:eastAsia="宋体" w:cs="宋体"/>
          <w:sz w:val="24"/>
        </w:rPr>
        <w:t>1.本工程的施工过程和成果必须符合国家有关工程建设标准强制性条文和国家或有关部门关于工程施工方面现行的标准、规范、规程、定额、办法、示例，以及陕西省关于工程施工方面的文件、规定，同时满足中华人民共和国住建部发布的《工程建设标准强制性条文》的规定。</w:t>
      </w:r>
    </w:p>
    <w:p w14:paraId="17868790">
      <w:pPr>
        <w:pStyle w:val="5"/>
        <w:spacing w:before="0" w:after="0" w:line="360" w:lineRule="auto"/>
        <w:ind w:left="0" w:right="0" w:firstLine="480"/>
        <w:jc w:val="both"/>
      </w:pPr>
      <w:r>
        <w:rPr>
          <w:rFonts w:ascii="宋体" w:hAnsi="宋体" w:eastAsia="宋体" w:cs="宋体"/>
          <w:sz w:val="24"/>
        </w:rPr>
        <w:t>2.本工程其他技术标准及要求执行现行规范和采购人实际需求。</w:t>
      </w:r>
    </w:p>
    <w:p w14:paraId="14C9257C">
      <w:pPr>
        <w:pStyle w:val="5"/>
        <w:spacing w:before="0" w:after="0" w:line="360" w:lineRule="auto"/>
        <w:ind w:left="0" w:right="0" w:firstLine="480"/>
        <w:jc w:val="both"/>
      </w:pPr>
      <w:r>
        <w:rPr>
          <w:rFonts w:ascii="宋体" w:hAnsi="宋体" w:eastAsia="宋体" w:cs="宋体"/>
          <w:sz w:val="24"/>
        </w:rPr>
        <w:t>3.在施工过程中，如果国家或有关部门颁布了新的技术部分准或规范，则承包人应采用新的标准或规范进行施工。</w:t>
      </w:r>
    </w:p>
    <w:p w14:paraId="02ED3740">
      <w:pPr>
        <w:pStyle w:val="5"/>
        <w:spacing w:before="0" w:after="0" w:line="360" w:lineRule="auto"/>
        <w:ind w:left="0" w:right="0" w:firstLine="480"/>
        <w:jc w:val="both"/>
      </w:pPr>
      <w:r>
        <w:rPr>
          <w:rFonts w:ascii="宋体" w:hAnsi="宋体" w:eastAsia="宋体" w:cs="宋体"/>
          <w:sz w:val="24"/>
        </w:rPr>
        <w:t>4.采购人提供工程的施工方案和相关技术文件，是采购人现有的能被供应商利用的资料，采购人对供应商做出的任何推论、理解均不负责任。</w:t>
      </w:r>
    </w:p>
    <w:p w14:paraId="27D001FF">
      <w:pPr>
        <w:pStyle w:val="5"/>
        <w:spacing w:before="0" w:after="0" w:line="360" w:lineRule="auto"/>
        <w:ind w:left="0" w:right="0" w:firstLine="480"/>
        <w:jc w:val="both"/>
      </w:pPr>
      <w:r>
        <w:rPr>
          <w:rFonts w:hint="eastAsia" w:cs="宋体"/>
          <w:sz w:val="24"/>
          <w:lang w:val="en-US" w:eastAsia="zh-CN"/>
        </w:rPr>
        <w:t>5</w:t>
      </w:r>
      <w:r>
        <w:rPr>
          <w:rFonts w:ascii="宋体" w:hAnsi="宋体" w:eastAsia="宋体" w:cs="宋体"/>
          <w:sz w:val="24"/>
        </w:rPr>
        <w:t>.供应商取得验收手续后，及时通知采购人验收，并按采购人的要求提交竣工验收申请报告及竣工资料，采购人应及时组织验收，并在验收后10个工作日内作出合格或不合格的验收意见，验收不合格的，供应商应返工，直至采购人验收合格为止，返工的一切费用由供应商承担，且工期不予顺延。如供应商在规定时间内未能组织验收的，需及时通知采购人，双方另行商定验收日期。</w:t>
      </w:r>
    </w:p>
    <w:p w14:paraId="4A1227EA">
      <w:pPr>
        <w:pStyle w:val="5"/>
        <w:spacing w:before="0" w:after="0" w:line="360" w:lineRule="auto"/>
        <w:ind w:left="0" w:right="0" w:firstLine="480"/>
        <w:jc w:val="both"/>
      </w:pPr>
      <w:r>
        <w:rPr>
          <w:rFonts w:hint="eastAsia" w:cs="宋体"/>
          <w:sz w:val="24"/>
          <w:lang w:val="en-US" w:eastAsia="zh-CN"/>
        </w:rPr>
        <w:t>6</w:t>
      </w:r>
      <w:r>
        <w:rPr>
          <w:rFonts w:ascii="宋体" w:hAnsi="宋体" w:eastAsia="宋体" w:cs="宋体"/>
          <w:sz w:val="24"/>
        </w:rPr>
        <w:t>.成交供应商未经采购人及有关部门同意，不得擅自变更本项目在竞争性磋</w:t>
      </w:r>
    </w:p>
    <w:p w14:paraId="36282AB0">
      <w:pPr>
        <w:pStyle w:val="5"/>
        <w:spacing w:before="0" w:after="0" w:line="360" w:lineRule="auto"/>
        <w:ind w:left="0" w:right="0"/>
        <w:jc w:val="both"/>
        <w:rPr>
          <w:rFonts w:hint="eastAsia" w:eastAsia="宋体"/>
          <w:lang w:eastAsia="zh-CN"/>
        </w:rPr>
      </w:pPr>
      <w:r>
        <w:rPr>
          <w:rFonts w:ascii="宋体" w:hAnsi="宋体" w:eastAsia="宋体" w:cs="宋体"/>
          <w:sz w:val="24"/>
        </w:rPr>
        <w:t>商过程承诺中认定的采购范围、实施组织方案</w:t>
      </w:r>
      <w:r>
        <w:rPr>
          <w:rFonts w:hint="eastAsia" w:cs="宋体"/>
          <w:sz w:val="24"/>
          <w:lang w:eastAsia="zh-CN"/>
        </w:rPr>
        <w:t>。</w:t>
      </w:r>
    </w:p>
    <w:p w14:paraId="0D67FA7B">
      <w:pPr>
        <w:pStyle w:val="5"/>
        <w:spacing w:before="0" w:after="0" w:line="360" w:lineRule="auto"/>
        <w:ind w:left="0" w:right="0" w:firstLine="480"/>
        <w:jc w:val="both"/>
      </w:pPr>
      <w:r>
        <w:rPr>
          <w:rFonts w:hint="eastAsia" w:cs="宋体"/>
          <w:sz w:val="24"/>
          <w:lang w:val="en-US" w:eastAsia="zh-CN"/>
        </w:rPr>
        <w:t>7</w:t>
      </w:r>
      <w:r>
        <w:rPr>
          <w:rFonts w:ascii="宋体" w:hAnsi="宋体" w:eastAsia="宋体" w:cs="宋体"/>
          <w:sz w:val="24"/>
        </w:rPr>
        <w:t>.成交供应商必须自行施工，不得转包、分包。</w:t>
      </w:r>
    </w:p>
    <w:p w14:paraId="53A4FDA4">
      <w:pPr>
        <w:pStyle w:val="5"/>
        <w:spacing w:before="0" w:after="0" w:line="360" w:lineRule="auto"/>
        <w:ind w:left="0" w:right="0" w:firstLine="480"/>
        <w:jc w:val="both"/>
        <w:rPr>
          <w:rFonts w:ascii="宋体" w:hAnsi="宋体" w:eastAsia="宋体" w:cs="宋体"/>
          <w:sz w:val="24"/>
        </w:rPr>
      </w:pPr>
      <w:r>
        <w:rPr>
          <w:rFonts w:hint="eastAsia" w:cs="宋体"/>
          <w:sz w:val="24"/>
          <w:lang w:val="en-US" w:eastAsia="zh-CN"/>
        </w:rPr>
        <w:t>8</w:t>
      </w:r>
      <w:r>
        <w:rPr>
          <w:rFonts w:ascii="宋体" w:hAnsi="宋体" w:eastAsia="宋体" w:cs="宋体"/>
          <w:sz w:val="24"/>
        </w:rPr>
        <w:t>.承包人在施工过程中不得影响学校的日常生活、工作秩序。</w:t>
      </w:r>
    </w:p>
    <w:p w14:paraId="041A1F68">
      <w:pPr>
        <w:pStyle w:val="5"/>
        <w:numPr>
          <w:ilvl w:val="0"/>
          <w:numId w:val="0"/>
        </w:numPr>
        <w:spacing w:before="0" w:after="0" w:line="360" w:lineRule="auto"/>
        <w:ind w:left="482" w:leftChars="0" w:right="0" w:rightChars="0"/>
        <w:jc w:val="both"/>
        <w:rPr>
          <w:rFonts w:hint="eastAsia" w:ascii="宋体" w:hAnsi="宋体" w:eastAsia="宋体" w:cs="宋体"/>
          <w:b/>
          <w:sz w:val="24"/>
          <w:lang w:eastAsia="zh-CN"/>
        </w:rPr>
      </w:pPr>
      <w:r>
        <w:rPr>
          <w:rFonts w:hint="eastAsia" w:ascii="宋体" w:hAnsi="宋体" w:eastAsia="宋体" w:cs="宋体"/>
          <w:b/>
          <w:sz w:val="24"/>
          <w:lang w:eastAsia="zh-CN"/>
        </w:rPr>
        <w:t>（二）技术要求</w:t>
      </w:r>
    </w:p>
    <w:p w14:paraId="33A85435">
      <w:pPr>
        <w:pStyle w:val="5"/>
        <w:spacing w:before="0" w:after="0" w:line="360" w:lineRule="auto"/>
        <w:ind w:left="0" w:right="0" w:firstLine="480"/>
        <w:jc w:val="both"/>
        <w:rPr>
          <w:rFonts w:hint="eastAsia" w:ascii="宋体" w:hAnsi="宋体" w:eastAsia="宋体" w:cs="宋体"/>
          <w:sz w:val="24"/>
          <w:lang w:val="en-US" w:eastAsia="zh-CN"/>
        </w:rPr>
      </w:pPr>
      <w:r>
        <w:rPr>
          <w:rFonts w:hint="eastAsia" w:ascii="宋体" w:hAnsi="宋体" w:eastAsia="宋体" w:cs="宋体"/>
          <w:sz w:val="24"/>
          <w:lang w:val="en-US" w:eastAsia="zh-CN"/>
        </w:rPr>
        <w:t>（1）北校区教学2楼，教学3楼全部需更换的灯具和开关数量如下：教学2楼、教学3楼现有数量为双管日光灯灯具1698套，单管黑板日光灯灯具192套，合计1890套，LED灯管数量共计3588支，配套的线材吊链1890套；三联开关208个，双联开关52个，单联开关138个</w:t>
      </w:r>
    </w:p>
    <w:p w14:paraId="75D653AB">
      <w:pPr>
        <w:pStyle w:val="5"/>
        <w:spacing w:before="0" w:after="0" w:line="360" w:lineRule="auto"/>
        <w:ind w:left="0" w:right="0" w:firstLine="480"/>
        <w:jc w:val="both"/>
        <w:rPr>
          <w:rFonts w:hint="eastAsia" w:ascii="宋体" w:hAnsi="宋体" w:eastAsia="宋体" w:cs="宋体"/>
          <w:b/>
          <w:sz w:val="24"/>
          <w:lang w:eastAsia="zh-CN"/>
        </w:rPr>
      </w:pPr>
      <w:r>
        <w:rPr>
          <w:rFonts w:hint="eastAsia" w:ascii="宋体" w:hAnsi="宋体" w:eastAsia="宋体" w:cs="宋体"/>
          <w:sz w:val="24"/>
          <w:lang w:val="en-US" w:eastAsia="zh-CN"/>
        </w:rPr>
        <w:t>（2）1.T8型高亮LED日光灯要求参数为：1）功率：≤8W；发光角度：180°双端供电；2）显色指数≥90；3）6000K≥色温≥5000K；4）单管光通量≥1800流明；5）功率因数≥0.98；6）照明无频闪；7）工作电压AC85～265V；8）电源工作效率≥0.95；9）光效≥230流明/瓦；10）7年内不间断使用光衰≤10%；11）整灯寿命：≥10万小时；12）整灯质保：≥7年；7年内故障，免费换新；13）能耗等级：节能一级。</w:t>
      </w:r>
    </w:p>
    <w:p w14:paraId="6EC9A920">
      <w:pPr>
        <w:widowControl/>
        <w:spacing w:line="360" w:lineRule="auto"/>
        <w:ind w:firstLine="480" w:firstLineChars="200"/>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w:t>
      </w: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lang w:val="en-US" w:eastAsia="zh-CN"/>
        </w:rPr>
        <w:t>）</w:t>
      </w:r>
      <w:r>
        <w:rPr>
          <w:rFonts w:hint="eastAsia" w:ascii="宋体" w:hAnsi="宋体" w:eastAsia="宋体" w:cs="宋体"/>
          <w:kern w:val="0"/>
          <w:sz w:val="24"/>
          <w:szCs w:val="24"/>
          <w:lang w:val="en-US" w:eastAsia="zh-CN"/>
        </w:rPr>
        <w:t>提供灯具及开关样品，样品必须有合格证书及参数标识，开标现场将使用功率仪现场实测是否达标</w:t>
      </w:r>
      <w:r>
        <w:rPr>
          <w:rFonts w:hint="eastAsia" w:ascii="宋体" w:hAnsi="宋体" w:cs="宋体"/>
          <w:kern w:val="0"/>
          <w:sz w:val="24"/>
          <w:szCs w:val="24"/>
          <w:lang w:val="en-US" w:eastAsia="zh-CN"/>
        </w:rPr>
        <w:t>，</w:t>
      </w:r>
      <w:r>
        <w:rPr>
          <w:rFonts w:hint="eastAsia" w:ascii="宋体" w:hAnsi="宋体" w:cs="宋体"/>
          <w:kern w:val="0"/>
          <w:sz w:val="24"/>
          <w:szCs w:val="24"/>
          <w:highlight w:val="yellow"/>
          <w:lang w:val="en-US" w:eastAsia="zh-CN"/>
        </w:rPr>
        <w:t>功率仪由采购人提供至开标现场</w:t>
      </w:r>
      <w:r>
        <w:rPr>
          <w:rFonts w:hint="eastAsia" w:ascii="宋体" w:hAnsi="宋体" w:eastAsia="宋体" w:cs="宋体"/>
          <w:kern w:val="0"/>
          <w:sz w:val="24"/>
          <w:szCs w:val="24"/>
          <w:highlight w:val="yellow"/>
          <w:lang w:val="en-US" w:eastAsia="zh-CN"/>
        </w:rPr>
        <w:t>。</w:t>
      </w:r>
    </w:p>
    <w:p w14:paraId="7F0C7B7D">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kern w:val="0"/>
          <w:sz w:val="24"/>
          <w:szCs w:val="24"/>
          <w:highlight w:val="none"/>
          <w:lang w:val="en-US" w:eastAsia="zh-CN"/>
        </w:rPr>
        <w:t>注：①</w:t>
      </w:r>
      <w:r>
        <w:rPr>
          <w:rFonts w:hint="eastAsia" w:ascii="宋体" w:hAnsi="宋体" w:eastAsia="宋体" w:cs="宋体"/>
          <w:b w:val="0"/>
          <w:bCs w:val="0"/>
          <w:color w:val="000000"/>
          <w:kern w:val="0"/>
          <w:sz w:val="24"/>
          <w:szCs w:val="20"/>
          <w:highlight w:val="none"/>
          <w:lang w:val="en-US" w:eastAsia="zh-CN"/>
        </w:rPr>
        <w:t>供应商须提供1个密封的纸箱（纸箱外包装不得体现供应商名称、品牌商标及Logo）内放置</w:t>
      </w:r>
      <w:r>
        <w:rPr>
          <w:rFonts w:hint="eastAsia" w:ascii="宋体" w:hAnsi="宋体" w:cs="宋体"/>
          <w:b w:val="0"/>
          <w:bCs w:val="0"/>
          <w:color w:val="000000"/>
          <w:kern w:val="0"/>
          <w:sz w:val="24"/>
          <w:szCs w:val="20"/>
          <w:highlight w:val="none"/>
          <w:lang w:val="en-US" w:eastAsia="zh-CN"/>
        </w:rPr>
        <w:t>灯具</w:t>
      </w:r>
      <w:r>
        <w:rPr>
          <w:rFonts w:hint="eastAsia" w:ascii="宋体" w:hAnsi="宋体" w:cs="宋体"/>
          <w:kern w:val="0"/>
          <w:sz w:val="24"/>
          <w:szCs w:val="24"/>
          <w:highlight w:val="yellow"/>
          <w:lang w:val="en-US" w:eastAsia="zh-CN"/>
        </w:rPr>
        <w:t>（1盏）及开关（1个）</w:t>
      </w:r>
      <w:r>
        <w:rPr>
          <w:rFonts w:hint="eastAsia" w:ascii="宋体" w:hAnsi="宋体" w:cs="宋体"/>
          <w:b w:val="0"/>
          <w:bCs w:val="0"/>
          <w:color w:val="000000"/>
          <w:kern w:val="0"/>
          <w:sz w:val="24"/>
          <w:szCs w:val="20"/>
          <w:highlight w:val="none"/>
          <w:lang w:val="en-US" w:eastAsia="zh-CN"/>
        </w:rPr>
        <w:t>样品</w:t>
      </w:r>
      <w:r>
        <w:rPr>
          <w:rFonts w:hint="eastAsia" w:ascii="宋体" w:hAnsi="宋体" w:eastAsia="宋体" w:cs="宋体"/>
          <w:b w:val="0"/>
          <w:bCs w:val="0"/>
          <w:color w:val="000000"/>
          <w:kern w:val="0"/>
          <w:sz w:val="24"/>
          <w:szCs w:val="20"/>
          <w:highlight w:val="none"/>
          <w:lang w:val="en-US" w:eastAsia="zh-CN"/>
        </w:rPr>
        <w:t>，于响应文件截止时间之前与响应文件一并递交至采购代理机构。</w:t>
      </w:r>
    </w:p>
    <w:p w14:paraId="39FF04CB">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kern w:val="0"/>
          <w:sz w:val="24"/>
          <w:szCs w:val="24"/>
          <w:highlight w:val="none"/>
          <w:lang w:val="en-US" w:eastAsia="zh-CN"/>
        </w:rPr>
        <w:t>②</w:t>
      </w:r>
      <w:r>
        <w:rPr>
          <w:rFonts w:hint="eastAsia" w:ascii="宋体" w:hAnsi="宋体" w:eastAsia="宋体" w:cs="宋体"/>
          <w:b w:val="0"/>
          <w:bCs w:val="0"/>
          <w:color w:val="000000"/>
          <w:kern w:val="0"/>
          <w:sz w:val="24"/>
          <w:szCs w:val="20"/>
          <w:highlight w:val="none"/>
          <w:lang w:val="en-US" w:eastAsia="zh-CN"/>
        </w:rPr>
        <w:t>样品的生产、运输等相关一切费用由各供应商自行承担。评审现场样品需要拆封，不能保证样品原样归还，供应商综合考虑。成交供应商样品作为验收依据转采购人接收，未成交供应商样品采购结果公示后3个日历天内自行领取，如未按规定时间内领取，采购代理机构有权自行销毁。</w:t>
      </w:r>
    </w:p>
    <w:p w14:paraId="5587F1A3">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default" w:ascii="宋体" w:hAnsi="宋体" w:eastAsia="宋体" w:cs="宋体"/>
          <w:b w:val="0"/>
          <w:bCs w:val="0"/>
          <w:color w:val="000000"/>
          <w:kern w:val="0"/>
          <w:sz w:val="24"/>
          <w:szCs w:val="20"/>
          <w:highlight w:val="none"/>
          <w:lang w:val="en-US" w:eastAsia="zh-CN"/>
        </w:rPr>
        <w:t>③</w:t>
      </w:r>
      <w:r>
        <w:rPr>
          <w:rFonts w:hint="eastAsia" w:ascii="宋体" w:hAnsi="宋体" w:eastAsia="宋体" w:cs="宋体"/>
          <w:b w:val="0"/>
          <w:bCs w:val="0"/>
          <w:color w:val="000000"/>
          <w:kern w:val="0"/>
          <w:sz w:val="24"/>
          <w:szCs w:val="20"/>
          <w:highlight w:val="none"/>
          <w:lang w:val="en-US" w:eastAsia="zh-CN"/>
        </w:rPr>
        <w:t>供应商须在响应文件中提供样品的</w:t>
      </w:r>
      <w:r>
        <w:rPr>
          <w:rFonts w:hint="eastAsia" w:ascii="宋体" w:hAnsi="宋体" w:eastAsia="宋体" w:cs="宋体"/>
          <w:kern w:val="0"/>
          <w:sz w:val="24"/>
          <w:szCs w:val="24"/>
          <w:highlight w:val="yellow"/>
          <w:lang w:val="en-US" w:eastAsia="zh-CN"/>
        </w:rPr>
        <w:t>合格证书、参数标识</w:t>
      </w:r>
      <w:r>
        <w:rPr>
          <w:rFonts w:hint="eastAsia" w:ascii="宋体" w:hAnsi="宋体" w:eastAsia="宋体" w:cs="宋体"/>
          <w:b w:val="0"/>
          <w:bCs w:val="0"/>
          <w:color w:val="000000"/>
          <w:kern w:val="0"/>
          <w:sz w:val="24"/>
          <w:szCs w:val="20"/>
          <w:highlight w:val="yellow"/>
          <w:lang w:val="en-US" w:eastAsia="zh-CN"/>
        </w:rPr>
        <w:t>，</w:t>
      </w:r>
      <w:r>
        <w:rPr>
          <w:rFonts w:hint="eastAsia" w:ascii="宋体" w:hAnsi="宋体" w:eastAsia="宋体" w:cs="宋体"/>
          <w:b w:val="0"/>
          <w:bCs w:val="0"/>
          <w:color w:val="000000"/>
          <w:kern w:val="0"/>
          <w:sz w:val="24"/>
          <w:szCs w:val="20"/>
          <w:highlight w:val="none"/>
          <w:lang w:val="en-US" w:eastAsia="zh-CN"/>
        </w:rPr>
        <w:t>若未按要求提供样品不得分。</w:t>
      </w:r>
    </w:p>
    <w:p w14:paraId="3953A559">
      <w:pPr>
        <w:spacing w:line="360" w:lineRule="auto"/>
        <w:rPr>
          <w:rFonts w:hint="default" w:ascii="宋体" w:hAnsi="宋体" w:eastAsia="宋体" w:cs="宋体"/>
          <w:b/>
          <w:kern w:val="0"/>
          <w:sz w:val="24"/>
          <w:szCs w:val="24"/>
          <w:highlight w:val="none"/>
          <w:lang w:val="en-US" w:eastAsia="zh-CN" w:bidi="ar-SA"/>
        </w:rPr>
      </w:pPr>
      <w:r>
        <w:rPr>
          <w:rFonts w:hint="eastAsia" w:ascii="宋体" w:hAnsi="宋体" w:eastAsia="宋体" w:cs="宋体"/>
          <w:b/>
          <w:kern w:val="0"/>
          <w:sz w:val="24"/>
          <w:szCs w:val="24"/>
          <w:highlight w:val="none"/>
          <w:lang w:val="en-US" w:eastAsia="zh-CN" w:bidi="ar-SA"/>
        </w:rPr>
        <w:t>三、工程量清单</w:t>
      </w:r>
      <w:r>
        <w:rPr>
          <w:rFonts w:hint="eastAsia" w:ascii="宋体" w:hAnsi="宋体" w:cs="宋体"/>
          <w:b/>
          <w:kern w:val="0"/>
          <w:sz w:val="24"/>
          <w:szCs w:val="24"/>
          <w:highlight w:val="none"/>
          <w:lang w:val="en-US" w:eastAsia="zh-CN" w:bidi="ar-SA"/>
        </w:rPr>
        <w:t>：（详见附件）。</w:t>
      </w:r>
    </w:p>
    <w:p w14:paraId="0E538C0A">
      <w:pPr>
        <w:pStyle w:val="5"/>
        <w:spacing w:line="360" w:lineRule="auto"/>
        <w:jc w:val="left"/>
        <w:rPr>
          <w:rFonts w:hint="eastAsia" w:ascii="宋体" w:hAnsi="宋体" w:eastAsia="宋体" w:cs="宋体"/>
          <w:b w:val="0"/>
          <w:bCs w:val="0"/>
          <w:color w:val="000000"/>
          <w:kern w:val="0"/>
          <w:sz w:val="24"/>
          <w:szCs w:val="20"/>
          <w:highlight w:val="none"/>
          <w:lang w:val="en-US" w:eastAsia="zh-CN" w:bidi="ar-SA"/>
        </w:rPr>
      </w:pPr>
      <w:r>
        <w:rPr>
          <w:rFonts w:hint="eastAsia" w:ascii="宋体" w:hAnsi="宋体" w:eastAsia="宋体" w:cs="宋体"/>
          <w:b/>
          <w:kern w:val="0"/>
          <w:sz w:val="24"/>
          <w:szCs w:val="24"/>
          <w:highlight w:val="none"/>
          <w:lang w:val="en-US" w:eastAsia="zh-CN" w:bidi="ar-SA"/>
        </w:rPr>
        <w:t>四、工程验收的主要依据、标准及要求：</w:t>
      </w:r>
    </w:p>
    <w:tbl>
      <w:tblPr>
        <w:tblStyle w:val="3"/>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6996"/>
      </w:tblGrid>
      <w:tr w14:paraId="3CD2A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top"/>
          </w:tcPr>
          <w:p w14:paraId="13E421E6">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序号</w:t>
            </w:r>
          </w:p>
        </w:tc>
        <w:tc>
          <w:tcPr>
            <w:tcW w:w="6996" w:type="dxa"/>
            <w:noWrap w:val="0"/>
            <w:vAlign w:val="top"/>
          </w:tcPr>
          <w:p w14:paraId="2BE1217C">
            <w:pPr>
              <w:spacing w:line="360" w:lineRule="auto"/>
              <w:ind w:firstLine="480" w:firstLineChars="200"/>
              <w:jc w:val="center"/>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规范、规程、标准名称</w:t>
            </w:r>
          </w:p>
        </w:tc>
      </w:tr>
      <w:tr w14:paraId="1244F5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top"/>
          </w:tcPr>
          <w:p w14:paraId="2963A49E">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1</w:t>
            </w:r>
          </w:p>
        </w:tc>
        <w:tc>
          <w:tcPr>
            <w:tcW w:w="6996" w:type="dxa"/>
            <w:noWrap w:val="0"/>
            <w:vAlign w:val="top"/>
          </w:tcPr>
          <w:p w14:paraId="1FD3072C">
            <w:pPr>
              <w:spacing w:line="360" w:lineRule="auto"/>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GB 7000.1-2015《灯具 第1部分：一般要求与试验》</w:t>
            </w:r>
          </w:p>
        </w:tc>
      </w:tr>
      <w:tr w14:paraId="7722ADE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top"/>
          </w:tcPr>
          <w:p w14:paraId="03230F89">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2</w:t>
            </w:r>
          </w:p>
        </w:tc>
        <w:tc>
          <w:tcPr>
            <w:tcW w:w="6996" w:type="dxa"/>
            <w:noWrap w:val="0"/>
            <w:vAlign w:val="top"/>
          </w:tcPr>
          <w:p w14:paraId="548F0337">
            <w:pPr>
              <w:spacing w:line="360" w:lineRule="auto"/>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GB/T 7000.201-2023《灯具 第2-1部分：特殊要求 固定式通用灯具》</w:t>
            </w:r>
          </w:p>
        </w:tc>
      </w:tr>
      <w:tr w14:paraId="351621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top"/>
          </w:tcPr>
          <w:p w14:paraId="624FB401">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3</w:t>
            </w:r>
          </w:p>
        </w:tc>
        <w:tc>
          <w:tcPr>
            <w:tcW w:w="6996" w:type="dxa"/>
            <w:noWrap w:val="0"/>
            <w:vAlign w:val="top"/>
          </w:tcPr>
          <w:p w14:paraId="2D7D8B44">
            <w:pPr>
              <w:spacing w:line="360" w:lineRule="auto"/>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GB 17743-2015《电气照明和类似设备的无线电骚扰特性的限值和测量方法》</w:t>
            </w:r>
          </w:p>
        </w:tc>
      </w:tr>
      <w:tr w14:paraId="3F534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top"/>
          </w:tcPr>
          <w:p w14:paraId="0D3A85ED">
            <w:pPr>
              <w:spacing w:line="360" w:lineRule="auto"/>
              <w:ind w:firstLine="480" w:firstLineChars="200"/>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4</w:t>
            </w:r>
          </w:p>
        </w:tc>
        <w:tc>
          <w:tcPr>
            <w:tcW w:w="6996" w:type="dxa"/>
            <w:noWrap w:val="0"/>
            <w:vAlign w:val="top"/>
          </w:tcPr>
          <w:p w14:paraId="0FAC7A30">
            <w:pPr>
              <w:spacing w:line="360" w:lineRule="auto"/>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GB/T 34034-2017《普通照明用LED产品光辐射安全要求》</w:t>
            </w:r>
          </w:p>
        </w:tc>
      </w:tr>
      <w:tr w14:paraId="0242A8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top"/>
          </w:tcPr>
          <w:p w14:paraId="3DD8C9F3">
            <w:pPr>
              <w:spacing w:line="360" w:lineRule="auto"/>
              <w:ind w:firstLine="480" w:firstLineChars="200"/>
              <w:rPr>
                <w:rFonts w:hint="default"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5</w:t>
            </w:r>
          </w:p>
        </w:tc>
        <w:tc>
          <w:tcPr>
            <w:tcW w:w="6996" w:type="dxa"/>
            <w:noWrap w:val="0"/>
            <w:vAlign w:val="top"/>
          </w:tcPr>
          <w:p w14:paraId="25766B84">
            <w:pPr>
              <w:spacing w:line="360" w:lineRule="auto"/>
              <w:rPr>
                <w:rFonts w:hint="eastAsia" w:ascii="宋体" w:hAnsi="宋体" w:eastAsia="宋体" w:cs="宋体"/>
                <w:b w:val="0"/>
                <w:bCs w:val="0"/>
                <w:color w:val="000000"/>
                <w:kern w:val="0"/>
                <w:sz w:val="24"/>
                <w:szCs w:val="20"/>
                <w:highlight w:val="none"/>
                <w:lang w:val="en-US" w:eastAsia="zh-CN"/>
              </w:rPr>
            </w:pPr>
            <w:r>
              <w:rPr>
                <w:rFonts w:hint="eastAsia" w:ascii="宋体" w:hAnsi="宋体" w:eastAsia="宋体" w:cs="宋体"/>
                <w:b w:val="0"/>
                <w:bCs w:val="0"/>
                <w:color w:val="000000"/>
                <w:kern w:val="0"/>
                <w:sz w:val="24"/>
                <w:szCs w:val="20"/>
                <w:highlight w:val="none"/>
                <w:lang w:val="en-US" w:eastAsia="zh-CN"/>
              </w:rPr>
              <w:t>GB/T 31831-2025《LED室内照明应用技术要求》</w:t>
            </w:r>
          </w:p>
        </w:tc>
      </w:tr>
    </w:tbl>
    <w:p w14:paraId="3BD88144">
      <w:pPr>
        <w:pStyle w:val="5"/>
        <w:spacing w:line="360" w:lineRule="auto"/>
        <w:jc w:val="both"/>
        <w:rPr>
          <w:rFonts w:hint="eastAsia" w:ascii="宋体" w:hAnsi="宋体" w:eastAsia="宋体" w:cs="宋体"/>
          <w:b/>
          <w:kern w:val="0"/>
          <w:sz w:val="24"/>
          <w:szCs w:val="24"/>
          <w:highlight w:val="none"/>
          <w:lang w:val="en-US" w:eastAsia="zh-CN" w:bidi="ar-SA"/>
        </w:rPr>
      </w:pPr>
      <w:r>
        <w:rPr>
          <w:rFonts w:hint="eastAsia" w:cs="宋体"/>
          <w:b/>
          <w:kern w:val="0"/>
          <w:sz w:val="24"/>
          <w:szCs w:val="24"/>
          <w:highlight w:val="none"/>
          <w:lang w:val="en-US" w:eastAsia="zh-CN" w:bidi="ar-SA"/>
        </w:rPr>
        <w:t>五</w:t>
      </w:r>
      <w:r>
        <w:rPr>
          <w:rFonts w:hint="eastAsia" w:ascii="宋体" w:hAnsi="宋体" w:eastAsia="宋体" w:cs="宋体"/>
          <w:b/>
          <w:kern w:val="0"/>
          <w:sz w:val="24"/>
          <w:szCs w:val="24"/>
          <w:highlight w:val="none"/>
          <w:lang w:val="en-US" w:eastAsia="zh-CN" w:bidi="ar-SA"/>
        </w:rPr>
        <w:t>、商务要求</w:t>
      </w:r>
    </w:p>
    <w:p w14:paraId="467B44C0">
      <w:pPr>
        <w:pStyle w:val="5"/>
        <w:spacing w:before="0" w:after="0" w:line="360" w:lineRule="auto"/>
        <w:ind w:left="0" w:right="0" w:firstLine="480"/>
        <w:jc w:val="both"/>
      </w:pPr>
      <w:r>
        <w:rPr>
          <w:rFonts w:ascii="宋体" w:hAnsi="宋体" w:eastAsia="宋体" w:cs="宋体"/>
          <w:b/>
          <w:bCs/>
          <w:sz w:val="24"/>
          <w:highlight w:val="none"/>
        </w:rPr>
        <w:t>1.工期：</w:t>
      </w:r>
      <w:r>
        <w:rPr>
          <w:rFonts w:hint="eastAsia" w:ascii="Times New Roman" w:hAnsi="Times New Roman" w:eastAsia="宋体" w:cs="Times New Roman"/>
          <w:sz w:val="24"/>
          <w:szCs w:val="24"/>
          <w:highlight w:val="none"/>
          <w:lang w:val="en-US" w:eastAsia="zh-CN"/>
        </w:rPr>
        <w:t>自接到采</w:t>
      </w:r>
      <w:r>
        <w:rPr>
          <w:rFonts w:hint="eastAsia" w:ascii="Times New Roman" w:hAnsi="Times New Roman" w:eastAsia="宋体" w:cs="Times New Roman"/>
          <w:sz w:val="24"/>
          <w:szCs w:val="24"/>
          <w:lang w:val="en-US" w:eastAsia="zh-CN"/>
        </w:rPr>
        <w:t>购人开工通知之日起</w:t>
      </w:r>
      <w:r>
        <w:rPr>
          <w:rFonts w:hint="eastAsia" w:ascii="Times New Roman" w:hAnsi="Times New Roman" w:cs="Times New Roman"/>
          <w:sz w:val="24"/>
          <w:szCs w:val="24"/>
          <w:lang w:val="en-US" w:eastAsia="zh-CN"/>
        </w:rPr>
        <w:t>30</w:t>
      </w:r>
      <w:r>
        <w:rPr>
          <w:rFonts w:hint="eastAsia" w:ascii="Times New Roman" w:hAnsi="Times New Roman" w:eastAsia="宋体" w:cs="Times New Roman"/>
          <w:sz w:val="24"/>
          <w:szCs w:val="24"/>
          <w:lang w:val="en-US" w:eastAsia="zh-CN"/>
        </w:rPr>
        <w:t xml:space="preserve">日历天 </w:t>
      </w:r>
      <w:r>
        <w:rPr>
          <w:rFonts w:ascii="宋体" w:hAnsi="宋体" w:eastAsia="宋体" w:cs="宋体"/>
          <w:sz w:val="24"/>
        </w:rPr>
        <w:t>。</w:t>
      </w:r>
    </w:p>
    <w:p w14:paraId="4CA34DDE">
      <w:pPr>
        <w:pStyle w:val="5"/>
        <w:spacing w:before="0" w:after="0" w:line="360" w:lineRule="auto"/>
        <w:ind w:left="0" w:right="0" w:firstLine="480"/>
        <w:jc w:val="both"/>
        <w:rPr>
          <w:rFonts w:ascii="宋体" w:hAnsi="宋体" w:eastAsia="宋体" w:cs="宋体"/>
          <w:sz w:val="24"/>
        </w:rPr>
      </w:pPr>
      <w:r>
        <w:rPr>
          <w:rFonts w:ascii="宋体" w:hAnsi="宋体" w:eastAsia="宋体" w:cs="宋体"/>
          <w:b/>
          <w:bCs/>
          <w:sz w:val="24"/>
        </w:rPr>
        <w:t>2.质保期：</w:t>
      </w:r>
      <w:r>
        <w:rPr>
          <w:rFonts w:ascii="宋体" w:hAnsi="宋体" w:eastAsia="宋体" w:cs="宋体"/>
          <w:sz w:val="24"/>
        </w:rPr>
        <w:t>自工程竣工验收合格之日起计算，</w:t>
      </w:r>
      <w:r>
        <w:rPr>
          <w:rFonts w:hint="eastAsia" w:ascii="宋体" w:hAnsi="宋体" w:eastAsia="宋体" w:cs="宋体"/>
          <w:sz w:val="24"/>
        </w:rPr>
        <w:t>灯具安装质保</w:t>
      </w:r>
      <w:r>
        <w:rPr>
          <w:rFonts w:hint="eastAsia" w:ascii="宋体" w:hAnsi="宋体" w:eastAsia="宋体" w:cs="宋体"/>
          <w:sz w:val="24"/>
          <w:lang w:val="en-US" w:eastAsia="zh-CN"/>
        </w:rPr>
        <w:t>5</w:t>
      </w:r>
      <w:r>
        <w:rPr>
          <w:rFonts w:hint="eastAsia" w:ascii="宋体" w:hAnsi="宋体" w:eastAsia="宋体" w:cs="宋体"/>
          <w:sz w:val="24"/>
        </w:rPr>
        <w:t>年，灯具</w:t>
      </w:r>
      <w:r>
        <w:rPr>
          <w:rFonts w:hint="eastAsia" w:ascii="宋体" w:hAnsi="宋体" w:eastAsia="宋体" w:cs="宋体"/>
          <w:sz w:val="24"/>
          <w:lang w:val="en-US" w:eastAsia="zh-CN"/>
        </w:rPr>
        <w:t>及灯管</w:t>
      </w:r>
      <w:r>
        <w:rPr>
          <w:rFonts w:hint="eastAsia" w:ascii="宋体" w:hAnsi="宋体" w:eastAsia="宋体" w:cs="宋体"/>
          <w:sz w:val="24"/>
        </w:rPr>
        <w:t>质保7年</w:t>
      </w:r>
      <w:r>
        <w:rPr>
          <w:rFonts w:ascii="宋体" w:hAnsi="宋体" w:eastAsia="宋体" w:cs="宋体"/>
          <w:sz w:val="24"/>
        </w:rPr>
        <w:t>。</w:t>
      </w:r>
    </w:p>
    <w:p w14:paraId="7706B31D">
      <w:pPr>
        <w:widowControl/>
        <w:spacing w:line="360" w:lineRule="auto"/>
        <w:ind w:firstLine="482" w:firstLineChars="200"/>
        <w:jc w:val="left"/>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3.质保期保修要求</w:t>
      </w:r>
    </w:p>
    <w:p w14:paraId="09812CE7">
      <w:pPr>
        <w:adjustRightInd w:val="0"/>
        <w:snapToGrid w:val="0"/>
        <w:spacing w:line="360" w:lineRule="auto"/>
        <w:ind w:firstLine="480" w:firstLineChars="200"/>
        <w:rPr>
          <w:rFonts w:hint="eastAsia"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①属于保修范围和内容的项目，承包人应在接到维修通知后，1天内派人维修。发生紧急抢修事故（如上水管跑水、爆裂，供电设施漏、断电等），承包人应在接到事故通知后 4 小时内到达事故现场并于 24小时内完成应急维修。</w:t>
      </w:r>
    </w:p>
    <w:p w14:paraId="351A15DC">
      <w:pPr>
        <w:widowControl/>
        <w:spacing w:line="360" w:lineRule="auto"/>
        <w:ind w:firstLine="482" w:firstLineChars="200"/>
        <w:jc w:val="left"/>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② 其他要求：</w:t>
      </w:r>
    </w:p>
    <w:p w14:paraId="10C9E12E">
      <w:pPr>
        <w:widowControl/>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kern w:val="0"/>
          <w:sz w:val="24"/>
          <w:szCs w:val="24"/>
          <w:lang w:val="en-US" w:eastAsia="zh-CN"/>
        </w:rPr>
        <w:t>乙方在施工等过程中的发生的任何安全事故与甲方无关，由乙方自行处理，并承担全部责任和经济损失，对于给甲方造成损失的，甲方有权要求乙方按实际损失承担赔偿责任。</w:t>
      </w:r>
    </w:p>
    <w:p w14:paraId="7E3C14F2">
      <w:pPr>
        <w:pStyle w:val="5"/>
        <w:spacing w:before="0" w:after="0" w:line="360" w:lineRule="auto"/>
        <w:ind w:left="0" w:right="0" w:firstLine="480"/>
        <w:jc w:val="both"/>
        <w:rPr>
          <w:highlight w:val="none"/>
        </w:rPr>
      </w:pPr>
      <w:r>
        <w:rPr>
          <w:rFonts w:hint="eastAsia" w:cs="宋体"/>
          <w:sz w:val="24"/>
          <w:lang w:val="en-US" w:eastAsia="zh-CN"/>
        </w:rPr>
        <w:t>4</w:t>
      </w:r>
      <w:r>
        <w:rPr>
          <w:rFonts w:ascii="宋体" w:hAnsi="宋体" w:eastAsia="宋体" w:cs="宋体"/>
          <w:sz w:val="24"/>
        </w:rPr>
        <w:t>.付款方式：</w:t>
      </w:r>
    </w:p>
    <w:p w14:paraId="1E8FB2A6">
      <w:pPr>
        <w:widowControl/>
        <w:spacing w:line="360" w:lineRule="auto"/>
        <w:ind w:firstLine="480" w:firstLineChars="200"/>
        <w:jc w:val="left"/>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①签订合同前，成交供应商向采购人缴纳合同价款的</w:t>
      </w:r>
      <w:r>
        <w:rPr>
          <w:rFonts w:hint="eastAsia" w:ascii="宋体" w:hAnsi="宋体" w:cs="宋体"/>
          <w:kern w:val="0"/>
          <w:sz w:val="24"/>
          <w:szCs w:val="24"/>
          <w:highlight w:val="none"/>
          <w:lang w:val="en-US" w:eastAsia="zh-CN"/>
        </w:rPr>
        <w:t>3</w:t>
      </w:r>
      <w:r>
        <w:rPr>
          <w:rFonts w:hint="eastAsia" w:ascii="宋体" w:hAnsi="宋体" w:eastAsia="宋体" w:cs="宋体"/>
          <w:kern w:val="0"/>
          <w:sz w:val="24"/>
          <w:szCs w:val="24"/>
          <w:highlight w:val="none"/>
          <w:lang w:val="en-US" w:eastAsia="zh-CN"/>
        </w:rPr>
        <w:t>%</w:t>
      </w:r>
      <w:r>
        <w:rPr>
          <w:rFonts w:hint="eastAsia" w:ascii="宋体" w:hAnsi="宋体" w:cs="宋体"/>
          <w:kern w:val="0"/>
          <w:sz w:val="24"/>
          <w:szCs w:val="24"/>
          <w:highlight w:val="none"/>
          <w:lang w:val="en-US" w:eastAsia="zh-CN"/>
        </w:rPr>
        <w:t>履约</w:t>
      </w:r>
      <w:r>
        <w:rPr>
          <w:rFonts w:hint="eastAsia" w:ascii="宋体" w:hAnsi="宋体" w:eastAsia="宋体" w:cs="宋体"/>
          <w:kern w:val="0"/>
          <w:sz w:val="24"/>
          <w:szCs w:val="24"/>
          <w:highlight w:val="none"/>
          <w:lang w:val="en-US" w:eastAsia="zh-CN"/>
        </w:rPr>
        <w:t>保证金。</w:t>
      </w:r>
    </w:p>
    <w:p w14:paraId="5904E0A1">
      <w:pPr>
        <w:pStyle w:val="5"/>
        <w:adjustRightInd w:val="0"/>
        <w:snapToGrid w:val="0"/>
        <w:spacing w:line="360" w:lineRule="auto"/>
        <w:ind w:firstLine="480" w:firstLineChars="200"/>
        <w:jc w:val="left"/>
        <w:rPr>
          <w:rFonts w:hint="eastAsia"/>
          <w:highlight w:val="none"/>
        </w:rPr>
      </w:pPr>
      <w:r>
        <w:rPr>
          <w:rFonts w:hint="eastAsia" w:ascii="宋体" w:hAnsi="宋体" w:eastAsia="宋体" w:cs="宋体"/>
          <w:kern w:val="0"/>
          <w:sz w:val="24"/>
          <w:szCs w:val="24"/>
          <w:highlight w:val="none"/>
          <w:lang w:val="en-US" w:eastAsia="zh-CN"/>
        </w:rPr>
        <w:t>②竣工验收合格后付至合同总价款的70%，审计后付至审定总价的100%（乙方按国家有关财税规定向甲方开具全额完税发票），3%的履约保证金自动转化为质保金，在工程竣工验收合格7年后，无质量保修缺陷一次性不计息返还。</w:t>
      </w:r>
    </w:p>
    <w:p w14:paraId="2AC59C61">
      <w:pPr>
        <w:bidi w:val="0"/>
        <w:rPr>
          <w:rFonts w:hint="eastAsia"/>
        </w:rPr>
      </w:pPr>
    </w:p>
    <w:p w14:paraId="2351BDEB">
      <w:bookmarkStart w:id="5" w:name="_GoBack"/>
      <w:bookmarkEnd w:id="5"/>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moder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64BFF44"/>
    <w:multiLevelType w:val="singleLevel"/>
    <w:tmpl w:val="464BFF4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C316F3"/>
    <w:rsid w:val="0B624610"/>
    <w:rsid w:val="10966223"/>
    <w:rsid w:val="1CC316F3"/>
    <w:rsid w:val="4E5B762C"/>
    <w:rsid w:val="66770477"/>
    <w:rsid w:val="763C1A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outlineLvl w:val="0"/>
    </w:pPr>
    <w:rPr>
      <w:rFonts w:ascii="Times New Roman" w:hAnsi="Times New Roman" w:eastAsia="宋体" w:cs="Times New Roman"/>
      <w:b/>
      <w:kern w:val="44"/>
      <w:sz w:val="32"/>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customStyle="1" w:styleId="5">
    <w:name w:val="null96"/>
    <w:hidden/>
    <w:qFormat/>
    <w:uiPriority w:val="0"/>
    <w:rPr>
      <w:rFonts w:hint="default" w:ascii="宋体" w:hAnsi="宋体" w:eastAsia="宋体" w:cs="宋体"/>
      <w:sz w:val="24"/>
      <w:szCs w:val="24"/>
      <w:lang w:val="en-US" w:eastAsia="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市政府金融工作局</Company>
  <Pages>3</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2026-05-20T08:23:00Z</dcterms:created>
  <dc:creator>Q</dc:creator>
  <cp:lastModifiedBy>Q</cp:lastModifiedBy>
  <dcterms:modified xsi:type="dcterms:W3CDTF">2026-05-20T08:23:47Z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C23F85D65DA34140A49EB9F19579E8D6_11</vt:lpwstr>
  </property>
  <property fmtid="{D5CDD505-2E9C-101B-9397-08002B2CF9AE}" pid="4" name="KSOTemplateDocerSaveRecord">
    <vt:lpwstr>eyJoZGlkIjoiNDdlMDJkMWY0NzMwOTMyNjM3YWM1MjE4YWZjMjliZmIiLCJ1c2VySWQiOiIxMjkzNTU3MjkzIn0=</vt:lpwstr>
  </property>
</Properties>
</file>