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版本号：LHZBZC2026033S20260515001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激光轮廓测量仪及激光传感器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LHZBZC2026033S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激光轮廓测量仪及激光传感器</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LHZBZC2026033S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激光轮廓测量仪及激光传感器</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本项目为激光轮廓测量仪及激光传感器采购，分为2个采购包。采购包1为激光轮廓测量仪采购，采购包2为激光传感器采购。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采购包1保证金金额：3,100.00元</w:t>
            </w:r>
          </w:p>
          <w:p>
            <w:pPr>
              <w:pStyle w:val="null3"/>
            </w:pPr>
            <w:r>
              <w:rPr>
                <w:rFonts w:ascii="仿宋_GB2312" w:hAnsi="仿宋_GB2312" w:cs="仿宋_GB2312" w:eastAsia="仿宋_GB2312"/>
              </w:rPr>
              <w:t>采购包2保证金金额：3,200.00元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联系人：高禧、宋妍、黄沛、李晨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本项目为激光轮廓测量仪及激光传感器采购，分为2个采购包。采购包1为激光轮廓测量仪采购，采购包2为激光传感器采购。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2,250,000.00</w:t>
      </w:r>
    </w:p>
    <w:p>
      <w:pPr>
        <w:pStyle w:val="null3"/>
      </w:pPr>
      <w:r>
        <w:rPr>
          <w:rFonts w:ascii="仿宋_GB2312" w:hAnsi="仿宋_GB2312" w:cs="仿宋_GB2312" w:eastAsia="仿宋_GB2312"/>
        </w:rPr>
        <w:t>采购包最高限价（元）: 2,250,000.00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激光轮廓测量仪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激光传感器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标的名称：激光轮廓测量仪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1.配置双光源：光源1为波长≥500 nm单色半导体激光光源；光源2为白色LED复合白光光源；</w:t>
            </w:r>
          </w:p>
          <w:p>
            <w:pPr>
              <w:pStyle w:val="null3"/>
              <w:jc w:val="left"/>
            </w:pPr>
            <w:r>
              <w:rPr>
                <w:rFonts w:ascii="仿宋_GB2312" w:hAnsi="仿宋_GB2312" w:cs="仿宋_GB2312" w:eastAsia="仿宋_GB2312"/>
                <w:sz w:val="21"/>
              </w:rPr>
              <w:t>2.光源寿命：激光器寿命≥30000小时；白色LED灯寿命≥100000小时；</w:t>
            </w:r>
          </w:p>
          <w:p>
            <w:pPr>
              <w:pStyle w:val="null3"/>
              <w:jc w:val="left"/>
            </w:pPr>
            <w:r>
              <w:rPr>
                <w:rFonts w:ascii="仿宋_GB2312" w:hAnsi="仿宋_GB2312" w:cs="仿宋_GB2312" w:eastAsia="仿宋_GB2312"/>
                <w:sz w:val="21"/>
              </w:rPr>
              <w:t>▲3.单套设备集成3套光学系统：1套激光共聚焦光学成像与测量系统；1套聚焦变化光学成像与测量系统；1套白光干涉成像与测量系统(可测量反射率在1～99%之间任意材质的样品)；</w:t>
            </w:r>
          </w:p>
          <w:p>
            <w:pPr>
              <w:pStyle w:val="null3"/>
              <w:jc w:val="left"/>
            </w:pPr>
            <w:r>
              <w:rPr>
                <w:rFonts w:ascii="仿宋_GB2312" w:hAnsi="仿宋_GB2312" w:cs="仿宋_GB2312" w:eastAsia="仿宋_GB2312"/>
                <w:sz w:val="21"/>
              </w:rPr>
              <w:t>4.所有光学成像系统均同时具备手动和自动聚焦、</w:t>
            </w:r>
            <w:r>
              <w:rPr>
                <w:rFonts w:ascii="仿宋_GB2312" w:hAnsi="仿宋_GB2312" w:cs="仿宋_GB2312" w:eastAsia="仿宋_GB2312"/>
                <w:sz w:val="21"/>
              </w:rPr>
              <w:t>自动匹配激光</w:t>
            </w:r>
            <w:r>
              <w:rPr>
                <w:rFonts w:ascii="仿宋_GB2312" w:hAnsi="仿宋_GB2312" w:cs="仿宋_GB2312" w:eastAsia="仿宋_GB2312"/>
                <w:sz w:val="21"/>
              </w:rPr>
              <w:t>/白光亮度功能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▲5.可注册mark标记，支持环绕搜索mark标记；</w:t>
            </w:r>
          </w:p>
          <w:p>
            <w:pPr>
              <w:pStyle w:val="null3"/>
              <w:jc w:val="left"/>
            </w:pPr>
            <w:r>
              <w:rPr>
                <w:rFonts w:ascii="仿宋_GB2312" w:hAnsi="仿宋_GB2312" w:cs="仿宋_GB2312" w:eastAsia="仿宋_GB2312"/>
                <w:sz w:val="21"/>
              </w:rPr>
              <w:t>▲6.光学放大倍率：≥3000倍；</w:t>
            </w:r>
          </w:p>
          <w:p>
            <w:pPr>
              <w:pStyle w:val="null3"/>
              <w:jc w:val="left"/>
            </w:pPr>
            <w:r>
              <w:rPr>
                <w:rFonts w:ascii="仿宋_GB2312" w:hAnsi="仿宋_GB2312" w:cs="仿宋_GB2312" w:eastAsia="仿宋_GB2312"/>
                <w:sz w:val="21"/>
              </w:rPr>
              <w:t>7.视场范围：≥3.5mm；</w:t>
            </w:r>
          </w:p>
          <w:p>
            <w:pPr>
              <w:pStyle w:val="null3"/>
              <w:jc w:val="left"/>
            </w:pPr>
            <w:r>
              <w:rPr>
                <w:rFonts w:ascii="仿宋_GB2312" w:hAnsi="仿宋_GB2312" w:cs="仿宋_GB2312" w:eastAsia="仿宋_GB2312"/>
                <w:sz w:val="21"/>
              </w:rPr>
              <w:t>8.环形光源：≥2个；</w:t>
            </w:r>
          </w:p>
          <w:p>
            <w:pPr>
              <w:pStyle w:val="null3"/>
              <w:jc w:val="left"/>
            </w:pPr>
            <w:r>
              <w:rPr>
                <w:rFonts w:ascii="仿宋_GB2312" w:hAnsi="仿宋_GB2312" w:cs="仿宋_GB2312" w:eastAsia="仿宋_GB2312"/>
                <w:sz w:val="21"/>
              </w:rPr>
              <w:t>9.光学成像系统具有自动图像拼接与测量；</w:t>
            </w:r>
          </w:p>
          <w:p>
            <w:pPr>
              <w:pStyle w:val="null3"/>
              <w:jc w:val="left"/>
            </w:pPr>
            <w:r>
              <w:rPr>
                <w:rFonts w:ascii="仿宋_GB2312" w:hAnsi="仿宋_GB2312" w:cs="仿宋_GB2312" w:eastAsia="仿宋_GB2312"/>
                <w:sz w:val="21"/>
              </w:rPr>
              <w:t>10.光学成像系统具有表面形貌、表面轮廓、台阶高度、线/面粗糙度、表面/投影面积/体积等几何参数的测量(可测量反射率在1～99%之间任意材质的样品)；</w:t>
            </w:r>
          </w:p>
          <w:p>
            <w:pPr>
              <w:pStyle w:val="null3"/>
              <w:jc w:val="left"/>
            </w:pPr>
            <w:r>
              <w:rPr>
                <w:rFonts w:ascii="仿宋_GB2312" w:hAnsi="仿宋_GB2312" w:cs="仿宋_GB2312" w:eastAsia="仿宋_GB2312"/>
                <w:sz w:val="21"/>
              </w:rPr>
              <w:t>11.具有透明薄膜厚度测量功能；</w:t>
            </w:r>
          </w:p>
          <w:p>
            <w:pPr>
              <w:pStyle w:val="null3"/>
              <w:jc w:val="left"/>
            </w:pPr>
            <w:r>
              <w:rPr>
                <w:rFonts w:ascii="仿宋_GB2312" w:hAnsi="仿宋_GB2312" w:cs="仿宋_GB2312" w:eastAsia="仿宋_GB2312"/>
                <w:sz w:val="21"/>
              </w:rPr>
              <w:t>12.XY轴分辨率：≤0.2um；</w:t>
            </w:r>
          </w:p>
          <w:p>
            <w:pPr>
              <w:pStyle w:val="null3"/>
              <w:jc w:val="left"/>
            </w:pPr>
            <w:r>
              <w:rPr>
                <w:rFonts w:ascii="仿宋_GB2312" w:hAnsi="仿宋_GB2312" w:cs="仿宋_GB2312" w:eastAsia="仿宋_GB2312"/>
                <w:sz w:val="21"/>
              </w:rPr>
              <w:t>13.高度显示分辨率：≤0.01nm；高度重复性≤0.1nm；</w:t>
            </w:r>
          </w:p>
          <w:p>
            <w:pPr>
              <w:pStyle w:val="null3"/>
              <w:jc w:val="left"/>
            </w:pPr>
            <w:r>
              <w:rPr>
                <w:rFonts w:ascii="仿宋_GB2312" w:hAnsi="仿宋_GB2312" w:cs="仿宋_GB2312" w:eastAsia="仿宋_GB2312"/>
                <w:sz w:val="21"/>
              </w:rPr>
              <w:t>▲14.激光共聚焦物镜包含：5x、50x、150x；</w:t>
            </w:r>
          </w:p>
          <w:p>
            <w:pPr>
              <w:pStyle w:val="null3"/>
              <w:jc w:val="left"/>
            </w:pPr>
            <w:r>
              <w:rPr>
                <w:rFonts w:ascii="仿宋_GB2312" w:hAnsi="仿宋_GB2312" w:cs="仿宋_GB2312" w:eastAsia="仿宋_GB2312"/>
                <w:sz w:val="21"/>
              </w:rPr>
              <w:t>▲15.白光干涉物镜至少包含</w:t>
            </w:r>
            <w:r>
              <w:rPr>
                <w:rFonts w:ascii="仿宋_GB2312" w:hAnsi="仿宋_GB2312" w:cs="仿宋_GB2312" w:eastAsia="仿宋_GB2312"/>
                <w:sz w:val="21"/>
              </w:rPr>
              <w:t>：</w:t>
            </w:r>
            <w:r>
              <w:rPr>
                <w:rFonts w:ascii="仿宋_GB2312" w:hAnsi="仿宋_GB2312" w:cs="仿宋_GB2312" w:eastAsia="仿宋_GB2312"/>
                <w:sz w:val="21"/>
              </w:rPr>
              <w:t>5x</w:t>
            </w:r>
            <w:r>
              <w:rPr>
                <w:rFonts w:ascii="仿宋_GB2312" w:hAnsi="仿宋_GB2312" w:cs="仿宋_GB2312" w:eastAsia="仿宋_GB2312"/>
                <w:sz w:val="21"/>
              </w:rPr>
              <w:t>、</w:t>
            </w:r>
            <w:r>
              <w:rPr>
                <w:rFonts w:ascii="仿宋_GB2312" w:hAnsi="仿宋_GB2312" w:cs="仿宋_GB2312" w:eastAsia="仿宋_GB2312"/>
                <w:sz w:val="21"/>
              </w:rPr>
              <w:t>10x；</w:t>
            </w:r>
          </w:p>
          <w:p>
            <w:pPr>
              <w:pStyle w:val="null3"/>
              <w:jc w:val="left"/>
            </w:pPr>
            <w:r>
              <w:rPr>
                <w:rFonts w:ascii="仿宋_GB2312" w:hAnsi="仿宋_GB2312" w:cs="仿宋_GB2312" w:eastAsia="仿宋_GB2312"/>
                <w:sz w:val="21"/>
              </w:rPr>
              <w:t>▲16.电动移动载物台：XY方向平移范围≥100×100mm；</w:t>
            </w:r>
          </w:p>
          <w:p>
            <w:pPr>
              <w:pStyle w:val="null3"/>
              <w:jc w:val="left"/>
            </w:pPr>
            <w:r>
              <w:rPr>
                <w:rFonts w:ascii="仿宋_GB2312" w:hAnsi="仿宋_GB2312" w:cs="仿宋_GB2312" w:eastAsia="仿宋_GB2312"/>
                <w:sz w:val="21"/>
              </w:rPr>
              <w:t>17.承载样品重量：≥5kg；</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8.软件：预装操控软件，软件包安装于至少10台电脑并激活；</w:t>
            </w:r>
          </w:p>
          <w:p>
            <w:pPr>
              <w:pStyle w:val="null3"/>
              <w:jc w:val="both"/>
            </w:pPr>
            <w:r>
              <w:rPr>
                <w:rFonts w:ascii="仿宋_GB2312" w:hAnsi="仿宋_GB2312" w:cs="仿宋_GB2312" w:eastAsia="仿宋_GB2312"/>
                <w:sz w:val="21"/>
                <w:b/>
              </w:rPr>
              <w:t>激光器模块</w:t>
            </w:r>
            <w:r>
              <w:rPr>
                <w:rFonts w:ascii="仿宋_GB2312" w:hAnsi="仿宋_GB2312" w:cs="仿宋_GB2312" w:eastAsia="仿宋_GB2312"/>
                <w:sz w:val="21"/>
                <w:b/>
              </w:rPr>
              <w:t>：</w:t>
            </w:r>
            <w:r>
              <w:rPr>
                <w:rFonts w:ascii="仿宋_GB2312" w:hAnsi="仿宋_GB2312" w:cs="仿宋_GB2312" w:eastAsia="仿宋_GB2312"/>
                <w:sz w:val="21"/>
                <w:b/>
              </w:rPr>
              <w:t>(1个)</w:t>
            </w:r>
          </w:p>
          <w:p>
            <w:pPr>
              <w:pStyle w:val="null3"/>
              <w:jc w:val="left"/>
            </w:pPr>
            <w:r>
              <w:rPr>
                <w:rFonts w:ascii="仿宋_GB2312" w:hAnsi="仿宋_GB2312" w:cs="仿宋_GB2312" w:eastAsia="仿宋_GB2312"/>
                <w:sz w:val="21"/>
              </w:rPr>
              <w:t xml:space="preserve">19.激光波长1030±10 </w:t>
            </w:r>
            <w:r>
              <w:rPr>
                <w:rFonts w:ascii="仿宋_GB2312" w:hAnsi="仿宋_GB2312" w:cs="仿宋_GB2312" w:eastAsia="仿宋_GB2312"/>
                <w:sz w:val="21"/>
              </w:rPr>
              <w:t>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脉宽</w:t>
            </w:r>
            <w:r>
              <w:rPr>
                <w:rFonts w:ascii="仿宋_GB2312" w:hAnsi="仿宋_GB2312" w:cs="仿宋_GB2312" w:eastAsia="仿宋_GB2312"/>
                <w:sz w:val="21"/>
              </w:rPr>
              <w:t>≤</w:t>
            </w:r>
            <w:r>
              <w:rPr>
                <w:rFonts w:ascii="仿宋_GB2312" w:hAnsi="仿宋_GB2312" w:cs="仿宋_GB2312" w:eastAsia="仿宋_GB2312"/>
                <w:sz w:val="21"/>
              </w:rPr>
              <w:t>300 fs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单脉冲能量</w:t>
            </w:r>
            <w:r>
              <w:rPr>
                <w:rFonts w:ascii="仿宋_GB2312" w:hAnsi="仿宋_GB2312" w:cs="仿宋_GB2312" w:eastAsia="仿宋_GB2312"/>
                <w:sz w:val="21"/>
              </w:rPr>
              <w:t>≥</w:t>
            </w:r>
            <w:r>
              <w:rPr>
                <w:rFonts w:ascii="仿宋_GB2312" w:hAnsi="仿宋_GB2312" w:cs="仿宋_GB2312" w:eastAsia="仿宋_GB2312"/>
                <w:sz w:val="21"/>
              </w:rPr>
              <w:t>200 μ</w:t>
            </w:r>
            <w:r>
              <w:rPr>
                <w:rFonts w:ascii="仿宋_GB2312" w:hAnsi="仿宋_GB2312" w:cs="仿宋_GB2312" w:eastAsia="仿宋_GB2312"/>
                <w:sz w:val="21"/>
              </w:rPr>
              <w:t>J；</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≥4</w:t>
            </w:r>
            <w:r>
              <w:rPr>
                <w:rFonts w:ascii="仿宋_GB2312" w:hAnsi="仿宋_GB2312" w:cs="仿宋_GB2312" w:eastAsia="仿宋_GB2312"/>
                <w:sz w:val="21"/>
              </w:rPr>
              <w:t>0 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3.功率稳定性：≤</w:t>
            </w:r>
            <w:r>
              <w:rPr>
                <w:rFonts w:ascii="仿宋_GB2312" w:hAnsi="仿宋_GB2312" w:cs="仿宋_GB2312" w:eastAsia="仿宋_GB2312"/>
                <w:sz w:val="21"/>
              </w:rPr>
              <w:t>1%RMS</w:t>
            </w:r>
            <w:r>
              <w:rPr>
                <w:rFonts w:ascii="仿宋_GB2312" w:hAnsi="仿宋_GB2312" w:cs="仿宋_GB2312" w:eastAsia="仿宋_GB2312"/>
                <w:sz w:val="21"/>
              </w:rPr>
              <w:t>，重频可调；</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光束质量</w:t>
            </w:r>
            <w:r>
              <w:rPr>
                <w:rFonts w:ascii="仿宋_GB2312" w:hAnsi="仿宋_GB2312" w:cs="仿宋_GB2312" w:eastAsia="仿宋_GB2312"/>
                <w:sz w:val="21"/>
              </w:rPr>
              <w:t>M2</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光束发散角</w:t>
            </w:r>
            <w:r>
              <w:rPr>
                <w:rFonts w:ascii="仿宋_GB2312" w:hAnsi="仿宋_GB2312" w:cs="仿宋_GB2312" w:eastAsia="仿宋_GB2312"/>
                <w:sz w:val="21"/>
              </w:rPr>
              <w:t>≤</w:t>
            </w:r>
            <w:r>
              <w:rPr>
                <w:rFonts w:ascii="仿宋_GB2312" w:hAnsi="仿宋_GB2312" w:cs="仿宋_GB2312" w:eastAsia="仿宋_GB2312"/>
                <w:sz w:val="21"/>
              </w:rPr>
              <w:t>1 mrad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光斑圆度</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标的名称：激光传感器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激光线轮廓点数</w:t>
            </w:r>
            <w:r>
              <w:rPr>
                <w:rFonts w:ascii="仿宋_GB2312" w:hAnsi="仿宋_GB2312" w:cs="仿宋_GB2312" w:eastAsia="仿宋_GB2312"/>
                <w:sz w:val="21"/>
              </w:rPr>
              <w:t>≥</w:t>
            </w:r>
            <w:r>
              <w:rPr>
                <w:rFonts w:ascii="仿宋_GB2312" w:hAnsi="仿宋_GB2312" w:cs="仿宋_GB2312" w:eastAsia="仿宋_GB2312"/>
                <w:sz w:val="21"/>
              </w:rPr>
              <w:t>1700</w:t>
            </w:r>
            <w:r>
              <w:rPr>
                <w:rFonts w:ascii="仿宋_GB2312" w:hAnsi="仿宋_GB2312" w:cs="仿宋_GB2312" w:eastAsia="仿宋_GB2312"/>
                <w:sz w:val="21"/>
              </w:rPr>
              <w:t>点</w:t>
            </w:r>
            <w:r>
              <w:rPr>
                <w:rFonts w:ascii="仿宋_GB2312" w:hAnsi="仿宋_GB2312" w:cs="仿宋_GB2312" w:eastAsia="仿宋_GB2312"/>
                <w:sz w:val="21"/>
              </w:rPr>
              <w:t>/</w:t>
            </w:r>
            <w:r>
              <w:rPr>
                <w:rFonts w:ascii="仿宋_GB2312" w:hAnsi="仿宋_GB2312" w:cs="仿宋_GB2312" w:eastAsia="仿宋_GB2312"/>
                <w:sz w:val="21"/>
              </w:rPr>
              <w:t>轮廓；</w:t>
            </w:r>
          </w:p>
          <w:p>
            <w:pPr>
              <w:pStyle w:val="null3"/>
              <w:jc w:val="both"/>
            </w:pPr>
            <w:r>
              <w:rPr>
                <w:rFonts w:ascii="仿宋_GB2312" w:hAnsi="仿宋_GB2312" w:cs="仿宋_GB2312" w:eastAsia="仿宋_GB2312"/>
                <w:sz w:val="21"/>
              </w:rPr>
              <w:t>2.X</w:t>
            </w:r>
            <w:r>
              <w:rPr>
                <w:rFonts w:ascii="仿宋_GB2312" w:hAnsi="仿宋_GB2312" w:cs="仿宋_GB2312" w:eastAsia="仿宋_GB2312"/>
                <w:sz w:val="21"/>
              </w:rPr>
              <w:t>方向分辨率</w:t>
            </w:r>
            <w:r>
              <w:rPr>
                <w:rFonts w:ascii="仿宋_GB2312" w:hAnsi="仿宋_GB2312" w:cs="仿宋_GB2312" w:eastAsia="仿宋_GB2312"/>
                <w:sz w:val="21"/>
              </w:rPr>
              <w:t>(</w:t>
            </w:r>
            <w:r>
              <w:rPr>
                <w:rFonts w:ascii="仿宋_GB2312" w:hAnsi="仿宋_GB2312" w:cs="仿宋_GB2312" w:eastAsia="仿宋_GB2312"/>
                <w:sz w:val="21"/>
              </w:rPr>
              <w:t>轮廓线数据间隔）</w:t>
            </w:r>
            <w:r>
              <w:rPr>
                <w:rFonts w:ascii="仿宋_GB2312" w:hAnsi="仿宋_GB2312" w:cs="仿宋_GB2312" w:eastAsia="仿宋_GB2312"/>
                <w:sz w:val="21"/>
              </w:rPr>
              <w:t>≤</w:t>
            </w:r>
            <w:r>
              <w:rPr>
                <w:rFonts w:ascii="仿宋_GB2312" w:hAnsi="仿宋_GB2312" w:cs="仿宋_GB2312" w:eastAsia="仿宋_GB2312"/>
                <w:sz w:val="21"/>
              </w:rPr>
              <w:t>2.5 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3.Z</w:t>
            </w:r>
            <w:r>
              <w:rPr>
                <w:rFonts w:ascii="仿宋_GB2312" w:hAnsi="仿宋_GB2312" w:cs="仿宋_GB2312" w:eastAsia="仿宋_GB2312"/>
                <w:sz w:val="21"/>
              </w:rPr>
              <w:t>方向重复性</w:t>
            </w:r>
            <w:r>
              <w:rPr>
                <w:rFonts w:ascii="仿宋_GB2312" w:hAnsi="仿宋_GB2312" w:cs="仿宋_GB2312" w:eastAsia="仿宋_GB2312"/>
                <w:sz w:val="21"/>
              </w:rPr>
              <w:t>≤</w:t>
            </w:r>
            <w:r>
              <w:rPr>
                <w:rFonts w:ascii="仿宋_GB2312" w:hAnsi="仿宋_GB2312" w:cs="仿宋_GB2312" w:eastAsia="仿宋_GB2312"/>
                <w:sz w:val="21"/>
              </w:rPr>
              <w:t>0.1 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安装净距离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m</w:t>
            </w:r>
            <w:r>
              <w:rPr>
                <w:rFonts w:ascii="仿宋_GB2312" w:hAnsi="仿宋_GB2312" w:cs="仿宋_GB2312" w:eastAsia="仿宋_GB2312"/>
                <w:sz w:val="21"/>
                <w:color w:val="000000"/>
              </w:rPr>
              <w:t>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color w:val="000000"/>
              </w:rPr>
              <w:t xml:space="preserve">1 </w:t>
            </w:r>
            <w:r>
              <w:rPr>
                <w:rFonts w:ascii="仿宋_GB2312" w:hAnsi="仿宋_GB2312" w:cs="仿宋_GB2312" w:eastAsia="仿宋_GB2312"/>
                <w:sz w:val="21"/>
              </w:rPr>
              <w:t>mm</w:t>
            </w:r>
            <w:r>
              <w:rPr>
                <w:rFonts w:ascii="仿宋_GB2312" w:hAnsi="仿宋_GB2312" w:cs="仿宋_GB2312" w:eastAsia="仿宋_GB2312"/>
                <w:sz w:val="21"/>
                <w:color w:val="000000"/>
              </w:rPr>
              <w:t>；</w:t>
            </w:r>
            <w:r>
              <w:rPr>
                <w:rFonts w:ascii="仿宋_GB2312" w:hAnsi="仿宋_GB2312" w:cs="仿宋_GB2312" w:eastAsia="仿宋_GB2312"/>
                <w:sz w:val="21"/>
              </w:rPr>
              <w:t>视野</w:t>
            </w:r>
            <w:r>
              <w:rPr>
                <w:rFonts w:ascii="仿宋_GB2312" w:hAnsi="仿宋_GB2312" w:cs="仿宋_GB2312" w:eastAsia="仿宋_GB2312"/>
                <w:sz w:val="21"/>
              </w:rPr>
              <w:t>≥</w:t>
            </w:r>
            <w:r>
              <w:rPr>
                <w:rFonts w:ascii="仿宋_GB2312" w:hAnsi="仿宋_GB2312" w:cs="仿宋_GB2312" w:eastAsia="仿宋_GB2312"/>
                <w:sz w:val="21"/>
                <w:color w:val="000000"/>
              </w:rPr>
              <w:t>4</w:t>
            </w:r>
            <w:r>
              <w:rPr>
                <w:rFonts w:ascii="仿宋_GB2312" w:hAnsi="仿宋_GB2312" w:cs="仿宋_GB2312" w:eastAsia="仿宋_GB2312"/>
                <w:sz w:val="21"/>
              </w:rPr>
              <w:t>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扫描速率：</w:t>
            </w:r>
            <w:r>
              <w:rPr>
                <w:rFonts w:ascii="仿宋_GB2312" w:hAnsi="仿宋_GB2312" w:cs="仿宋_GB2312" w:eastAsia="仿宋_GB2312"/>
                <w:sz w:val="21"/>
              </w:rPr>
              <w:t>覆盖</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16 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机身防护</w:t>
            </w:r>
            <w:r>
              <w:rPr>
                <w:rFonts w:ascii="仿宋_GB2312" w:hAnsi="仿宋_GB2312" w:cs="仿宋_GB2312" w:eastAsia="仿宋_GB2312"/>
                <w:sz w:val="21"/>
              </w:rPr>
              <w:t>IP67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镜面下角度兼容性</w:t>
            </w:r>
            <w:r>
              <w:rPr>
                <w:rFonts w:ascii="仿宋_GB2312" w:hAnsi="仿宋_GB2312" w:cs="仿宋_GB2312" w:eastAsia="仿宋_GB2312"/>
                <w:sz w:val="21"/>
              </w:rPr>
              <w:t>±15°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扫描软件</w:t>
            </w:r>
            <w:r>
              <w:rPr>
                <w:rFonts w:ascii="仿宋_GB2312" w:hAnsi="仿宋_GB2312" w:cs="仿宋_GB2312" w:eastAsia="仿宋_GB2312"/>
                <w:sz w:val="21"/>
              </w:rPr>
              <w:t>可</w:t>
            </w:r>
            <w:r>
              <w:rPr>
                <w:rFonts w:ascii="仿宋_GB2312" w:hAnsi="仿宋_GB2312" w:cs="仿宋_GB2312" w:eastAsia="仿宋_GB2312"/>
                <w:sz w:val="21"/>
              </w:rPr>
              <w:t>实现参数设置和三维数据实时可视化。</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智能线光谱共聚焦传感器，内置测量算法功能块轮廓和点云处理工具</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种</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压力变送</w:t>
            </w:r>
            <w:r>
              <w:rPr>
                <w:rFonts w:ascii="仿宋_GB2312" w:hAnsi="仿宋_GB2312" w:cs="仿宋_GB2312" w:eastAsia="仿宋_GB2312"/>
                <w:sz w:val="21"/>
                <w:b/>
              </w:rPr>
              <w:t>模块</w:t>
            </w:r>
            <w:r>
              <w:rPr>
                <w:rFonts w:ascii="仿宋_GB2312" w:hAnsi="仿宋_GB2312" w:cs="仿宋_GB2312" w:eastAsia="仿宋_GB2312"/>
                <w:sz w:val="21"/>
                <w:b/>
              </w:rPr>
              <w:t>1：</w:t>
            </w:r>
            <w:r>
              <w:rPr>
                <w:rFonts w:ascii="仿宋_GB2312" w:hAnsi="仿宋_GB2312" w:cs="仿宋_GB2312" w:eastAsia="仿宋_GB2312"/>
                <w:sz w:val="21"/>
                <w:b/>
              </w:rPr>
              <w:t>(2个)</w:t>
            </w:r>
          </w:p>
          <w:p>
            <w:pPr>
              <w:pStyle w:val="null3"/>
              <w:numPr>
                <w:ilvl w:val="0"/>
                <w:numId w:val="1"/>
              </w:numPr>
              <w:jc w:val="both"/>
            </w:pP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0.1 %FS</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压力量程：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1000 bar;</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压力类型：</w:t>
            </w:r>
            <w:r>
              <w:rPr>
                <w:rFonts w:ascii="仿宋_GB2312" w:hAnsi="仿宋_GB2312" w:cs="仿宋_GB2312" w:eastAsia="仿宋_GB2312"/>
                <w:sz w:val="21"/>
              </w:rPr>
              <w:t>表压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采样频率：</w:t>
            </w:r>
            <w:r>
              <w:rPr>
                <w:rFonts w:ascii="仿宋_GB2312" w:hAnsi="仿宋_GB2312" w:cs="仿宋_GB2312" w:eastAsia="仿宋_GB2312"/>
                <w:sz w:val="21"/>
              </w:rPr>
              <w:t>≥</w:t>
            </w:r>
            <w:r>
              <w:rPr>
                <w:rFonts w:ascii="仿宋_GB2312" w:hAnsi="仿宋_GB2312" w:cs="仿宋_GB2312" w:eastAsia="仿宋_GB2312"/>
                <w:sz w:val="21"/>
              </w:rPr>
              <w:t>1800 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0.002 % FS;</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启动时间：</w:t>
            </w:r>
            <w:r>
              <w:rPr>
                <w:rFonts w:ascii="仿宋_GB2312" w:hAnsi="仿宋_GB2312" w:cs="仿宋_GB2312" w:eastAsia="仿宋_GB2312"/>
                <w:sz w:val="21"/>
              </w:rPr>
              <w:t>≤</w:t>
            </w:r>
            <w:r>
              <w:rPr>
                <w:rFonts w:ascii="仿宋_GB2312" w:hAnsi="仿宋_GB2312" w:cs="仿宋_GB2312" w:eastAsia="仿宋_GB2312"/>
                <w:sz w:val="21"/>
              </w:rPr>
              <w:t>250ms;</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接触介质材质：</w:t>
            </w:r>
            <w:r>
              <w:rPr>
                <w:rFonts w:ascii="仿宋_GB2312" w:hAnsi="仿宋_GB2312" w:cs="仿宋_GB2312" w:eastAsia="仿宋_GB2312"/>
                <w:sz w:val="21"/>
              </w:rPr>
              <w:t xml:space="preserve">316L/1.4435 </w:t>
            </w:r>
            <w:r>
              <w:rPr>
                <w:rFonts w:ascii="仿宋_GB2312" w:hAnsi="仿宋_GB2312" w:cs="仿宋_GB2312" w:eastAsia="仿宋_GB2312"/>
                <w:sz w:val="21"/>
              </w:rPr>
              <w:t>不锈钢</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隔离膜片</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316</w:t>
            </w:r>
            <w:r>
              <w:rPr>
                <w:rFonts w:ascii="仿宋_GB2312" w:hAnsi="仿宋_GB2312" w:cs="仿宋_GB2312" w:eastAsia="仿宋_GB2312"/>
                <w:sz w:val="21"/>
              </w:rPr>
              <w:t>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压力变送</w:t>
            </w:r>
            <w:r>
              <w:rPr>
                <w:rFonts w:ascii="仿宋_GB2312" w:hAnsi="仿宋_GB2312" w:cs="仿宋_GB2312" w:eastAsia="仿宋_GB2312"/>
                <w:sz w:val="21"/>
                <w:b/>
              </w:rPr>
              <w:t>模块</w:t>
            </w:r>
            <w:r>
              <w:rPr>
                <w:rFonts w:ascii="仿宋_GB2312" w:hAnsi="仿宋_GB2312" w:cs="仿宋_GB2312" w:eastAsia="仿宋_GB2312"/>
                <w:sz w:val="21"/>
                <w:b/>
              </w:rPr>
              <w:t>2：</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±0.075% FS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量程比：</w:t>
            </w:r>
            <w:r>
              <w:rPr>
                <w:rFonts w:ascii="仿宋_GB2312" w:hAnsi="仿宋_GB2312" w:cs="仿宋_GB2312" w:eastAsia="仿宋_GB2312"/>
                <w:sz w:val="21"/>
              </w:rPr>
              <w:t>150:1</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100 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最大工作压力：</w:t>
            </w:r>
            <w:r>
              <w:rPr>
                <w:rFonts w:ascii="仿宋_GB2312" w:hAnsi="仿宋_GB2312" w:cs="仿宋_GB2312" w:eastAsia="仿宋_GB2312"/>
                <w:sz w:val="21"/>
              </w:rPr>
              <w:t>≥</w:t>
            </w:r>
            <w:r>
              <w:rPr>
                <w:rFonts w:ascii="仿宋_GB2312" w:hAnsi="仿宋_GB2312" w:cs="仿宋_GB2312" w:eastAsia="仿宋_GB2312"/>
                <w:sz w:val="21"/>
              </w:rPr>
              <w:t>300 psi</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压力类型：</w:t>
            </w:r>
            <w:r>
              <w:rPr>
                <w:rFonts w:ascii="仿宋_GB2312" w:hAnsi="仿宋_GB2312" w:cs="仿宋_GB2312" w:eastAsia="仿宋_GB2312"/>
                <w:sz w:val="21"/>
              </w:rPr>
              <w:t>表压</w:t>
            </w:r>
          </w:p>
          <w:p>
            <w:pPr>
              <w:pStyle w:val="null3"/>
              <w:jc w:val="both"/>
            </w:pPr>
            <w:r>
              <w:rPr>
                <w:rFonts w:ascii="仿宋_GB2312" w:hAnsi="仿宋_GB2312" w:cs="仿宋_GB2312" w:eastAsia="仿宋_GB2312"/>
                <w:sz w:val="21"/>
                <w:b/>
              </w:rPr>
              <w:t>涉氢压力</w:t>
            </w:r>
            <w:r>
              <w:rPr>
                <w:rFonts w:ascii="仿宋_GB2312" w:hAnsi="仿宋_GB2312" w:cs="仿宋_GB2312" w:eastAsia="仿宋_GB2312"/>
                <w:sz w:val="21"/>
                <w:b/>
              </w:rPr>
              <w:t>模块：</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精度：</w:t>
            </w:r>
            <w:r>
              <w:rPr>
                <w:rFonts w:ascii="仿宋_GB2312" w:hAnsi="仿宋_GB2312" w:cs="仿宋_GB2312" w:eastAsia="仿宋_GB2312"/>
                <w:sz w:val="21"/>
              </w:rPr>
              <w:t>±0.065% FS</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量程比：</w:t>
            </w:r>
            <w:r>
              <w:rPr>
                <w:rFonts w:ascii="仿宋_GB2312" w:hAnsi="仿宋_GB2312" w:cs="仿宋_GB2312" w:eastAsia="仿宋_GB2312"/>
                <w:sz w:val="21"/>
              </w:rPr>
              <w:t>16:1</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压力≥</w:t>
            </w:r>
            <w:r>
              <w:rPr>
                <w:rFonts w:ascii="仿宋_GB2312" w:hAnsi="仿宋_GB2312" w:cs="仿宋_GB2312" w:eastAsia="仿宋_GB2312"/>
                <w:sz w:val="21"/>
              </w:rPr>
              <w:t>150 MPa</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量程：</w:t>
            </w:r>
            <w:r>
              <w:rPr>
                <w:rFonts w:ascii="仿宋_GB2312" w:hAnsi="仿宋_GB2312" w:cs="仿宋_GB2312" w:eastAsia="仿宋_GB2312"/>
                <w:sz w:val="21"/>
              </w:rPr>
              <w:t>覆盖</w:t>
            </w:r>
            <w:r>
              <w:rPr>
                <w:rFonts w:ascii="仿宋_GB2312" w:hAnsi="仿宋_GB2312" w:cs="仿宋_GB2312" w:eastAsia="仿宋_GB2312"/>
                <w:sz w:val="21"/>
              </w:rPr>
              <w:t>10</w:t>
            </w:r>
            <w:r>
              <w:rPr>
                <w:rFonts w:ascii="仿宋_GB2312" w:hAnsi="仿宋_GB2312" w:cs="仿宋_GB2312" w:eastAsia="仿宋_GB2312"/>
                <w:sz w:val="21"/>
              </w:rPr>
              <w:t>MPa ~ 150 MPa</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压力类型：</w:t>
            </w:r>
            <w:r>
              <w:rPr>
                <w:rFonts w:ascii="仿宋_GB2312" w:hAnsi="仿宋_GB2312" w:cs="仿宋_GB2312" w:eastAsia="仿宋_GB2312"/>
                <w:sz w:val="21"/>
              </w:rPr>
              <w:t>表压</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模块材质：</w:t>
            </w:r>
            <w:r>
              <w:rPr>
                <w:rFonts w:ascii="仿宋_GB2312" w:hAnsi="仿宋_GB2312" w:cs="仿宋_GB2312" w:eastAsia="仿宋_GB2312"/>
                <w:sz w:val="21"/>
              </w:rPr>
              <w:t>N06625</w:t>
            </w:r>
            <w:r>
              <w:rPr>
                <w:rFonts w:ascii="仿宋_GB2312" w:hAnsi="仿宋_GB2312" w:cs="仿宋_GB2312" w:eastAsia="仿宋_GB2312"/>
                <w:sz w:val="21"/>
              </w:rPr>
              <w:t>（高镍抗氢脆）</w:t>
            </w:r>
            <w:r>
              <w:rPr>
                <w:rFonts w:ascii="仿宋_GB2312" w:hAnsi="仿宋_GB2312" w:cs="仿宋_GB2312" w:eastAsia="仿宋_GB2312"/>
                <w:sz w:val="21"/>
              </w:rPr>
              <w:t xml:space="preserve">+ </w:t>
            </w:r>
            <w:r>
              <w:rPr>
                <w:rFonts w:ascii="仿宋_GB2312" w:hAnsi="仿宋_GB2312" w:cs="仿宋_GB2312" w:eastAsia="仿宋_GB2312"/>
                <w:sz w:val="21"/>
              </w:rPr>
              <w:t>镀金膜片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合同签订完成接采购人书面通知后45个日历日完成供货、安装、调试，达到交付使用条件。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合同签订完成接采购人书面通知后45个日历日完成供货、安装、调试，达到交付使用条件。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合同签订后5个工作日内，甲方向乙方预付合同总价的40%。（以此为准）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设备安装调试完成，经甲方最终验收合格并签署《验收合格报告》后，乙方开具全额合法有效的增值税专用发票，甲方在7个工作日内向乙方支付合同总价的30%。（以此为准）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合同签订后5个工作日内，甲方向乙方预付合同总价的40%。（以此为准）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设备安装调试完成，经甲方最终验收合格并签署《验收合格报告》后，乙方开具全额合法有效的增值税专用发票，甲方在7个工作日内向乙方支付合同总价的30%。（以此为准）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1.质保期：自验收合格之日起1年。质保期内每年提供1次清洁保养服务，并按采购人要求开展产品软硬件操作培训。质保期内原厂工程师无偿技术支持及上门服务 2.产品保修期（三包期）：自验收合格之日起1年。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3.采购标的的安装调试及配套工程、质量保证、售后服务等要求 （1）安装调试要求 安装标准：执行GB50231-2009《机械设备安装工程施工及验收通用规范》； 调试周期：提供设备现场安装调试、操作培训服务；连续72小时无故障运行测试； 人员培训：提供相关操作人员培训资料。 （2）售后服务 响应时限：即时响应（包括电话响应）；电话响应无法解决时，原厂工程师48小时内到达现场。修复时间72小时内；如72小时内无法修复，应提供相应解决方案。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1.质保期：自验收合格之日起1年。质保期内每年提供1次清洁保养服务，并按采购人要求开展产品软硬件操作培训。 2.产品保修期（三包期）：自验收合格之日起1年。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调试周期：连续72小时无故障运行测试； 人员培训：提供相关操作人员培训资料。 （2）售后服务 响应时限：即时响应（包括电话响应）；电话响应无法解决时，48小时内到达现场。修复时间72小时内；如72小时内无法修复，应提供相应解决方案。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1、本项目兼投兼中。 2、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3、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670920970@qq.com（邮件命名：采购包名称、采购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投标人以转账形式缴纳时备注采购包名称、采购包号，否则，因款项用途不明导致无法辨别造成不利后果）。 4、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履约保证金承诺函 供应商应提交的相关资格证明材料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1.按招标文件要求的数量、计量单位、报价货币进行报价。 2.投标人的投标报价高于采购预算（最高限价）的，投标文件按无效处理。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商务、合同条款及技术参数</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无招标文件或法律法规明确规定响应无效的事项</w:t>
            </w:r>
          </w:p>
        </w:tc>
        <w:tc>
          <w:tcPr>
            <w:tcW w:type="dxa" w:w="3322"/>
          </w:tcPr>
          <w:p>
            <w:pPr>
              <w:pStyle w:val="null3"/>
            </w:pPr>
            <w:r>
              <w:rPr>
                <w:rFonts w:ascii="仿宋_GB2312" w:hAnsi="仿宋_GB2312" w:cs="仿宋_GB2312" w:eastAsia="仿宋_GB2312"/>
              </w:rPr>
              <w:t>无招标文件或法律法规明确规定的被视为无效响应的其他条款。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履约保证金承诺函 供应商应提交的相关资格证明材料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1.按招标文件要求的数量、计量单位、报价货币进行报价。 2.投标人的投标报价高于采购预算（最高限价）的，投标文件按无效处理。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商务、合同条款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无招标文件或法律法规明确规定响应无效的事项</w:t>
            </w:r>
          </w:p>
        </w:tc>
        <w:tc>
          <w:tcPr>
            <w:tcW w:type="dxa" w:w="3322"/>
          </w:tcPr>
          <w:p>
            <w:pPr>
              <w:pStyle w:val="null3"/>
            </w:pPr>
            <w:r>
              <w:rPr>
                <w:rFonts w:ascii="仿宋_GB2312" w:hAnsi="仿宋_GB2312" w:cs="仿宋_GB2312" w:eastAsia="仿宋_GB2312"/>
              </w:rPr>
              <w:t>无招标文件或法律法规明确规定的被视为无效响应的其他条款。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标记为“▲”（共8项）为重要技术条款，每负偏离一项扣3分。未标项（共10项）为普通参数，每负偏离一项扣0.6分，扣完为止。 注：以上标记为“▲”项参数须有佐证材料，佐证材料例如：国家认可的第三方检测机构出具的检测报告或产品彩页或技术白皮书或官网截图任意一种。不提供或缺漏项或不能证明的不得分。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投标人需针对本项目提供完整的项目实施方案。内容包含：①供货组织及进度安排②调试方案③人员、物力调配安排。 二、评审标准 ①可实施性：切合本项目实际情况，方案全面、实施步骤清晰、计划合理； ②针对性：方案能够紧扣项目实际情况，内容科学合理； 三、赋分依据 ①供货组织及进度安排：每完全满足一个评审标准得1分，满分2分； ②安装调试方案:每完全满足一个评审标准得1分，满分2分； ③人员、物力调配安排：每完全满足一个评审标准得1分，满分2分。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①可实施性：切合本项目实际情况，方案全面、实施步骤清晰、计划合理； ②针对性：方案能够紧扣项目实际情况，内容科学合理； 三、赋分依据 ①产品性能：每完全满足一个评审标准得1分，满分2分； ②使用寿命及效果:每完全满足一个评审标准得1分，满分2分； ③交货及安装时间:每完全满足一个评审标准得1分，满分2分。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①售后服务范围：每完全满足一个评审标准得1分，满分3分； ②响应时间及方式:每完全满足一个评审标准得1分，满分3分； ③故障处理及补救措施:每完全满足一个评审标准得1分，满分3分；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提供投标人自2023年1月1日至今承担过类似项目业绩，以合同签订时间为准并加盖投标人公章，每提供一个业绩计1分，最高计1分。 备注：以加盖投标人公章的业绩复印件或扫描件为计分依据。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标记为“▲”（共6项）为重要技术条款，每负偏离一项扣3分。未标项（共24项）为普通参数，每负偏离一项扣0.5分，扣完为止。 注：以上标记为“▲”项参数须有佐证材料，佐证材料例如：国家认可的第三方检测机构出具的检测报告，产品彩页，技术白皮书，官网截图等任意一种。不提供或缺漏项或不能证明的不得分。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投标人需针对本项目提供完整的项目实施方案。内容包含：①供货组织及进度安排②调试方案③人员、物力调配安排。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①供货组织及进度安排：每完全满足一个评审标准得1分，满分3分； ②安装调试方案:每完全满足一个评审标准得1分，满分3分； ③人员、物力调配安排：每完全满足一个评审标准得1分，满分3分。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①产品性能：每完全满足一个评审标准得1分，满分3分； ②使用寿命及效果:每完全满足一个评审标准得1分，满分3分； ③交货及安装时间:每完全满足一个评审标准得1分，满分3分。 内容有缺陷扣1分，缺项或未提供得0分。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根据项目实际需求提供售后服务方案。内容包含：①售后服务范围、响应时间及方式②故障处理及补救措施③定期回访及维护。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①售后服务范围、响应时间及方式：每完全满足一个评审标准得1分，满分3分； ②故障处理及补救措施:每完全满足一个评审标准得1分，满分3分； ③定期回访及维护:每完全满足一个评审标准得1分，满分3分。内容有缺陷扣0.5分，缺项或未提供得0分。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提供投标人自2023年1月1日至今承担过类似项目业绩，以合同签订时间为准并加盖投标人公章，每提供一个业绩计1分，最高计2分。备注：以加盖投标人公章的业绩复印件或扫描件为计分依据。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