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版本号：【KRDL】K1-260404220260513001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涉路施工活动许可技术咨询</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【KRDL】K1-2604042</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2026年05月13日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涉路施工活动许可技术咨询</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【KRDL】K1-2604042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涉路施工活动许可技术咨询</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提供2026年涉路施工活动许可技术咨询服务，具体服务内容及要求详见竞争性磋商文件。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1、主体资格：供应商为向招标人提供相应服务的法人或其他组织；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pPr>
      <w:r>
        <w:rPr>
          <w:rFonts w:ascii="仿宋_GB2312" w:hAnsi="仿宋_GB2312" w:cs="仿宋_GB2312" w:eastAsia="仿宋_GB2312"/>
        </w:rPr>
        <w:t>6、企业资质：供应商应具备工程勘察综合资质甲级或工程勘察(岩土工程)专业资质乙级及以上;并同时具备工程设计综合资质甲级或工程设计公路行业甲级或工程设计公路行业公路专业甲级资质。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1、主体资格：供应商为向招标人提供相应服务的法人或其他组织；</w:t>
      </w:r>
    </w:p>
    <w:p>
      <w:pPr>
        <w:pStyle w:val="null3"/>
      </w:pPr>
      <w:r>
        <w:rPr>
          <w:rFonts w:ascii="仿宋_GB2312" w:hAnsi="仿宋_GB2312" w:cs="仿宋_GB2312" w:eastAsia="仿宋_GB2312"/>
        </w:rPr>
        <w:t>2、社会保障资金缴纳证明：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3、税收缴纳证明：供应商提供本单位在开标前6个月已缴纳的至少一个月纳税证明或完税证明，依法免税的单位应提供相关证明材料；</w:t>
      </w:r>
    </w:p>
    <w:p>
      <w:pPr>
        <w:pStyle w:val="null3"/>
      </w:pPr>
      <w:r>
        <w:rPr>
          <w:rFonts w:ascii="仿宋_GB2312" w:hAnsi="仿宋_GB2312" w:cs="仿宋_GB2312" w:eastAsia="仿宋_GB2312"/>
        </w:rPr>
        <w:t>4、财务状况证明：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p>
      <w:pPr>
        <w:pStyle w:val="null3"/>
      </w:pPr>
      <w:r>
        <w:rPr>
          <w:rFonts w:ascii="仿宋_GB2312" w:hAnsi="仿宋_GB2312" w:cs="仿宋_GB2312" w:eastAsia="仿宋_GB2312"/>
        </w:rPr>
        <w:t>5、信誉要求：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p>
      <w:pPr>
        <w:pStyle w:val="null3"/>
      </w:pPr>
      <w:r>
        <w:rPr>
          <w:rFonts w:ascii="仿宋_GB2312" w:hAnsi="仿宋_GB2312" w:cs="仿宋_GB2312" w:eastAsia="仿宋_GB2312"/>
        </w:rPr>
        <w:t>6、企业资质：供应商应具备工程勘察综合资质甲级或工程勘察(岩土工程)专业资质乙级及以上;并同时具备工程设计综合资质甲级或工程设计公路行业甲级或工程设计公路行业公路专业甲级资质。</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于英敏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029-88408779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庄金虎、姚瑶、王昭、刘昆、张晨、代光艳、王森、靳祥德、成荔、彭明杨、王莉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15353676867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采购包1：202,000.00元</w:t>
            </w:r>
          </w:p>
          <w:p>
            <w:pPr>
              <w:pStyle w:val="null3"/>
            </w:pPr>
            <w:r>
              <w:rPr>
                <w:rFonts w:ascii="仿宋_GB2312" w:hAnsi="仿宋_GB2312" w:cs="仿宋_GB2312" w:eastAsia="仿宋_GB2312"/>
              </w:rPr>
              <w:t>采购包2：350,000.00元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服务内容完全不涉及</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服务内容完全不涉及</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采购包1保证金金额：2,008.00元</w:t>
            </w:r>
          </w:p>
          <w:p>
            <w:pPr>
              <w:pStyle w:val="null3"/>
            </w:pPr>
            <w:r>
              <w:rPr>
                <w:rFonts w:ascii="仿宋_GB2312" w:hAnsi="仿宋_GB2312" w:cs="仿宋_GB2312" w:eastAsia="仿宋_GB2312"/>
              </w:rPr>
              <w:t>采购包2保证金金额：3,008.00元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说明：1.供应商在签订本合同之前，向采购人缴纳中标价格5%的履约保证金。 2.履约保证金的有效期为供应商承诺的服务期限。 3.履约保证金作为违约金的一部分及用于补偿采购人因供应商不能履行合同义务而蒙受的损失。 4.服务期限结束后，采购人确认本合同服务等约定事项已经履行完毕且验收合格无任何争议后，向供应商无息退还履约保证金。 5.履约保证金以支票、汇票、本票或者金融机构、担保机构出具的保函等非现金形式缴纳。</w:t>
            </w:r>
          </w:p>
          <w:p>
            <w:pPr>
              <w:pStyle w:val="null3"/>
            </w:pPr>
            <w:r>
              <w:rPr>
                <w:rFonts w:ascii="仿宋_GB2312" w:hAnsi="仿宋_GB2312" w:cs="仿宋_GB2312" w:eastAsia="仿宋_GB2312"/>
              </w:rPr>
              <w:t>采购包2：缴纳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说明：1.供应商在签订本合同之前，向采购人缴纳中标价格5%的履约保证金。 2.履约保证金的有效期为供应商承诺的服务期限。 3.履约保证金作为违约金的一部分及用于补偿采购人因供应商不能履行合同义务而蒙受的损失。 4.服务期限结束后，采购人确认本合同服务等约定事项已经履行完毕且验收合格无任何争议后，向供应商无息退还履约保证金。 5.履约保证金以支票、汇票、本票或者金融机构、担保机构出具的保函等非现金形式缴纳。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代理服务费收费标准：20万元及以上项目：代理服务费的报价系数为0.7。（最终代理服务费=参照《招标代理服务收费管理暂行办法》（计价格〔2002〕1980）计算后金额*报价系数） 代理服务费由成交供应商在领取成交通知书前一次性向代理机构付清。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详见拟签订的合同文本。</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详见拟签订的合同文本。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联系人：庄金虎</w:t>
      </w:r>
    </w:p>
    <w:p>
      <w:pPr>
        <w:pStyle w:val="null3"/>
      </w:pPr>
      <w:r>
        <w:rPr>
          <w:rFonts w:ascii="仿宋_GB2312" w:hAnsi="仿宋_GB2312" w:cs="仿宋_GB2312" w:eastAsia="仿宋_GB2312"/>
        </w:rPr>
        <w:t>联系电话：15353676867</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提供2026年涉路施工活动许可技术咨询服务。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202,000.00</w:t>
      </w:r>
    </w:p>
    <w:p>
      <w:pPr>
        <w:pStyle w:val="null3"/>
      </w:pPr>
      <w:r>
        <w:rPr>
          <w:rFonts w:ascii="仿宋_GB2312" w:hAnsi="仿宋_GB2312" w:cs="仿宋_GB2312" w:eastAsia="仿宋_GB2312"/>
        </w:rPr>
        <w:t>采购包最高限价（元）: 202,000.00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涉路施工活动许可技术咨询（一标段）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202,000.00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350,000.00</w:t>
      </w:r>
    </w:p>
    <w:p>
      <w:pPr>
        <w:pStyle w:val="null3"/>
      </w:pPr>
      <w:r>
        <w:rPr>
          <w:rFonts w:ascii="仿宋_GB2312" w:hAnsi="仿宋_GB2312" w:cs="仿宋_GB2312" w:eastAsia="仿宋_GB2312"/>
        </w:rPr>
        <w:t>采购包最高限价（元）: 350,000.00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涉路施工活动许可技术咨询（二标段）</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w:t>
            </w:r>
          </w:p>
        </w:tc>
        <w:tc>
          <w:tcPr>
            <w:tcW w:type="dxa" w:w="831"/>
          </w:tcPr>
          <w:p>
            <w:pPr>
              <w:pStyle w:val="null3"/>
            </w:pPr>
            <w:r>
              <w:rPr>
                <w:rFonts w:ascii="仿宋_GB2312" w:hAnsi="仿宋_GB2312" w:cs="仿宋_GB2312" w:eastAsia="仿宋_GB2312"/>
              </w:rPr>
              <w:t>标段</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标的名称：涉路施工活动许可技术咨询（一标段）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涉路施工活动许可技术咨询服务，主要内容为协助采购单位审查涉路施工项目的申请材料（审查涉路施工项目件数约35件），包括安全评估报告，施工方案，设计方案，应急方案等材料，组织专家审查会审查涉路施工材料的真实性，出具书面审查意见，施工结束后组织验收工作，包括会议组织和专家抽调；提供其他技术方案审查咨询。</w:t>
            </w:r>
          </w:p>
          <w:p>
            <w:pPr>
              <w:pStyle w:val="null3"/>
            </w:pPr>
            <w:r>
              <w:rPr>
                <w:rFonts w:ascii="仿宋_GB2312" w:hAnsi="仿宋_GB2312" w:cs="仿宋_GB2312" w:eastAsia="仿宋_GB2312"/>
              </w:rPr>
              <w:t>2.本采购包以固定总价为结算依据，除合同约定的变更情形外，采购人不再额外支付费用。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标的名称：涉路施工活动许可技术咨询（二标段）</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涉路施工活动许可技术咨询服务，主要内容为协助采购单位审查涉路施工项目的申请材料（审查涉路施工项目件数约35件），包括安全评估报告，施工方案，设计方案，应急方案等材料，组织专家审查会审查涉路施工材料的真实性，出具书面审查意见，施工结束后组织验收工作，包括会议组织和专家抽调；审查超限检测站方案设计并提交审查意见（审查超限检测站方案设计数约10个）；提供其他技术方案审查咨询。</w:t>
            </w:r>
          </w:p>
          <w:p>
            <w:pPr>
              <w:pStyle w:val="null3"/>
            </w:pPr>
            <w:r>
              <w:rPr>
                <w:rFonts w:ascii="仿宋_GB2312" w:hAnsi="仿宋_GB2312" w:cs="仿宋_GB2312" w:eastAsia="仿宋_GB2312"/>
              </w:rPr>
              <w:t>2.本采购包以固定总价为结算依据，除合同约定的变更情形外，采购人不再额外支付费用。</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供应商按照采购需求在响应文件中自行列出。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供应商按照采购需求在响应文件中自行列出。</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供应商按照采购需求可能涉及的设施设备在响应文件中自行列出。</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供应商按照采购需求可能涉及的设施设备在响应文件中自行列出。</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以磋商文件及采购人要求为准。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以磋商文件及采购人要求为准。</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服务成果合法、真实、科学、有效，符合国家及行业现行技术规范、标准，满足本项目竞争性磋商文件的要求以及采购方涉路施工许可管理及审批工作需求。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服务成果合法、真实、科学、有效，符合国家及行业现行技术规范、标准，满足本项目竞争性磋商文件的要求以及采购方涉路施工许可管理及审批工作需求。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合同签订且供应商提交合格履约保证金及符合要求的发票后，采购人在达到付款条件之日起15个工作日内，支付合同总金额的60%。 本项目为政府采购预算项目，若实际实施项目数量大于35个，结算金额超过合同总金额视为供应商可预见的风险，按合同总价款结算；若实际实施项目数量少于35个且未少于30个，按合同总价款结算；若实际实施项目数量少于30个，则每少实施一个项目扣除合同总价款的2%。 2026年12月20日前，供应商完成阶段性服务并经采购人确认合格，且收到供应商开具的合规发票后，采购人在达到付款条件之日起15个工作日内，双方按照合同约定据实结算。结算总金额不得超过本采购包的采购预算金额（截至服务期限，根据成交供应商最终完成服务的项目数量，进行最终资金清算，支付剩余的合同金额，后续描述的“达到付款条件起15日内，支付合同总金额的100%”为编标工具内容，无法进行修改，故在此进行说明，最终支付比例和时间以上述表述内容进行实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合同签订且供应商提交合格履约保证金及符合要求的发票后，采购人在达到付款条件之日起15个工作日内，支付合同总金额的60%。 本项目为政府采购预算项目，若实际实施项目数量大于45个，结算金额超过合同总金额视为供应商可预见的风险，按合同总价款结算；若实际实施项目数量少于45个且未少于40个，按合同总价款结算；若实际实施项目数量少于40个，则每少实施一个项目扣除合同总价款的2%。 2026年12月20日前，供应商完成阶段性服务并经采购人确认合格，且收到供应商开具的合规发票后，采购人在达到付款条件之日起15个工作日内，双方按照合同约定据实结算。结算总金额不得超过本采购包的采购预算金额（截至服务期限，根据成交供应商最终完成服务的项目数量，进行最终资金清算，支付剩余的合同金额，后续描述的“达到付款条件起15日内，支付合同总金额的100%”为编标工具内容，无法进行修改，故在此进行说明，最终支付比例和时间以上述表述内容进行实施）</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1.采购人、供应商双方必须遵守本合同并执行合同中的各项规定，保证本合同的正常履行。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因省财政年度预算拨款等政策要求，采购人向供应商支付全部合同价款不视为双方合同履约结束，供应商仍应按照合同约定，完成全部工作内容，否则将视为供应商存在严重失信行为，采购人将上报省财政厅，将供应商列入信用“黑名单”，并在“中国政府采购网”、“信用中国”等网站公示；同时采购人保留要求供应商退还合同价款、赔偿损失的权利。 4.供应商逾期完成服务的，每逾期一日，向采购人承担合同总金额 0.1 %的违约金，逾期 30 日的，采购人有权单方解除本合同且保留追究供应商违约责任的权利，给采购人造成损失的，供应商还应予以赔偿。 5.供应商应保证其提交的服务成果不存在侵犯他人权益的情形，否则，因此引发的责任及纠纷由供应商承担，对采购人造成损失的，供应商应予以赔偿，此外，供应商还应向采购人承担合同总金额 5 %的违约金。 6.供应商应对其服务及服务成果的合法性、科学性、有效性、客观性、真实性负责，否则，相关责任及纠纷由供应商承担，对采购人造成损失的，供应商应予赔偿，此外，供应商还应向采购人承担合同总金额 5 %的违约金。 7.供应商在为采购人提供服务过程中所产生的所有成果，包括但不限于报告、方案、设计、软件等，其知识产权归采购人所有。未经采购人书面同意供应商不得给与本项目无关的第三方使用。供应商对于采购人提供的一切信息及资料负有严格的保密义务，不得以任何名义以此进行牟利活动，不得发表，也不得向任何第三方透露，否则应赔偿由此给采购人造成的损失。 8.供应商未按合同约定或甲方要求提供服务的，每出现一次应承担合同总价款【5】%的违约金，出现【2】次的，采购人有权单方解除本合同，给采购人造成损失的，供应商还应予以赔偿。 9.若供应商违反合同约定，除按照合同约定承担违约金外，对采购人造成损失的，供应商还应予以赔偿。若合同因供应商违约导致解除的，供应商除应承担违约责任赔偿采购人损失外，已收的款项应退还采购人。采购人因供应商违约而产生的维权费用，包括但不限于诉讼费、律师费、保全费、鉴定费、评估费、公证费、差旅费等费用，均由供应商承担。 10.在执行本合同中发生的或与本合同有关的争端，双方应通过友好协商解决，经协商无法解决的，应向采购人所在地有管辖权的人民法院提请诉讼。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1.采购人、供应商双方必须遵守本合同并执行合同中的各项规定，保证本合同的正常履行。 2.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3.因省财政年度预算拨款等政策要求，采购人向供应商支付全部合同价款不视为双方合同履约结束，供应商仍应按照合同约定，完成全部工作内容，否则将视为供应商存在严重失信行为，采购人将上报省财政厅，将供应商列入信用“黑名单”，并在“中国政府采购网”、“信用中国”等网站公示；同时采购人保留要求供应商退还合同价款、赔偿损失的权利。 4.供应商逾期完成服务的，每逾期一日，向采购人承担合同总金额 0.1 %的违约金，逾期 30 日的，采购人有权单方解除本合同且保留追究供应商违约责任的权利，给采购人造成损失的，供应商还应予以赔偿。 5.供应商应保证其提交的服务成果不存在侵犯他人权益的情形，否则，因此引发的责任及纠纷由供应商承担，对采购人造成损失的，供应商应予以赔偿，此外，供应商还应向采购人承担合同总金额 5 %的违约金。 6.供应商应对其服务及服务成果的合法性、科学性、有效性、客观性、真实性负责，否则，相关责任及纠纷由供应商承担，对采购人造成损失的，供应商应予赔偿，此外，供应商还应向采购人承担合同总金额 5 %的违约金。 7.供应商在为采购人提供服务过程中所产生的所有成果，包括但不限于报告、方案、设计、软件等，其知识产权归采购人所有。未经采购人书面同意供应商不得给与本项目无关的第三方使用。供应商对于采购人提供的一切信息及资料负有严格的保密义务，不得以任何名义以此进行牟利活动，不得发表，也不得向任何第三方透露，否则应赔偿由此给采购人造成的损失。 8.供应商未按合同约定或甲方要求提供服务的，每出现一次应承担合同总价款【5】%的违约金，出现【2】次的，采购人有权单方解除本合同，给采购人造成损失的，供应商还应予以赔偿。 9.若供应商违反合同约定，除按照合同约定承担违约金外，对采购人造成损失的，供应商还应予以赔偿。若合同因供应商违约导致解除的，供应商除应承担违约责任赔偿采购人损失外，已收的款项应退还采购人。采购人因供应商违约而产生的维权费用，包括但不限于诉讼费、律师费、保全费、鉴定费、评估费、公证费、差旅费等费用，均由供应商承担。 10.在执行本合同中发生的或与本合同有关的争端，双方应通过友好协商解决，经协商无法解决的，应向采购人所在地有管辖权的人民法院提请诉讼。</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供应商报价应包含完成本项目所需的全部费用（包括但不限于劳务费、专家费、差旅费、会议费、国家按现行税收政策征收的一切税费、服务费、报告出具费、资料印刷费、设备使用费、培训费及合同明示或暗示的所有责任、义务和风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供应商应具备工程勘察综合资质甲级或工程勘察(岩土工程)专业资质乙级及以上;并同时具备工程设计综合资质甲级或工程设计公路行业甲级或工程设计公路行业公路专业甲级资质。</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供应商为向招标人提供相应服务的法人或其他组织；</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本单位在开标前6个月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供应商提供本单位在开标前6个月已缴纳的至少一个月纳税证明或完税证明，依法免税的单位应提供相关证明材料；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经会计师事务所审计的2024年或2025年的财务审计报告，至少包括三表一注，即资产负债表、利润表、现金流量表及其附注（成立时间至提交响应文件截止时间不足一年的可提供成立后任意时段的资产负债表）；注：财会〔2023〕15号文《财政部 国务院国资委 金融监管总局关于加强审计报告查验工作的通知》会计师事务所应当主动向被审计单位提供附验证码的审计报告。即2023年及以后的审计报告需附验证码。或响应文件递交截止时间前六个月内其基本存款账户开户银行出具的资信证明及开户银行许可证（或开户行出具的基本户证明材料）；</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应出具参加本次政府采购活动前3年内在经营活动中没有重大违法违纪行为的书面声明，供应商未被“信用中国”网站列入“重大税收违法失信主体名单”；未被“中国执行信息公开网”列入“失信被执行人”名单；未被“中国政府采购网”列入“政府采购严重违法失信行为记录名单”；未被“国家企业信用信息公示系统”网站列入“严重违法失信名单（黑名单）”；</w:t>
            </w:r>
          </w:p>
        </w:tc>
        <w:tc>
          <w:tcPr>
            <w:tcW w:type="dxa" w:w="1661"/>
          </w:tcPr>
          <w:p>
            <w:pPr>
              <w:pStyle w:val="null3"/>
            </w:pPr>
            <w:r>
              <w:rPr>
                <w:rFonts w:ascii="仿宋_GB2312" w:hAnsi="仿宋_GB2312" w:cs="仿宋_GB2312" w:eastAsia="仿宋_GB2312"/>
              </w:rPr>
              <w:t>供应商应提交的相关资格证明文件.docx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供应商应具备工程勘察综合资质甲级或工程勘察(岩土工程)专业资质乙级及以上;并同时具备工程设计综合资质甲级或工程设计公路行业甲级或工程设计公路行业公路专业甲级资质。</w:t>
            </w:r>
          </w:p>
        </w:tc>
        <w:tc>
          <w:tcPr>
            <w:tcW w:type="dxa" w:w="1661"/>
          </w:tcPr>
          <w:p>
            <w:pPr>
              <w:pStyle w:val="null3"/>
            </w:pPr>
            <w:r>
              <w:rPr>
                <w:rFonts w:ascii="仿宋_GB2312" w:hAnsi="仿宋_GB2312" w:cs="仿宋_GB2312" w:eastAsia="仿宋_GB2312"/>
              </w:rPr>
              <w:t>供应商应提交的相关资格证明文件.docx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关于落实《关于推动解决政府采购异常低价问题的通知》财库〔2026〕2号相关要求如下： 一、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过低，有可能影响产品质量或者不能诚信履约的其他情形。二、评审委员会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三、投标人提交的相关说明和证明材料，应当加盖投标人（法定名称）电子印章，在评标委员会要求的时间内通过项目电子化交易系统进行提交，否则提交的相关证明材料无效。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竞争性磋商响应文件是否按竞争性磋商文件要求签署、盖章的</w:t>
            </w:r>
          </w:p>
        </w:tc>
        <w:tc>
          <w:tcPr>
            <w:tcW w:type="dxa" w:w="3322"/>
          </w:tcPr>
          <w:p>
            <w:pPr>
              <w:pStyle w:val="null3"/>
            </w:pPr>
            <w:r>
              <w:rPr>
                <w:rFonts w:ascii="仿宋_GB2312" w:hAnsi="仿宋_GB2312" w:cs="仿宋_GB2312" w:eastAsia="仿宋_GB2312"/>
              </w:rPr>
              <w:t>按竞争性磋商响应文件要求签署、盖章的；</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竞争性磋商文件是否含有采购人不能接受的附加条件的或其他情形</w:t>
            </w:r>
          </w:p>
        </w:tc>
        <w:tc>
          <w:tcPr>
            <w:tcW w:type="dxa" w:w="3322"/>
          </w:tcPr>
          <w:p>
            <w:pPr>
              <w:pStyle w:val="null3"/>
            </w:pPr>
            <w:r>
              <w:rPr>
                <w:rFonts w:ascii="仿宋_GB2312" w:hAnsi="仿宋_GB2312" w:cs="仿宋_GB2312" w:eastAsia="仿宋_GB2312"/>
              </w:rPr>
              <w:t>竞争性磋商文件未含有采购人不能接受的附加条件的或其他情形；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未发现法律、法规和竞争性磋商文件规定的其他无效情形。</w:t>
            </w:r>
          </w:p>
        </w:tc>
        <w:tc>
          <w:tcPr>
            <w:tcW w:type="dxa" w:w="1661"/>
          </w:tcPr>
          <w:p>
            <w:pPr>
              <w:pStyle w:val="null3"/>
            </w:pPr>
            <w:r>
              <w:rPr>
                <w:rFonts w:ascii="仿宋_GB2312" w:hAnsi="仿宋_GB2312" w:cs="仿宋_GB2312" w:eastAsia="仿宋_GB2312"/>
              </w:rPr>
              <w:t>服务内容及服务邀请应答表 中小企业声明函 商务应答表 拟派本项目人员团队.docx 报价表 响应文件封面 业绩表.docx 残疾人福利性单位声明函 法定代表人证明书及授权书.docx 服务方案 标的清单 供应商应提交的相关资格证明文件.docx 响应函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法定代表人或合法授权代表证明</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响应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对本项目服务内容及要求的理解</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根据本项目的服务要求的相关内容，对供应商所提供以下内容进行评审：对本项目服务内容及要求的理解；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三.赋分标准（满分3分）： 对本项目服务内容及要求的理解，此评审满分3分。每完全满足一项评审标准得1分，针对每条评审标准，如存在不合理的方面扣0.5分，针对每条评审标准，内容与本项目无关或未提供得0分；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根据本项目服务要求的相关内容，对供应商所提供以下内容进行评审：①符合有关技术标准、规范要求的设计和施工方案；②保障公路、公路附属设施质量和安全的技术评价报告； ③处置施工险情和意外事故的应急方案。 二.评审标准： ①完整性：内容全面详尽，对各方面有详细的描述和说明； ②合理性：项目切合实际，进度控制合理、思路清晰，科学合理； ③可实施性：切合本项目实际情况，分析清晰、可实施。 三.赋分标准（满分18分） ①符合有关技术标准、规范要求的设计和施工方案，此评审满分6分，每完全满足一项评审标准得2分，针对每条评审标准，如存在不合理的方面扣0.5分，针对每条评审标准，内容与本项目无关或未提供得0分； ②保障公路、公路附属设施质量和安全的技术评价报告，此评审满分6分，每完全满足一项评审标准得2分，针对每条评审标准，如存在不合理的方面扣0.5分，针对每条评审标准，内容与本项目无关或未提供得0分； ③处置施工险情和意外事故的应急方案，此评审满分6分，每完全满足一项评审标准得2分，针对每条评审标准，如存在不合理的方面扣0.5分，针对每条评审标准，内容与本项目无关或未提供得0分；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项目重点及难点分析</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根据本项目服务要求的相关内容，对供应商所提供以下内容进行评审：①项目特点、重点及难点分析；②重点及难点应对措施。 二.评审标准： ①合理性：分析内容全面合理，对各方面有详细的描述和说明； ②可实施性：切合本项目实际情况，分析清晰、可实施； ③针对性：分析紧扣项目特点和采购需求，针对性强，整体性高。 三.赋分标准（满分9分） ①项目特点、重点及难点分析，此评审满分4.5分，每完全满足一项评审标准得1.5分，针对每条评审标准，如存在不合理的方面扣0.5分，针对每条评审标准，内容与本项目无关或未提供得0分； ②重点及难点应对措施，此评审满分4.5分，每完全满足一项评审标准得1.5分，针对每条评审标准，如存在不合理的方面扣0.5分，针对每条评审标准，内容与本项目无关或未提供得0分。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根据本项目服务要求的相关内容，对供应商所提供以下内容进行评审：①工作进度计划；②进度保证措施； 二.评审标准： ①合理性：分析内容全面合理，对各方面有详细的描述和说明； ②可实施性：切合本项目实际情况，分析清晰、可实施； ③针对性：分析紧扣项目特点和采购需求，针对性强，整体性高。 三.赋分标准（满分9分） ①工作进度计划，此评审满分4.5分，每完全满足一项评审标准得1.5分，针对每条评审标准，如存在不合理的方面扣0.5分，针对每条评审标准，内容与本项目无关或未提供得0分； ②进度保证措施，此评审满分4.5分，每完全满足一项评审标准得1.5分，针对每条评审标准，如存在不合理的方面扣0.5分，针对每条评审标准，内容与本项目无关或未提供得0分。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质量及安全保证措施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根据本项目服务要求的相关内容，对供应商所提供以下内容进行评审：①质量保证措施方案；②安全保证措施； 二.评审标准： ①合理性：分析内容全面合理，对各方面有详细的描述和说明； ②可实施性：切合本项目实际情况，分析清晰、可实施； ③针对性：分析紧扣项目特点和采购需求，针对性强，整体性高。 三.赋分标准：（满分12分） ①质量保证措施方案，此评审项满分6分，每完全满足一条评审标准得2分；针对每条评审标准，如存在不合理的方面，扣0.5分；针对每条评审标准，方案内容与本项目无关或未提供的，得0分。 ②安全保证措施，此评审项满分6分，每完全满足一条评审标准得2分；针对每条评审标准，如存在不合理的方面，扣0.5分；针对每条评审标准，方案内容与本项目无关或未提供的，得0分。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服务保障体系</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根据本项目的服务要求的相关内容，对供应商所提供以下内容进行评审：①服务保障体系；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三.赋分标准（满分6分）： ①服务保障体系，此评审满分6分，每完全满足一项评审标准得2分，针对每条评审标准，如存在不合理的方面扣0.5分，针对每条评审标准，内容与本项目无关或未提供得0分；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拟派本项目团队（项目负责人）</w:t>
            </w:r>
          </w:p>
        </w:tc>
        <w:tc>
          <w:tcPr>
            <w:tcW w:type="dxa" w:w="2492"/>
          </w:tcPr>
          <w:p>
            <w:pPr>
              <w:pStyle w:val="null3"/>
            </w:pPr>
            <w:r>
              <w:rPr>
                <w:rFonts w:ascii="仿宋_GB2312" w:hAnsi="仿宋_GB2312" w:cs="仿宋_GB2312" w:eastAsia="仿宋_GB2312"/>
              </w:rPr>
              <w:t>一、项目负责人具有公路工程相关专业高级及以上职称，得3分，其他不得分； 评审依据：提供上述职称证书的复印件或扫描件。 二、每提供一个2021年1月1日至今担任过类似项目负责人的业绩得1分，最多得4分。 评审依据： 提供：业绩证明资料（以任命书或合同或其他证明材料为准，应体现项目负责人姓名）并加盖公章。项目负责人业绩与企业业绩可重复计分。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拟派本项目团队（项目组成员）</w:t>
            </w:r>
          </w:p>
        </w:tc>
        <w:tc>
          <w:tcPr>
            <w:tcW w:type="dxa" w:w="2492"/>
          </w:tcPr>
          <w:p>
            <w:pPr>
              <w:pStyle w:val="null3"/>
            </w:pPr>
            <w:r>
              <w:rPr>
                <w:rFonts w:ascii="仿宋_GB2312" w:hAnsi="仿宋_GB2312" w:cs="仿宋_GB2312" w:eastAsia="仿宋_GB2312"/>
              </w:rPr>
              <w:t>一、除项目负责人外，拟派组成员每具有1名公路工程相关专业高级及以上职称得1分，本项目最多得4分； 评审依据：提供上述职称证书的复印件或扫描件。 二、除项目负责人外，以上人员每有1人具有注册土木工程师（道路工程）证书得1分，本项最多得4分。 评审依据：提供上述注册证书复印件或扫描件。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根据本项目的服务要求的相关内容，对供应商所提供以下内容进行评审：①服务期限、质量、人员到位情况、后期服务等方面；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三.赋分标准（满分3分）： ①服务期限、质量、人员到位情况、后期服务等方面，此评审满分3分，每完全满足一项评审标准得1分，针对每条评审标准，如存在不合理的方面扣0.5分，针对每条评审标准，内容与本项目无关或未提供得0分；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供应商提供2021年1月1日至今类似业绩证明材料，每提供1项有效业绩证明材料的计2分，满分为10分； 备注：业绩证明材料以合同的复印件或扫描件为准，时间以合同签订时间为准，业绩证明材料不符合要求的不得分。项目负责人业绩与企业业绩可重复计分。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对本项目服务内容及要求的理解</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根据本项目的服务要求的相关内容，对供应商所提供以下内容进行评审：对本项目服务内容及要求的理解；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三.赋分标准（满分3分）： 对本项目服务内容及要求的理解，此评审满分3分，每完全满足一项评审标准得1分，针对每条评审标准，如存在不合理的方面扣0.5分，针对每条评审标准，内容与本项目无关或未提供得0分；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项目服务方案</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根据本项目服务要求的相关内容，对供应商所提供以下内容进行评审：①符合有关技术标准、规范要求的设计和施工方案；②保障公路、公路附属设施质量和安全的技术评价报告； ③处置施工险情和意外事故的应急方案。 二.评审标准： ①完整性：内容全面详尽，对各方面有详细的描述和说明； ②合理性：项目切合实际，进度控制合理、思路清晰，科学合理； ③可实施性：切合本项目实际情况，分析清晰、可实施。 三.赋分标准（满分18分） ①符合有关技术标准、规范要求的设计和施工方案，此评审满分6分，每完全满足一项评审标准得2分，针对每条评审标准，如存在不合理的方面扣0.5分，针对每条评审标准，内容与本项目无关或未提供得0分； ②保障公路、公路附属设施质量和安全的技术评价报告，此评审满分6分，每完全满足一项评审标准得2分，针对每条评审标准，如存在不合理的方面扣0.5分，针对每条评审标准，内容与本项目无关或未提供得0分； ③处置施工险情和意外事故的应急方案，此评审满分6分，每完全满足一项评审标准得2分，针对每条评审标准，如存在不合理的方面扣0.5分，针对每条评审标准，内容与本项目无关或未提供得0分；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项目重点及难点分析</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根据本项目服务要求的相关内容，对供应商所提供以下内容进行评审：①项目特点、重点及难点分析；②重点及难点应对措施。 二.评审标准： ①合理性：分析内容全面合理，对各方面有详细的描述和说明； ②可实施性：切合本项目实际情况，分析清晰、可实施； ③针对性：分析紧扣项目特点和采购需求，针对性强，整体性高。 三.赋分标准（满分9分） ①项目特点、重点及难点分析，此评审满分4.5分，每完全满足一项评审标准得1.5分，针对每条评审标准，如存在不合理的方面扣0.5分，针对每条评审标准，内容与本项目无关或未提供得0分； ②重点及难点应对措施，此评审满分4.5分，每完全满足一项评审标准得1.5分，针对每条评审标准，如存在不合理的方面扣0.5分，针对每条评审标准，内容与本项目无关或未提供得0分。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工作进度计划及进度保证措施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根据本项目服务要求的相关内容，对供应商所提供以下内容进行评审：①工作进度计划；②进度保证措施； 二.评审标准： ①合理性：分析内容全面合理，对各方面有详细的描述和说明； ②可实施性：切合本项目实际情况，分析清晰、可实施； ③针对性：分析紧扣项目特点和采购需求，针对性强，整体性高。 三.赋分标准（满分9分） ①工作进度计划，此评审满分4.5分，每完全满足一项评审标准得1.5分，针对每条评审标准，如存在不合理的方面扣0.5分，针对每条评审标准，内容与本项目无关或未提供得0分； ②进度保证措施，此评审满分4.5分，每完全满足一项评审标准得1.5分，针对每条评审标准，如存在不合理的方面扣0.5分，针对每条评审标准，内容与本项目无关或未提供得0分。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质量及安全保证措施</w:t>
            </w:r>
          </w:p>
        </w:tc>
        <w:tc>
          <w:tcPr>
            <w:tcW w:type="dxa" w:w="2492"/>
          </w:tcPr>
          <w:p>
            <w:pPr>
              <w:pStyle w:val="null3"/>
            </w:pPr>
            <w:r>
              <w:rPr>
                <w:rFonts w:ascii="仿宋_GB2312" w:hAnsi="仿宋_GB2312" w:cs="仿宋_GB2312" w:eastAsia="仿宋_GB2312"/>
              </w:rPr>
              <w:t>一.评审内容： 根据本项目服务要求的相关内容，对供应商所提供以下内容进行评审：①质量保证措施方案；②安全保证措施； 二.评审标准： ①合理性：分析内容全面合理，对各方面有详细的描述和说明； ②可实施性：切合本项目实际情况，分析清晰、可实施； ③针对性：分析紧扣项目特点和采购需求，针对性强，整体性高。 三.赋分标准：（满分12分） ①质量保证措施方案，此评审项满分6分，每完全满足一条评审标准得2分；针对每条评审标准，如存在不合理的方面，扣0.5分；针对每条评审标准，方案内容与本项目无关或未提供的，得0分。 ②安全保证措施，此评审项满分6分，每完全满足一条评审标准得2分；针对每条评审标准，如存在不合理的方面，扣0.5分；针对每条评审标准，方案内容与本项目无关或未提供的，得0分。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服务保障体系</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根据本项目的服务要求的相关内容，对供应商所提供以下内容进行评审：①服务保障体系；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三.赋分标准（满分6分）： ①服务保障体系，此评审满分6分，每完全满足一项评审标准得2分，针对每条评审标准，如存在不合理的方面扣0.5分，针对每条评审标准，内容与本项目无关或未提供得0分；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拟派本项目团队（项目负责人）</w:t>
            </w:r>
          </w:p>
        </w:tc>
        <w:tc>
          <w:tcPr>
            <w:tcW w:type="dxa" w:w="2492"/>
          </w:tcPr>
          <w:p>
            <w:pPr>
              <w:pStyle w:val="null3"/>
            </w:pPr>
            <w:r>
              <w:rPr>
                <w:rFonts w:ascii="仿宋_GB2312" w:hAnsi="仿宋_GB2312" w:cs="仿宋_GB2312" w:eastAsia="仿宋_GB2312"/>
              </w:rPr>
              <w:t>一、项目负责人具有公路工程相关专业高级及以上职称，得3分，其他不得分； 评审依据：提供上述职称证书的复印件或扫描件。 二、每提供一个2021年1月1日至今担任过类似项目负责人的业绩得1分，最多得4分。 评审依据： 业绩证明资料（任命书或合同或其他证明材料，时间以签订时间为准，应体现项目负责人姓名）。项目负责人业绩可与企业业绩重复提供。</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拟派本项目团队（项目组成员）</w:t>
            </w:r>
          </w:p>
        </w:tc>
        <w:tc>
          <w:tcPr>
            <w:tcW w:type="dxa" w:w="2492"/>
          </w:tcPr>
          <w:p>
            <w:pPr>
              <w:pStyle w:val="null3"/>
            </w:pPr>
            <w:r>
              <w:rPr>
                <w:rFonts w:ascii="仿宋_GB2312" w:hAnsi="仿宋_GB2312" w:cs="仿宋_GB2312" w:eastAsia="仿宋_GB2312"/>
              </w:rPr>
              <w:t>一、除项目负责人外，拟派组成员每具有1名公路工程相关专业高级及以上职称得1分，本项目最多得4分； 评审依据：提供上述职称证书的复印件或扫描件。 二、除项目负责人外，以上人员每有1人具有注册土木工程师（道路工程）证书得1分，本项最多得4分。 评审依据：提供注册证书复印件或扫描件。</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拟派本项目人员团队.docx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根据本项目的服务要求的相关内容，对供应商所提供以下内容进行评审：①服务期限、质量、人员到位情况、后期服务等方面； 二.评审标准： ①完整性：管理制度科学、完善、健全，对各方面有详细的描述和说明。 ②合理性：有利于提升人员专业水平和职业素养、思路清晰，科学合理。 ③针对性：方案编制紧扣项目特点和采购需求，针对性强，整体性高。 三.赋分标准（满分3分）： ①服务期限、质量、人员到位情况、后期服务等方面，此评审满分3分，每完全满足一项评审标准得1分，针对每条评审标准，如存在不合理的方面扣0.5分，针对每条评审标准，内容与本项目无关或未提供得0分；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供应商提供2021年1月1日至今类似业绩证明材料，每提供1项有效业绩证明材料的计2分，满分为10分； 备注：业绩证明材料以合同的复印件或扫描件为准，时间以合同签订时间为准，业绩证明材料不符合要求的不得分。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 磋商报价得分=（磋商基准价/最后磋商报价）×15。 注：计算分数时四舍五入取小数点后两位。</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10.00%的扣除，用扣除后的价格参加评审。承接本项目的供应商符合相应条件时，给予10.00%的价格扣除，即：评标价=磋商最后报价×（1-10.00%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详见附件：拟派本项目人员团队.docx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详见附件：拟派本项目人员团队.docx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详见附件：供应商应提交的相关资格证明文件.docx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