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3D825D">
      <w:pPr>
        <w:pStyle w:val="4"/>
        <w:spacing w:beforeLines="0" w:afterLines="0"/>
        <w:jc w:val="center"/>
        <w:outlineLvl w:val="1"/>
        <w:rPr>
          <w:rFonts w:hint="default"/>
          <w:sz w:val="20"/>
          <w:szCs w:val="24"/>
        </w:rPr>
      </w:pPr>
      <w:r>
        <w:rPr>
          <w:rFonts w:hint="eastAsia" w:ascii="仿宋_GB2312" w:hAnsi="仿宋_GB2312" w:eastAsia="仿宋_GB2312" w:cs="仿宋_GB2312"/>
          <w:b/>
          <w:sz w:val="36"/>
          <w:szCs w:val="24"/>
        </w:rPr>
        <w:t>第八章 拟签订采购合同文本</w:t>
      </w:r>
    </w:p>
    <w:p w14:paraId="2F9C6220">
      <w:pPr>
        <w:spacing w:beforeLines="0" w:afterLines="0" w:line="480" w:lineRule="auto"/>
        <w:ind w:firstLine="482"/>
        <w:rPr>
          <w:rFonts w:hint="eastAsia" w:ascii="仿宋" w:hAnsi="仿宋" w:eastAsia="仿宋" w:cs="仿宋"/>
          <w:b/>
          <w:sz w:val="21"/>
          <w:szCs w:val="24"/>
          <w:u w:val="single"/>
        </w:rPr>
      </w:pPr>
      <w:r>
        <w:rPr>
          <w:rFonts w:hint="eastAsia" w:ascii="仿宋" w:hAnsi="仿宋" w:eastAsia="仿宋" w:cs="仿宋"/>
          <w:b/>
          <w:sz w:val="21"/>
          <w:szCs w:val="24"/>
        </w:rPr>
        <w:t>采购人（甲方）：</w:t>
      </w:r>
      <w:r>
        <w:rPr>
          <w:rFonts w:hint="eastAsia" w:ascii="仿宋" w:hAnsi="仿宋" w:eastAsia="仿宋" w:cs="仿宋"/>
          <w:b/>
          <w:sz w:val="21"/>
          <w:szCs w:val="24"/>
          <w:u w:val="single"/>
        </w:rPr>
        <w:t xml:space="preserve">                            </w:t>
      </w:r>
    </w:p>
    <w:p w14:paraId="28438D5C">
      <w:pPr>
        <w:spacing w:beforeLines="0" w:afterLines="0" w:line="480" w:lineRule="auto"/>
        <w:ind w:firstLine="482"/>
        <w:rPr>
          <w:rFonts w:hint="eastAsia" w:ascii="仿宋" w:hAnsi="仿宋" w:eastAsia="仿宋" w:cs="仿宋"/>
          <w:b/>
          <w:sz w:val="21"/>
          <w:szCs w:val="24"/>
        </w:rPr>
      </w:pPr>
      <w:r>
        <w:rPr>
          <w:rFonts w:hint="eastAsia" w:ascii="仿宋" w:hAnsi="仿宋" w:eastAsia="仿宋" w:cs="仿宋"/>
          <w:b/>
          <w:sz w:val="21"/>
          <w:szCs w:val="24"/>
        </w:rPr>
        <w:t>供应商（乙方）：</w:t>
      </w:r>
      <w:r>
        <w:rPr>
          <w:rFonts w:hint="eastAsia" w:ascii="仿宋" w:hAnsi="仿宋" w:eastAsia="仿宋" w:cs="仿宋"/>
          <w:b/>
          <w:sz w:val="21"/>
          <w:szCs w:val="24"/>
          <w:u w:val="single"/>
        </w:rPr>
        <w:t xml:space="preserve">                            </w:t>
      </w:r>
    </w:p>
    <w:p w14:paraId="36FDFBAE">
      <w:pPr>
        <w:spacing w:beforeLines="0" w:afterLines="0" w:line="360" w:lineRule="auto"/>
        <w:ind w:left="420" w:leftChars="200"/>
        <w:jc w:val="left"/>
        <w:rPr>
          <w:rFonts w:hint="eastAsia" w:ascii="仿宋" w:hAnsi="仿宋" w:eastAsia="仿宋" w:cs="仿宋"/>
          <w:sz w:val="21"/>
          <w:szCs w:val="24"/>
        </w:rPr>
      </w:pPr>
      <w:r>
        <w:rPr>
          <w:rFonts w:hint="eastAsia" w:ascii="仿宋" w:hAnsi="仿宋" w:eastAsia="仿宋" w:cs="仿宋"/>
          <w:sz w:val="21"/>
          <w:szCs w:val="24"/>
        </w:rPr>
        <w:t>根据《中华人民共和国政府采购法》、《中华人民共和国政府采购法实施条例》、《中华人民共和国民法典》、</w:t>
      </w:r>
      <w:r>
        <w:rPr>
          <w:rFonts w:hint="eastAsia" w:ascii="仿宋" w:hAnsi="仿宋" w:eastAsia="仿宋" w:cs="仿宋"/>
          <w:sz w:val="21"/>
          <w:szCs w:val="24"/>
          <w:highlight w:val="none"/>
        </w:rPr>
        <w:t>2025年心肺运动检测仪等医疗设备采购项目</w:t>
      </w:r>
      <w:r>
        <w:rPr>
          <w:rFonts w:hint="eastAsia" w:ascii="仿宋" w:hAnsi="仿宋" w:eastAsia="仿宋" w:cs="仿宋"/>
          <w:sz w:val="21"/>
          <w:szCs w:val="24"/>
        </w:rPr>
        <w:t>的谈判文件、谈判响应文件等有关规定，为确保采购项目的顺利实施，甲、乙双方在平等自愿原则下签订本合同，并共同遵守如下条款：</w:t>
      </w:r>
    </w:p>
    <w:p w14:paraId="04AC25E8">
      <w:pPr>
        <w:spacing w:beforeLines="0" w:afterLines="0" w:line="360" w:lineRule="auto"/>
        <w:ind w:left="420" w:leftChars="200"/>
        <w:jc w:val="left"/>
        <w:rPr>
          <w:rFonts w:hint="eastAsia" w:ascii="仿宋" w:hAnsi="仿宋" w:eastAsia="仿宋" w:cs="仿宋"/>
          <w:b/>
          <w:sz w:val="21"/>
          <w:szCs w:val="24"/>
          <w:lang w:eastAsia="zh-Hans"/>
        </w:rPr>
      </w:pPr>
      <w:bookmarkStart w:id="0" w:name="_Toc4669"/>
      <w:bookmarkStart w:id="1" w:name="_Toc14559"/>
      <w:bookmarkStart w:id="2" w:name="_Toc8838"/>
      <w:bookmarkStart w:id="3" w:name="_Toc29291"/>
      <w:bookmarkStart w:id="4" w:name="_Toc8039"/>
      <w:bookmarkStart w:id="5" w:name="_Toc23598"/>
      <w:r>
        <w:rPr>
          <w:rFonts w:hint="eastAsia" w:ascii="仿宋" w:hAnsi="仿宋" w:eastAsia="仿宋" w:cs="仿宋"/>
          <w:b/>
          <w:sz w:val="21"/>
          <w:szCs w:val="24"/>
          <w:lang w:eastAsia="zh-Hans"/>
        </w:rPr>
        <w:t>第一条 合同标的及数量</w:t>
      </w:r>
      <w:bookmarkEnd w:id="0"/>
      <w:bookmarkEnd w:id="1"/>
      <w:bookmarkEnd w:id="2"/>
      <w:bookmarkEnd w:id="3"/>
      <w:bookmarkEnd w:id="4"/>
      <w:bookmarkEnd w:id="5"/>
    </w:p>
    <w:p w14:paraId="13F047F5">
      <w:pPr>
        <w:spacing w:beforeLines="0" w:afterLines="0" w:line="360" w:lineRule="auto"/>
        <w:jc w:val="center"/>
        <w:rPr>
          <w:rFonts w:hint="eastAsia" w:ascii="仿宋" w:hAnsi="仿宋" w:eastAsia="仿宋" w:cs="仿宋"/>
          <w:b/>
          <w:sz w:val="21"/>
          <w:szCs w:val="24"/>
          <w:lang w:eastAsia="zh-Hans"/>
        </w:rPr>
      </w:pPr>
      <w:r>
        <w:rPr>
          <w:rFonts w:hint="eastAsia" w:ascii="仿宋" w:hAnsi="仿宋" w:eastAsia="仿宋" w:cs="仿宋"/>
          <w:b/>
          <w:sz w:val="21"/>
          <w:szCs w:val="24"/>
          <w:lang w:eastAsia="zh-Hans"/>
        </w:rPr>
        <w:t>供货一览表</w:t>
      </w:r>
    </w:p>
    <w:tbl>
      <w:tblPr>
        <w:tblStyle w:val="2"/>
        <w:tblpPr w:leftFromText="180" w:rightFromText="180" w:vertAnchor="text" w:horzAnchor="margin" w:tblpXSpec="center" w:tblpY="309"/>
        <w:tblW w:w="9075"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7"/>
        <w:gridCol w:w="1350"/>
        <w:gridCol w:w="1866"/>
        <w:gridCol w:w="1193"/>
        <w:gridCol w:w="1125"/>
        <w:gridCol w:w="1287"/>
        <w:gridCol w:w="1487"/>
      </w:tblGrid>
      <w:tr w14:paraId="7AEE105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7" w:type="dxa"/>
            <w:tcBorders>
              <w:top w:val="double" w:color="auto" w:sz="4" w:space="0"/>
              <w:left w:val="double" w:color="auto" w:sz="4" w:space="0"/>
              <w:bottom w:val="single" w:color="auto" w:sz="4" w:space="0"/>
              <w:right w:val="single" w:color="auto" w:sz="4" w:space="0"/>
              <w:tl2br w:val="nil"/>
              <w:tr2bl w:val="nil"/>
            </w:tcBorders>
            <w:noWrap w:val="0"/>
            <w:vAlign w:val="center"/>
          </w:tcPr>
          <w:p w14:paraId="33359B35">
            <w:pPr>
              <w:spacing w:beforeLines="0" w:afterLines="0"/>
              <w:jc w:val="center"/>
              <w:rPr>
                <w:rFonts w:hint="eastAsia" w:ascii="仿宋" w:hAnsi="仿宋" w:eastAsia="仿宋" w:cs="仿宋"/>
                <w:sz w:val="21"/>
                <w:szCs w:val="24"/>
              </w:rPr>
            </w:pPr>
            <w:r>
              <w:rPr>
                <w:rFonts w:hint="eastAsia" w:ascii="仿宋" w:hAnsi="仿宋" w:eastAsia="仿宋" w:cs="仿宋"/>
                <w:sz w:val="21"/>
                <w:szCs w:val="24"/>
              </w:rPr>
              <w:t>序号</w:t>
            </w:r>
          </w:p>
        </w:tc>
        <w:tc>
          <w:tcPr>
            <w:tcW w:w="1350" w:type="dxa"/>
            <w:tcBorders>
              <w:top w:val="double" w:color="auto" w:sz="4" w:space="0"/>
              <w:left w:val="single" w:color="auto" w:sz="4" w:space="0"/>
              <w:bottom w:val="single" w:color="auto" w:sz="4" w:space="0"/>
              <w:right w:val="single" w:color="auto" w:sz="4" w:space="0"/>
              <w:tl2br w:val="nil"/>
              <w:tr2bl w:val="nil"/>
            </w:tcBorders>
            <w:noWrap w:val="0"/>
            <w:vAlign w:val="center"/>
          </w:tcPr>
          <w:p w14:paraId="5DAAAE9B">
            <w:pPr>
              <w:spacing w:beforeLines="0" w:afterLines="0"/>
              <w:jc w:val="center"/>
              <w:rPr>
                <w:rFonts w:hint="eastAsia" w:ascii="仿宋" w:hAnsi="仿宋" w:eastAsia="仿宋" w:cs="仿宋"/>
                <w:sz w:val="21"/>
                <w:szCs w:val="24"/>
              </w:rPr>
            </w:pPr>
            <w:r>
              <w:rPr>
                <w:rFonts w:hint="eastAsia" w:ascii="仿宋" w:hAnsi="仿宋" w:eastAsia="仿宋" w:cs="仿宋"/>
                <w:sz w:val="21"/>
                <w:szCs w:val="24"/>
              </w:rPr>
              <w:t>货物名称</w:t>
            </w:r>
          </w:p>
        </w:tc>
        <w:tc>
          <w:tcPr>
            <w:tcW w:w="1866" w:type="dxa"/>
            <w:tcBorders>
              <w:top w:val="double" w:color="auto" w:sz="4" w:space="0"/>
              <w:left w:val="single" w:color="auto" w:sz="4" w:space="0"/>
              <w:bottom w:val="single" w:color="auto" w:sz="4" w:space="0"/>
              <w:right w:val="single" w:color="auto" w:sz="4" w:space="0"/>
              <w:tl2br w:val="nil"/>
              <w:tr2bl w:val="nil"/>
            </w:tcBorders>
            <w:noWrap w:val="0"/>
            <w:vAlign w:val="center"/>
          </w:tcPr>
          <w:p w14:paraId="407E4749">
            <w:pPr>
              <w:spacing w:beforeLines="0" w:afterLines="0"/>
              <w:jc w:val="center"/>
              <w:rPr>
                <w:rFonts w:hint="eastAsia" w:ascii="仿宋" w:hAnsi="仿宋" w:eastAsia="仿宋" w:cs="仿宋"/>
                <w:sz w:val="21"/>
                <w:szCs w:val="24"/>
              </w:rPr>
            </w:pPr>
            <w:r>
              <w:rPr>
                <w:rFonts w:hint="eastAsia" w:ascii="仿宋" w:hAnsi="仿宋" w:eastAsia="仿宋" w:cs="仿宋"/>
                <w:sz w:val="21"/>
                <w:szCs w:val="24"/>
              </w:rPr>
              <w:t>规格及型号</w:t>
            </w:r>
          </w:p>
        </w:tc>
        <w:tc>
          <w:tcPr>
            <w:tcW w:w="1193" w:type="dxa"/>
            <w:tcBorders>
              <w:top w:val="double" w:color="auto" w:sz="4" w:space="0"/>
              <w:left w:val="single" w:color="auto" w:sz="4" w:space="0"/>
              <w:bottom w:val="single" w:color="auto" w:sz="4" w:space="0"/>
              <w:right w:val="single" w:color="auto" w:sz="4" w:space="0"/>
              <w:tl2br w:val="nil"/>
              <w:tr2bl w:val="nil"/>
            </w:tcBorders>
            <w:noWrap w:val="0"/>
            <w:vAlign w:val="center"/>
          </w:tcPr>
          <w:p w14:paraId="63B70F1B">
            <w:pPr>
              <w:spacing w:beforeLines="0" w:afterLines="0"/>
              <w:jc w:val="center"/>
              <w:rPr>
                <w:rFonts w:hint="eastAsia" w:ascii="仿宋" w:hAnsi="仿宋" w:eastAsia="仿宋" w:cs="仿宋"/>
                <w:sz w:val="21"/>
                <w:szCs w:val="24"/>
              </w:rPr>
            </w:pPr>
            <w:r>
              <w:rPr>
                <w:rFonts w:hint="eastAsia" w:ascii="仿宋" w:hAnsi="仿宋" w:eastAsia="仿宋" w:cs="仿宋"/>
                <w:sz w:val="21"/>
                <w:szCs w:val="24"/>
              </w:rPr>
              <w:t>计量单位</w:t>
            </w:r>
          </w:p>
        </w:tc>
        <w:tc>
          <w:tcPr>
            <w:tcW w:w="1125" w:type="dxa"/>
            <w:tcBorders>
              <w:top w:val="double" w:color="auto" w:sz="4" w:space="0"/>
              <w:left w:val="single" w:color="auto" w:sz="4" w:space="0"/>
              <w:bottom w:val="single" w:color="auto" w:sz="4" w:space="0"/>
              <w:right w:val="single" w:color="auto" w:sz="4" w:space="0"/>
              <w:tl2br w:val="nil"/>
              <w:tr2bl w:val="nil"/>
            </w:tcBorders>
            <w:noWrap w:val="0"/>
            <w:vAlign w:val="center"/>
          </w:tcPr>
          <w:p w14:paraId="08C0A022">
            <w:pPr>
              <w:spacing w:beforeLines="0" w:afterLines="0"/>
              <w:jc w:val="center"/>
              <w:rPr>
                <w:rFonts w:hint="eastAsia" w:ascii="仿宋" w:hAnsi="仿宋" w:eastAsia="仿宋" w:cs="仿宋"/>
                <w:sz w:val="21"/>
                <w:szCs w:val="24"/>
              </w:rPr>
            </w:pPr>
            <w:r>
              <w:rPr>
                <w:rFonts w:hint="eastAsia" w:ascii="仿宋" w:hAnsi="仿宋" w:eastAsia="仿宋" w:cs="仿宋"/>
                <w:sz w:val="21"/>
                <w:szCs w:val="24"/>
              </w:rPr>
              <w:t>数量</w:t>
            </w:r>
          </w:p>
        </w:tc>
        <w:tc>
          <w:tcPr>
            <w:tcW w:w="1287" w:type="dxa"/>
            <w:tcBorders>
              <w:top w:val="double" w:color="auto" w:sz="4" w:space="0"/>
              <w:left w:val="single" w:color="auto" w:sz="4" w:space="0"/>
              <w:bottom w:val="single" w:color="auto" w:sz="4" w:space="0"/>
              <w:right w:val="single" w:color="auto" w:sz="4" w:space="0"/>
              <w:tl2br w:val="nil"/>
              <w:tr2bl w:val="nil"/>
            </w:tcBorders>
            <w:noWrap w:val="0"/>
            <w:vAlign w:val="center"/>
          </w:tcPr>
          <w:p w14:paraId="0895557C">
            <w:pPr>
              <w:spacing w:beforeLines="0" w:afterLines="0"/>
              <w:jc w:val="center"/>
              <w:rPr>
                <w:rFonts w:hint="eastAsia" w:ascii="仿宋" w:hAnsi="仿宋" w:eastAsia="仿宋" w:cs="仿宋"/>
                <w:sz w:val="21"/>
                <w:szCs w:val="24"/>
              </w:rPr>
            </w:pPr>
            <w:r>
              <w:rPr>
                <w:rFonts w:hint="eastAsia" w:ascii="仿宋" w:hAnsi="仿宋" w:eastAsia="仿宋" w:cs="仿宋"/>
                <w:sz w:val="21"/>
                <w:szCs w:val="24"/>
              </w:rPr>
              <w:t>单价（元）</w:t>
            </w:r>
          </w:p>
        </w:tc>
        <w:tc>
          <w:tcPr>
            <w:tcW w:w="1487" w:type="dxa"/>
            <w:tcBorders>
              <w:top w:val="double" w:color="auto" w:sz="4" w:space="0"/>
              <w:left w:val="single" w:color="auto" w:sz="4" w:space="0"/>
              <w:bottom w:val="single" w:color="auto" w:sz="4" w:space="0"/>
              <w:right w:val="double" w:color="auto" w:sz="4" w:space="0"/>
              <w:tl2br w:val="nil"/>
              <w:tr2bl w:val="nil"/>
            </w:tcBorders>
            <w:noWrap w:val="0"/>
            <w:vAlign w:val="center"/>
          </w:tcPr>
          <w:p w14:paraId="02657436">
            <w:pPr>
              <w:spacing w:beforeLines="0" w:afterLines="0"/>
              <w:jc w:val="center"/>
              <w:rPr>
                <w:rFonts w:hint="eastAsia" w:ascii="仿宋" w:hAnsi="仿宋" w:eastAsia="仿宋" w:cs="仿宋"/>
                <w:sz w:val="21"/>
                <w:szCs w:val="24"/>
              </w:rPr>
            </w:pPr>
            <w:r>
              <w:rPr>
                <w:rFonts w:hint="eastAsia" w:ascii="仿宋" w:hAnsi="仿宋" w:eastAsia="仿宋" w:cs="仿宋"/>
                <w:sz w:val="21"/>
                <w:szCs w:val="24"/>
              </w:rPr>
              <w:t>金额（元）</w:t>
            </w:r>
          </w:p>
        </w:tc>
      </w:tr>
      <w:tr w14:paraId="57116BE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7" w:type="dxa"/>
            <w:tcBorders>
              <w:top w:val="single" w:color="auto" w:sz="4" w:space="0"/>
              <w:left w:val="double" w:color="auto" w:sz="4" w:space="0"/>
              <w:bottom w:val="single" w:color="auto" w:sz="4" w:space="0"/>
              <w:right w:val="single" w:color="auto" w:sz="4" w:space="0"/>
              <w:tl2br w:val="nil"/>
              <w:tr2bl w:val="nil"/>
            </w:tcBorders>
            <w:noWrap w:val="0"/>
            <w:vAlign w:val="top"/>
          </w:tcPr>
          <w:p w14:paraId="63709F84">
            <w:pPr>
              <w:spacing w:beforeLines="0" w:afterLines="0"/>
              <w:jc w:val="center"/>
              <w:rPr>
                <w:rFonts w:hint="eastAsia" w:ascii="仿宋" w:hAnsi="仿宋" w:eastAsia="仿宋" w:cs="仿宋"/>
                <w:sz w:val="21"/>
                <w:szCs w:val="24"/>
              </w:rPr>
            </w:pPr>
          </w:p>
        </w:tc>
        <w:tc>
          <w:tcPr>
            <w:tcW w:w="1350" w:type="dxa"/>
            <w:tcBorders>
              <w:top w:val="single" w:color="auto" w:sz="4" w:space="0"/>
              <w:left w:val="single" w:color="auto" w:sz="4" w:space="0"/>
              <w:bottom w:val="single" w:color="auto" w:sz="4" w:space="0"/>
              <w:right w:val="single" w:color="auto" w:sz="4" w:space="0"/>
              <w:tl2br w:val="nil"/>
              <w:tr2bl w:val="nil"/>
            </w:tcBorders>
            <w:noWrap w:val="0"/>
            <w:vAlign w:val="top"/>
          </w:tcPr>
          <w:p w14:paraId="2D85D4ED">
            <w:pPr>
              <w:spacing w:beforeLines="0" w:afterLines="0"/>
              <w:jc w:val="center"/>
              <w:rPr>
                <w:rFonts w:hint="eastAsia" w:ascii="仿宋" w:hAnsi="仿宋" w:eastAsia="仿宋" w:cs="仿宋"/>
                <w:sz w:val="21"/>
                <w:szCs w:val="24"/>
              </w:rPr>
            </w:pPr>
          </w:p>
        </w:tc>
        <w:tc>
          <w:tcPr>
            <w:tcW w:w="1866" w:type="dxa"/>
            <w:tcBorders>
              <w:top w:val="single" w:color="auto" w:sz="4" w:space="0"/>
              <w:left w:val="single" w:color="auto" w:sz="4" w:space="0"/>
              <w:bottom w:val="single" w:color="auto" w:sz="4" w:space="0"/>
              <w:right w:val="single" w:color="auto" w:sz="4" w:space="0"/>
              <w:tl2br w:val="nil"/>
              <w:tr2bl w:val="nil"/>
            </w:tcBorders>
            <w:noWrap w:val="0"/>
            <w:vAlign w:val="top"/>
          </w:tcPr>
          <w:p w14:paraId="0920020A">
            <w:pPr>
              <w:spacing w:beforeLines="0" w:afterLines="0"/>
              <w:jc w:val="center"/>
              <w:rPr>
                <w:rFonts w:hint="eastAsia" w:ascii="仿宋" w:hAnsi="仿宋" w:eastAsia="仿宋" w:cs="仿宋"/>
                <w:sz w:val="21"/>
                <w:szCs w:val="24"/>
              </w:rPr>
            </w:pPr>
          </w:p>
        </w:tc>
        <w:tc>
          <w:tcPr>
            <w:tcW w:w="1193" w:type="dxa"/>
            <w:tcBorders>
              <w:top w:val="single" w:color="auto" w:sz="4" w:space="0"/>
              <w:left w:val="single" w:color="auto" w:sz="4" w:space="0"/>
              <w:bottom w:val="single" w:color="auto" w:sz="4" w:space="0"/>
              <w:right w:val="single" w:color="auto" w:sz="4" w:space="0"/>
              <w:tl2br w:val="nil"/>
              <w:tr2bl w:val="nil"/>
            </w:tcBorders>
            <w:noWrap w:val="0"/>
            <w:vAlign w:val="top"/>
          </w:tcPr>
          <w:p w14:paraId="1115D5AD">
            <w:pPr>
              <w:spacing w:beforeLines="0" w:afterLines="0"/>
              <w:jc w:val="center"/>
              <w:rPr>
                <w:rFonts w:hint="eastAsia" w:ascii="仿宋" w:hAnsi="仿宋" w:eastAsia="仿宋" w:cs="仿宋"/>
                <w:sz w:val="21"/>
                <w:szCs w:val="24"/>
              </w:rPr>
            </w:pPr>
          </w:p>
        </w:tc>
        <w:tc>
          <w:tcPr>
            <w:tcW w:w="1125" w:type="dxa"/>
            <w:tcBorders>
              <w:top w:val="single" w:color="auto" w:sz="4" w:space="0"/>
              <w:left w:val="single" w:color="auto" w:sz="4" w:space="0"/>
              <w:bottom w:val="single" w:color="auto" w:sz="4" w:space="0"/>
              <w:right w:val="single" w:color="auto" w:sz="4" w:space="0"/>
              <w:tl2br w:val="nil"/>
              <w:tr2bl w:val="nil"/>
            </w:tcBorders>
            <w:noWrap w:val="0"/>
            <w:vAlign w:val="top"/>
          </w:tcPr>
          <w:p w14:paraId="13F2748B">
            <w:pPr>
              <w:spacing w:beforeLines="0" w:afterLines="0"/>
              <w:jc w:val="center"/>
              <w:rPr>
                <w:rFonts w:hint="eastAsia" w:ascii="仿宋" w:hAnsi="仿宋" w:eastAsia="仿宋" w:cs="仿宋"/>
                <w:sz w:val="21"/>
                <w:szCs w:val="24"/>
              </w:rPr>
            </w:pPr>
          </w:p>
        </w:tc>
        <w:tc>
          <w:tcPr>
            <w:tcW w:w="1287" w:type="dxa"/>
            <w:tcBorders>
              <w:top w:val="single" w:color="auto" w:sz="4" w:space="0"/>
              <w:left w:val="single" w:color="auto" w:sz="4" w:space="0"/>
              <w:bottom w:val="single" w:color="auto" w:sz="4" w:space="0"/>
              <w:right w:val="single" w:color="auto" w:sz="4" w:space="0"/>
              <w:tl2br w:val="nil"/>
              <w:tr2bl w:val="nil"/>
            </w:tcBorders>
            <w:noWrap w:val="0"/>
            <w:vAlign w:val="top"/>
          </w:tcPr>
          <w:p w14:paraId="12CCD71E">
            <w:pPr>
              <w:spacing w:beforeLines="0" w:afterLines="0"/>
              <w:jc w:val="center"/>
              <w:rPr>
                <w:rFonts w:hint="eastAsia" w:ascii="仿宋" w:hAnsi="仿宋" w:eastAsia="仿宋" w:cs="仿宋"/>
                <w:sz w:val="21"/>
                <w:szCs w:val="24"/>
              </w:rPr>
            </w:pPr>
          </w:p>
        </w:tc>
        <w:tc>
          <w:tcPr>
            <w:tcW w:w="1487" w:type="dxa"/>
            <w:tcBorders>
              <w:top w:val="single" w:color="auto" w:sz="4" w:space="0"/>
              <w:left w:val="single" w:color="auto" w:sz="4" w:space="0"/>
              <w:bottom w:val="single" w:color="auto" w:sz="4" w:space="0"/>
              <w:right w:val="double" w:color="auto" w:sz="4" w:space="0"/>
              <w:tl2br w:val="nil"/>
              <w:tr2bl w:val="nil"/>
            </w:tcBorders>
            <w:noWrap w:val="0"/>
            <w:vAlign w:val="top"/>
          </w:tcPr>
          <w:p w14:paraId="623869C1">
            <w:pPr>
              <w:spacing w:beforeLines="0" w:afterLines="0"/>
              <w:jc w:val="center"/>
              <w:rPr>
                <w:rFonts w:hint="eastAsia" w:ascii="仿宋" w:hAnsi="仿宋" w:eastAsia="仿宋" w:cs="仿宋"/>
                <w:sz w:val="21"/>
                <w:szCs w:val="24"/>
              </w:rPr>
            </w:pPr>
          </w:p>
        </w:tc>
      </w:tr>
      <w:tr w14:paraId="7005BAE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7" w:type="dxa"/>
            <w:tcBorders>
              <w:top w:val="single" w:color="auto" w:sz="4" w:space="0"/>
              <w:left w:val="double" w:color="auto" w:sz="4" w:space="0"/>
              <w:bottom w:val="single" w:color="auto" w:sz="4" w:space="0"/>
              <w:right w:val="single" w:color="auto" w:sz="4" w:space="0"/>
              <w:tl2br w:val="nil"/>
              <w:tr2bl w:val="nil"/>
            </w:tcBorders>
            <w:noWrap w:val="0"/>
            <w:vAlign w:val="top"/>
          </w:tcPr>
          <w:p w14:paraId="7D6FC267">
            <w:pPr>
              <w:spacing w:beforeLines="0" w:afterLines="0"/>
              <w:jc w:val="center"/>
              <w:rPr>
                <w:rFonts w:hint="eastAsia" w:ascii="仿宋" w:hAnsi="仿宋" w:eastAsia="仿宋" w:cs="仿宋"/>
                <w:sz w:val="21"/>
                <w:szCs w:val="24"/>
              </w:rPr>
            </w:pPr>
          </w:p>
        </w:tc>
        <w:tc>
          <w:tcPr>
            <w:tcW w:w="1350" w:type="dxa"/>
            <w:tcBorders>
              <w:top w:val="single" w:color="auto" w:sz="4" w:space="0"/>
              <w:left w:val="single" w:color="auto" w:sz="4" w:space="0"/>
              <w:bottom w:val="single" w:color="auto" w:sz="4" w:space="0"/>
              <w:right w:val="single" w:color="auto" w:sz="4" w:space="0"/>
              <w:tl2br w:val="nil"/>
              <w:tr2bl w:val="nil"/>
            </w:tcBorders>
            <w:noWrap w:val="0"/>
            <w:vAlign w:val="top"/>
          </w:tcPr>
          <w:p w14:paraId="4644A4B4">
            <w:pPr>
              <w:spacing w:beforeLines="0" w:afterLines="0"/>
              <w:jc w:val="center"/>
              <w:rPr>
                <w:rFonts w:hint="eastAsia" w:ascii="仿宋" w:hAnsi="仿宋" w:eastAsia="仿宋" w:cs="仿宋"/>
                <w:sz w:val="21"/>
                <w:szCs w:val="24"/>
              </w:rPr>
            </w:pPr>
          </w:p>
        </w:tc>
        <w:tc>
          <w:tcPr>
            <w:tcW w:w="1866" w:type="dxa"/>
            <w:tcBorders>
              <w:top w:val="single" w:color="auto" w:sz="4" w:space="0"/>
              <w:left w:val="single" w:color="auto" w:sz="4" w:space="0"/>
              <w:bottom w:val="single" w:color="auto" w:sz="4" w:space="0"/>
              <w:right w:val="single" w:color="auto" w:sz="4" w:space="0"/>
              <w:tl2br w:val="nil"/>
              <w:tr2bl w:val="nil"/>
            </w:tcBorders>
            <w:noWrap w:val="0"/>
            <w:vAlign w:val="top"/>
          </w:tcPr>
          <w:p w14:paraId="6AAA9B07">
            <w:pPr>
              <w:spacing w:beforeLines="0" w:afterLines="0"/>
              <w:jc w:val="center"/>
              <w:rPr>
                <w:rFonts w:hint="eastAsia" w:ascii="仿宋" w:hAnsi="仿宋" w:eastAsia="仿宋" w:cs="仿宋"/>
                <w:sz w:val="21"/>
                <w:szCs w:val="24"/>
              </w:rPr>
            </w:pPr>
          </w:p>
        </w:tc>
        <w:tc>
          <w:tcPr>
            <w:tcW w:w="1193" w:type="dxa"/>
            <w:tcBorders>
              <w:top w:val="single" w:color="auto" w:sz="4" w:space="0"/>
              <w:left w:val="single" w:color="auto" w:sz="4" w:space="0"/>
              <w:bottom w:val="single" w:color="auto" w:sz="4" w:space="0"/>
              <w:right w:val="single" w:color="auto" w:sz="4" w:space="0"/>
              <w:tl2br w:val="nil"/>
              <w:tr2bl w:val="nil"/>
            </w:tcBorders>
            <w:noWrap w:val="0"/>
            <w:vAlign w:val="top"/>
          </w:tcPr>
          <w:p w14:paraId="4AF49FE6">
            <w:pPr>
              <w:spacing w:beforeLines="0" w:afterLines="0"/>
              <w:jc w:val="center"/>
              <w:rPr>
                <w:rFonts w:hint="eastAsia" w:ascii="仿宋" w:hAnsi="仿宋" w:eastAsia="仿宋" w:cs="仿宋"/>
                <w:sz w:val="21"/>
                <w:szCs w:val="24"/>
              </w:rPr>
            </w:pPr>
          </w:p>
        </w:tc>
        <w:tc>
          <w:tcPr>
            <w:tcW w:w="1125" w:type="dxa"/>
            <w:tcBorders>
              <w:top w:val="single" w:color="auto" w:sz="4" w:space="0"/>
              <w:left w:val="single" w:color="auto" w:sz="4" w:space="0"/>
              <w:bottom w:val="single" w:color="auto" w:sz="4" w:space="0"/>
              <w:right w:val="single" w:color="auto" w:sz="4" w:space="0"/>
              <w:tl2br w:val="nil"/>
              <w:tr2bl w:val="nil"/>
            </w:tcBorders>
            <w:noWrap w:val="0"/>
            <w:vAlign w:val="top"/>
          </w:tcPr>
          <w:p w14:paraId="021AC5AC">
            <w:pPr>
              <w:spacing w:beforeLines="0" w:afterLines="0"/>
              <w:jc w:val="center"/>
              <w:rPr>
                <w:rFonts w:hint="eastAsia" w:ascii="仿宋" w:hAnsi="仿宋" w:eastAsia="仿宋" w:cs="仿宋"/>
                <w:sz w:val="21"/>
                <w:szCs w:val="24"/>
              </w:rPr>
            </w:pPr>
          </w:p>
        </w:tc>
        <w:tc>
          <w:tcPr>
            <w:tcW w:w="1287" w:type="dxa"/>
            <w:tcBorders>
              <w:top w:val="single" w:color="auto" w:sz="4" w:space="0"/>
              <w:left w:val="single" w:color="auto" w:sz="4" w:space="0"/>
              <w:bottom w:val="single" w:color="auto" w:sz="4" w:space="0"/>
              <w:right w:val="single" w:color="auto" w:sz="4" w:space="0"/>
              <w:tl2br w:val="nil"/>
              <w:tr2bl w:val="nil"/>
            </w:tcBorders>
            <w:noWrap w:val="0"/>
            <w:vAlign w:val="top"/>
          </w:tcPr>
          <w:p w14:paraId="379E1787">
            <w:pPr>
              <w:spacing w:beforeLines="0" w:afterLines="0"/>
              <w:jc w:val="center"/>
              <w:rPr>
                <w:rFonts w:hint="eastAsia" w:ascii="仿宋" w:hAnsi="仿宋" w:eastAsia="仿宋" w:cs="仿宋"/>
                <w:sz w:val="21"/>
                <w:szCs w:val="24"/>
              </w:rPr>
            </w:pPr>
          </w:p>
        </w:tc>
        <w:tc>
          <w:tcPr>
            <w:tcW w:w="1487" w:type="dxa"/>
            <w:tcBorders>
              <w:top w:val="single" w:color="auto" w:sz="4" w:space="0"/>
              <w:left w:val="single" w:color="auto" w:sz="4" w:space="0"/>
              <w:bottom w:val="single" w:color="auto" w:sz="4" w:space="0"/>
              <w:right w:val="double" w:color="auto" w:sz="4" w:space="0"/>
              <w:tl2br w:val="nil"/>
              <w:tr2bl w:val="nil"/>
            </w:tcBorders>
            <w:noWrap w:val="0"/>
            <w:vAlign w:val="top"/>
          </w:tcPr>
          <w:p w14:paraId="593D1350">
            <w:pPr>
              <w:spacing w:beforeLines="0" w:afterLines="0"/>
              <w:jc w:val="center"/>
              <w:rPr>
                <w:rFonts w:hint="eastAsia" w:ascii="仿宋" w:hAnsi="仿宋" w:eastAsia="仿宋" w:cs="仿宋"/>
                <w:sz w:val="21"/>
                <w:szCs w:val="24"/>
              </w:rPr>
            </w:pPr>
          </w:p>
        </w:tc>
      </w:tr>
      <w:tr w14:paraId="36B94C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17" w:type="dxa"/>
            <w:gridSpan w:val="2"/>
            <w:tcBorders>
              <w:top w:val="single" w:color="auto" w:sz="4" w:space="0"/>
              <w:left w:val="double" w:color="auto" w:sz="4" w:space="0"/>
              <w:bottom w:val="double" w:color="auto" w:sz="4" w:space="0"/>
              <w:right w:val="single" w:color="auto" w:sz="4" w:space="0"/>
              <w:tl2br w:val="nil"/>
              <w:tr2bl w:val="nil"/>
            </w:tcBorders>
            <w:noWrap w:val="0"/>
            <w:vAlign w:val="center"/>
          </w:tcPr>
          <w:p w14:paraId="1A6D358B">
            <w:pPr>
              <w:spacing w:beforeLines="0" w:afterLines="0"/>
              <w:jc w:val="center"/>
              <w:rPr>
                <w:rFonts w:hint="eastAsia" w:ascii="仿宋" w:hAnsi="仿宋" w:eastAsia="仿宋" w:cs="仿宋"/>
                <w:sz w:val="21"/>
                <w:szCs w:val="24"/>
              </w:rPr>
            </w:pPr>
            <w:r>
              <w:rPr>
                <w:rFonts w:hint="eastAsia" w:ascii="仿宋" w:hAnsi="仿宋" w:eastAsia="仿宋" w:cs="仿宋"/>
                <w:sz w:val="21"/>
                <w:szCs w:val="24"/>
              </w:rPr>
              <w:t>合计</w:t>
            </w:r>
          </w:p>
        </w:tc>
        <w:tc>
          <w:tcPr>
            <w:tcW w:w="4184" w:type="dxa"/>
            <w:gridSpan w:val="3"/>
            <w:tcBorders>
              <w:top w:val="single" w:color="auto" w:sz="4" w:space="0"/>
              <w:left w:val="single" w:color="auto" w:sz="4" w:space="0"/>
              <w:bottom w:val="double" w:color="auto" w:sz="4" w:space="0"/>
              <w:right w:val="single" w:color="auto" w:sz="4" w:space="0"/>
              <w:tl2br w:val="nil"/>
              <w:tr2bl w:val="nil"/>
            </w:tcBorders>
            <w:noWrap w:val="0"/>
            <w:vAlign w:val="center"/>
          </w:tcPr>
          <w:p w14:paraId="3D341FF7">
            <w:pPr>
              <w:spacing w:beforeLines="0" w:afterLines="0"/>
              <w:ind w:firstLine="480"/>
              <w:rPr>
                <w:rFonts w:hint="eastAsia" w:ascii="仿宋" w:hAnsi="仿宋" w:eastAsia="仿宋" w:cs="仿宋"/>
                <w:sz w:val="21"/>
                <w:szCs w:val="24"/>
              </w:rPr>
            </w:pPr>
            <w:r>
              <w:rPr>
                <w:rFonts w:hint="eastAsia" w:ascii="仿宋" w:hAnsi="仿宋" w:eastAsia="仿宋" w:cs="仿宋"/>
                <w:sz w:val="21"/>
                <w:szCs w:val="24"/>
              </w:rPr>
              <w:t>大写</w:t>
            </w:r>
          </w:p>
        </w:tc>
        <w:tc>
          <w:tcPr>
            <w:tcW w:w="2774" w:type="dxa"/>
            <w:gridSpan w:val="2"/>
            <w:tcBorders>
              <w:top w:val="single" w:color="auto" w:sz="4" w:space="0"/>
              <w:left w:val="single" w:color="auto" w:sz="4" w:space="0"/>
              <w:bottom w:val="double" w:color="auto" w:sz="4" w:space="0"/>
              <w:right w:val="double" w:color="auto" w:sz="4" w:space="0"/>
              <w:tl2br w:val="nil"/>
              <w:tr2bl w:val="nil"/>
            </w:tcBorders>
            <w:noWrap w:val="0"/>
            <w:vAlign w:val="center"/>
          </w:tcPr>
          <w:p w14:paraId="5D3A6C88">
            <w:pPr>
              <w:spacing w:beforeLines="0" w:afterLines="0"/>
              <w:ind w:firstLine="480"/>
              <w:rPr>
                <w:rFonts w:hint="eastAsia" w:ascii="仿宋" w:hAnsi="仿宋" w:eastAsia="仿宋" w:cs="仿宋"/>
                <w:sz w:val="21"/>
                <w:szCs w:val="24"/>
              </w:rPr>
            </w:pPr>
            <w:r>
              <w:rPr>
                <w:rFonts w:hint="eastAsia" w:ascii="仿宋" w:hAnsi="仿宋" w:eastAsia="仿宋" w:cs="仿宋"/>
                <w:sz w:val="21"/>
                <w:szCs w:val="24"/>
              </w:rPr>
              <w:t>￥</w:t>
            </w:r>
          </w:p>
        </w:tc>
      </w:tr>
    </w:tbl>
    <w:p w14:paraId="6667328C">
      <w:pPr>
        <w:spacing w:beforeLines="0" w:afterLines="0" w:line="360" w:lineRule="auto"/>
        <w:ind w:left="420" w:leftChars="200"/>
        <w:jc w:val="left"/>
        <w:rPr>
          <w:rFonts w:hint="eastAsia" w:ascii="仿宋" w:hAnsi="仿宋" w:eastAsia="仿宋" w:cs="仿宋"/>
          <w:b/>
          <w:sz w:val="21"/>
          <w:szCs w:val="24"/>
          <w:lang w:eastAsia="zh-Hans"/>
        </w:rPr>
      </w:pPr>
      <w:bookmarkStart w:id="6" w:name="_Toc28546"/>
      <w:bookmarkStart w:id="7" w:name="_Toc29662"/>
      <w:bookmarkStart w:id="8" w:name="_Toc8661"/>
      <w:bookmarkStart w:id="9" w:name="_Toc29869"/>
      <w:bookmarkStart w:id="10" w:name="_Toc32014"/>
      <w:bookmarkStart w:id="11" w:name="_Toc25861"/>
      <w:r>
        <w:rPr>
          <w:rFonts w:hint="eastAsia" w:ascii="仿宋" w:hAnsi="仿宋" w:eastAsia="仿宋" w:cs="仿宋"/>
          <w:b/>
          <w:sz w:val="21"/>
          <w:szCs w:val="24"/>
          <w:lang w:eastAsia="zh-Hans"/>
        </w:rPr>
        <w:t>第二条 合同价款</w:t>
      </w:r>
      <w:bookmarkEnd w:id="6"/>
      <w:bookmarkEnd w:id="7"/>
      <w:bookmarkEnd w:id="8"/>
      <w:bookmarkEnd w:id="9"/>
      <w:bookmarkEnd w:id="10"/>
      <w:bookmarkEnd w:id="11"/>
    </w:p>
    <w:p w14:paraId="795455CF">
      <w:pPr>
        <w:spacing w:beforeLines="0" w:afterLines="0" w:line="360" w:lineRule="auto"/>
        <w:ind w:left="420" w:leftChars="200"/>
        <w:jc w:val="left"/>
        <w:rPr>
          <w:rFonts w:hint="eastAsia" w:ascii="仿宋" w:hAnsi="仿宋" w:eastAsia="仿宋" w:cs="仿宋"/>
          <w:sz w:val="21"/>
          <w:szCs w:val="24"/>
        </w:rPr>
      </w:pPr>
      <w:r>
        <w:rPr>
          <w:rFonts w:hint="eastAsia" w:ascii="仿宋" w:hAnsi="仿宋" w:eastAsia="仿宋" w:cs="仿宋"/>
          <w:sz w:val="21"/>
          <w:szCs w:val="24"/>
        </w:rPr>
        <w:t>1.合同总价：人民币（大写）</w:t>
      </w:r>
      <w:r>
        <w:rPr>
          <w:rFonts w:hint="eastAsia" w:ascii="仿宋" w:hAnsi="仿宋" w:eastAsia="仿宋" w:cs="仿宋"/>
          <w:sz w:val="21"/>
          <w:szCs w:val="24"/>
          <w:u w:val="single"/>
        </w:rPr>
        <w:t xml:space="preserve">                  </w:t>
      </w:r>
      <w:r>
        <w:rPr>
          <w:rFonts w:hint="eastAsia" w:ascii="仿宋" w:hAnsi="仿宋" w:eastAsia="仿宋" w:cs="仿宋"/>
          <w:sz w:val="21"/>
          <w:szCs w:val="24"/>
        </w:rPr>
        <w:t>元，（</w:t>
      </w:r>
      <w:bookmarkStart w:id="63" w:name="_GoBack"/>
      <w:bookmarkEnd w:id="63"/>
      <w:r>
        <w:rPr>
          <w:rFonts w:hint="eastAsia" w:ascii="仿宋" w:hAnsi="仿宋" w:eastAsia="仿宋" w:cs="仿宋"/>
          <w:sz w:val="21"/>
          <w:szCs w:val="24"/>
        </w:rPr>
        <w:t>￥</w:t>
      </w:r>
      <w:r>
        <w:rPr>
          <w:rFonts w:hint="eastAsia" w:ascii="仿宋" w:hAnsi="仿宋" w:eastAsia="仿宋" w:cs="仿宋"/>
          <w:sz w:val="21"/>
          <w:szCs w:val="24"/>
          <w:u w:val="single"/>
        </w:rPr>
        <w:t xml:space="preserve">           </w:t>
      </w:r>
      <w:r>
        <w:rPr>
          <w:rFonts w:hint="eastAsia" w:ascii="仿宋" w:hAnsi="仿宋" w:eastAsia="仿宋" w:cs="仿宋"/>
          <w:sz w:val="21"/>
          <w:szCs w:val="24"/>
        </w:rPr>
        <w:t xml:space="preserve"> ）。</w:t>
      </w:r>
    </w:p>
    <w:p w14:paraId="1239FC8A">
      <w:pPr>
        <w:spacing w:beforeLines="0" w:afterLines="0" w:line="360" w:lineRule="auto"/>
        <w:ind w:left="420" w:leftChars="200"/>
        <w:jc w:val="left"/>
        <w:rPr>
          <w:rFonts w:hint="eastAsia" w:ascii="仿宋" w:hAnsi="仿宋" w:eastAsia="仿宋" w:cs="仿宋"/>
          <w:sz w:val="21"/>
          <w:szCs w:val="24"/>
        </w:rPr>
      </w:pPr>
      <w:r>
        <w:rPr>
          <w:rFonts w:hint="eastAsia" w:ascii="仿宋" w:hAnsi="仿宋" w:eastAsia="仿宋" w:cs="仿宋"/>
          <w:sz w:val="21"/>
          <w:szCs w:val="24"/>
        </w:rPr>
        <w:t>2.合同总价即成交价，合同总价一次包死，不受市场价变化或实际工作量变化的影响，</w:t>
      </w:r>
    </w:p>
    <w:p w14:paraId="0D715021">
      <w:pPr>
        <w:spacing w:beforeLines="0" w:afterLines="0" w:line="360" w:lineRule="auto"/>
        <w:jc w:val="left"/>
        <w:rPr>
          <w:rFonts w:hint="eastAsia" w:ascii="仿宋" w:hAnsi="仿宋" w:eastAsia="仿宋" w:cs="仿宋"/>
          <w:sz w:val="21"/>
          <w:szCs w:val="24"/>
        </w:rPr>
      </w:pPr>
      <w:r>
        <w:rPr>
          <w:rFonts w:hint="eastAsia" w:ascii="仿宋" w:hAnsi="仿宋" w:eastAsia="仿宋" w:cs="仿宋"/>
          <w:sz w:val="21"/>
          <w:szCs w:val="24"/>
        </w:rPr>
        <w:t>合同价格为含税价，供应商（成交人）提供产品所发生的一切税（包括增值税）费等都已包含于合同价款中。</w:t>
      </w:r>
    </w:p>
    <w:p w14:paraId="1AFC8703">
      <w:pPr>
        <w:spacing w:beforeLines="0" w:afterLines="0" w:line="360" w:lineRule="auto"/>
        <w:ind w:left="420" w:leftChars="200"/>
        <w:jc w:val="left"/>
        <w:rPr>
          <w:rFonts w:hint="eastAsia" w:ascii="仿宋" w:hAnsi="仿宋" w:eastAsia="仿宋" w:cs="仿宋"/>
          <w:b/>
          <w:sz w:val="21"/>
          <w:szCs w:val="24"/>
          <w:lang w:eastAsia="zh-Hans"/>
        </w:rPr>
      </w:pPr>
      <w:bookmarkStart w:id="12" w:name="_Toc24804"/>
      <w:bookmarkStart w:id="13" w:name="_Toc26963"/>
      <w:bookmarkStart w:id="14" w:name="_Toc16901"/>
      <w:bookmarkStart w:id="15" w:name="_Toc12265"/>
      <w:bookmarkStart w:id="16" w:name="_Toc5888"/>
      <w:bookmarkStart w:id="17" w:name="_Toc25078"/>
      <w:r>
        <w:rPr>
          <w:rFonts w:hint="eastAsia" w:ascii="仿宋" w:hAnsi="仿宋" w:eastAsia="仿宋" w:cs="仿宋"/>
          <w:b/>
          <w:sz w:val="21"/>
          <w:szCs w:val="24"/>
          <w:lang w:eastAsia="zh-Hans"/>
        </w:rPr>
        <w:t>第三条 货款支付</w:t>
      </w:r>
      <w:bookmarkEnd w:id="12"/>
      <w:bookmarkEnd w:id="13"/>
      <w:bookmarkEnd w:id="14"/>
      <w:bookmarkEnd w:id="15"/>
      <w:bookmarkEnd w:id="16"/>
      <w:bookmarkEnd w:id="17"/>
    </w:p>
    <w:p w14:paraId="03EF0113">
      <w:pPr>
        <w:spacing w:beforeLines="0" w:afterLines="0" w:line="360" w:lineRule="auto"/>
        <w:ind w:left="420" w:leftChars="200"/>
        <w:jc w:val="left"/>
        <w:rPr>
          <w:rFonts w:hint="eastAsia" w:ascii="仿宋" w:hAnsi="仿宋" w:eastAsia="仿宋" w:cs="仿宋"/>
          <w:sz w:val="21"/>
          <w:szCs w:val="24"/>
        </w:rPr>
      </w:pPr>
      <w:bookmarkStart w:id="18" w:name="_Toc4580"/>
      <w:bookmarkStart w:id="19" w:name="_Toc25309"/>
      <w:r>
        <w:rPr>
          <w:rFonts w:hint="eastAsia" w:ascii="仿宋" w:hAnsi="仿宋" w:eastAsia="仿宋" w:cs="仿宋"/>
          <w:sz w:val="21"/>
          <w:szCs w:val="24"/>
        </w:rPr>
        <w:t>1.所有货物到达指定地点，调试、验收合格并提交双方确认的验收报告后支付合同价款。</w:t>
      </w:r>
    </w:p>
    <w:p w14:paraId="35CBBA36">
      <w:pPr>
        <w:spacing w:beforeLines="0" w:afterLines="0" w:line="360" w:lineRule="auto"/>
        <w:ind w:left="420" w:leftChars="200"/>
        <w:jc w:val="left"/>
        <w:rPr>
          <w:rFonts w:hint="eastAsia" w:ascii="仿宋" w:hAnsi="仿宋" w:eastAsia="仿宋" w:cs="仿宋"/>
          <w:sz w:val="21"/>
          <w:szCs w:val="24"/>
        </w:rPr>
      </w:pPr>
      <w:r>
        <w:rPr>
          <w:rFonts w:hint="eastAsia" w:ascii="仿宋" w:hAnsi="仿宋" w:eastAsia="仿宋" w:cs="仿宋"/>
          <w:sz w:val="21"/>
          <w:szCs w:val="24"/>
        </w:rPr>
        <w:t>2.支付方式：分期付款</w:t>
      </w:r>
    </w:p>
    <w:p w14:paraId="3D1C0964">
      <w:pPr>
        <w:spacing w:beforeLines="0" w:afterLines="0" w:line="360" w:lineRule="auto"/>
        <w:ind w:firstLine="420" w:firstLineChars="200"/>
        <w:jc w:val="left"/>
        <w:rPr>
          <w:rFonts w:hint="eastAsia" w:ascii="仿宋_GB2312" w:hAnsi="仿宋_GB2312" w:eastAsia="仿宋_GB2312" w:cs="仿宋_GB2312"/>
          <w:sz w:val="21"/>
          <w:szCs w:val="21"/>
          <w:highlight w:val="none"/>
          <w:shd w:val="clear" w:color="auto" w:fill="FFFFFF"/>
        </w:rPr>
      </w:pPr>
      <w:r>
        <w:rPr>
          <w:rFonts w:hint="eastAsia" w:ascii="仿宋" w:hAnsi="仿宋" w:eastAsia="仿宋" w:cs="仿宋"/>
          <w:sz w:val="21"/>
          <w:szCs w:val="21"/>
        </w:rPr>
        <w:t>3.支付约定：</w:t>
      </w:r>
      <w:r>
        <w:rPr>
          <w:rFonts w:hint="eastAsia" w:ascii="仿宋_GB2312" w:hAnsi="仿宋_GB2312" w:eastAsia="仿宋_GB2312" w:cs="仿宋_GB2312"/>
          <w:sz w:val="21"/>
          <w:szCs w:val="21"/>
          <w:highlight w:val="none"/>
          <w:shd w:val="clear" w:color="auto" w:fill="FFFFFF"/>
        </w:rPr>
        <w:t>（1）装机完成并验收合格一个月内付合同总价款的20%；</w:t>
      </w:r>
    </w:p>
    <w:p w14:paraId="60A5A01C">
      <w:pPr>
        <w:spacing w:beforeLines="0" w:afterLines="0" w:line="360" w:lineRule="auto"/>
        <w:ind w:firstLine="1680" w:firstLineChars="800"/>
        <w:jc w:val="left"/>
        <w:rPr>
          <w:rFonts w:hint="eastAsia" w:ascii="仿宋_GB2312" w:hAnsi="仿宋_GB2312" w:eastAsia="仿宋_GB2312" w:cs="仿宋_GB2312"/>
          <w:sz w:val="21"/>
          <w:szCs w:val="21"/>
          <w:highlight w:val="none"/>
          <w:shd w:val="clear" w:color="auto" w:fill="FFFFFF"/>
        </w:rPr>
      </w:pPr>
      <w:r>
        <w:rPr>
          <w:rFonts w:hint="eastAsia" w:ascii="仿宋_GB2312" w:hAnsi="仿宋_GB2312" w:eastAsia="仿宋_GB2312" w:cs="仿宋_GB2312"/>
          <w:sz w:val="21"/>
          <w:szCs w:val="21"/>
          <w:highlight w:val="none"/>
          <w:shd w:val="clear" w:color="auto" w:fill="FFFFFF"/>
        </w:rPr>
        <w:t>（2）满六个月再付合同总价款的70%；</w:t>
      </w:r>
    </w:p>
    <w:p w14:paraId="76A017FD">
      <w:pPr>
        <w:spacing w:beforeLines="0" w:afterLines="0" w:line="360" w:lineRule="auto"/>
        <w:ind w:firstLine="1680" w:firstLineChars="800"/>
        <w:jc w:val="left"/>
        <w:rPr>
          <w:rFonts w:hint="eastAsia" w:ascii="仿宋_GB2312" w:hAnsi="仿宋_GB2312" w:eastAsia="仿宋_GB2312" w:cs="仿宋_GB2312"/>
          <w:sz w:val="21"/>
          <w:szCs w:val="21"/>
          <w:highlight w:val="none"/>
          <w:shd w:val="clear" w:color="auto" w:fill="FFFFFF"/>
        </w:rPr>
      </w:pPr>
      <w:r>
        <w:rPr>
          <w:rFonts w:hint="eastAsia" w:ascii="仿宋_GB2312" w:hAnsi="仿宋_GB2312" w:eastAsia="仿宋_GB2312" w:cs="仿宋_GB2312"/>
          <w:sz w:val="21"/>
          <w:szCs w:val="21"/>
          <w:highlight w:val="none"/>
          <w:shd w:val="clear" w:color="auto" w:fill="FFFFFF"/>
        </w:rPr>
        <w:t>（3）使用满三十六个月付清合同余款。</w:t>
      </w:r>
    </w:p>
    <w:p w14:paraId="3BF6D235">
      <w:pPr>
        <w:spacing w:beforeLines="0" w:afterLines="0" w:line="360" w:lineRule="auto"/>
        <w:ind w:left="420" w:leftChars="200"/>
        <w:jc w:val="left"/>
        <w:rPr>
          <w:rFonts w:hint="eastAsia" w:ascii="仿宋" w:hAnsi="仿宋" w:eastAsia="仿宋" w:cs="仿宋"/>
          <w:b/>
          <w:sz w:val="21"/>
          <w:szCs w:val="24"/>
          <w:lang w:eastAsia="zh-Hans"/>
        </w:rPr>
      </w:pPr>
      <w:bookmarkStart w:id="20" w:name="_Toc16308"/>
      <w:bookmarkStart w:id="21" w:name="_Toc2948"/>
      <w:bookmarkStart w:id="22" w:name="_Toc12421"/>
      <w:bookmarkStart w:id="23" w:name="_Toc14955"/>
      <w:r>
        <w:rPr>
          <w:rFonts w:hint="eastAsia" w:ascii="仿宋" w:hAnsi="仿宋" w:eastAsia="仿宋" w:cs="仿宋"/>
          <w:b/>
          <w:sz w:val="21"/>
          <w:szCs w:val="24"/>
          <w:lang w:eastAsia="zh-Hans"/>
        </w:rPr>
        <w:t>第四条 交货时间与地点</w:t>
      </w:r>
      <w:bookmarkEnd w:id="18"/>
      <w:bookmarkEnd w:id="19"/>
      <w:bookmarkEnd w:id="20"/>
      <w:bookmarkEnd w:id="21"/>
      <w:bookmarkEnd w:id="22"/>
      <w:bookmarkEnd w:id="23"/>
    </w:p>
    <w:p w14:paraId="13A385DA">
      <w:pPr>
        <w:spacing w:beforeLines="0" w:afterLines="0" w:line="360" w:lineRule="auto"/>
        <w:ind w:left="420" w:leftChars="200"/>
        <w:jc w:val="left"/>
        <w:rPr>
          <w:rFonts w:hint="eastAsia" w:ascii="仿宋" w:hAnsi="仿宋" w:eastAsia="仿宋" w:cs="仿宋"/>
          <w:sz w:val="21"/>
          <w:szCs w:val="24"/>
        </w:rPr>
      </w:pPr>
      <w:r>
        <w:rPr>
          <w:rFonts w:hint="eastAsia" w:ascii="仿宋" w:hAnsi="仿宋" w:eastAsia="仿宋" w:cs="仿宋"/>
          <w:sz w:val="21"/>
          <w:szCs w:val="24"/>
        </w:rPr>
        <w:t>乙方在合同签订生效之日起，按甲方指定时间、地点交货。</w:t>
      </w:r>
    </w:p>
    <w:p w14:paraId="74F4EE0B">
      <w:pPr>
        <w:spacing w:beforeLines="0" w:afterLines="0" w:line="360" w:lineRule="auto"/>
        <w:ind w:left="420" w:leftChars="200"/>
        <w:jc w:val="left"/>
        <w:rPr>
          <w:rFonts w:hint="eastAsia" w:ascii="仿宋" w:hAnsi="仿宋" w:eastAsia="仿宋" w:cs="仿宋"/>
          <w:sz w:val="21"/>
          <w:szCs w:val="24"/>
        </w:rPr>
      </w:pPr>
      <w:r>
        <w:rPr>
          <w:rFonts w:hint="eastAsia" w:ascii="仿宋" w:hAnsi="仿宋" w:eastAsia="仿宋" w:cs="仿宋"/>
          <w:sz w:val="21"/>
          <w:szCs w:val="24"/>
        </w:rPr>
        <w:t>1.交货时间（期限）：合同签订后</w:t>
      </w:r>
      <w:r>
        <w:rPr>
          <w:rFonts w:hint="eastAsia" w:ascii="仿宋" w:hAnsi="仿宋" w:eastAsia="仿宋" w:cs="仿宋"/>
          <w:sz w:val="21"/>
          <w:szCs w:val="24"/>
          <w:u w:val="single"/>
        </w:rPr>
        <w:t xml:space="preserve">     </w:t>
      </w:r>
      <w:r>
        <w:rPr>
          <w:rFonts w:hint="eastAsia" w:ascii="仿宋" w:hAnsi="仿宋" w:eastAsia="仿宋" w:cs="仿宋"/>
          <w:sz w:val="21"/>
          <w:szCs w:val="24"/>
        </w:rPr>
        <w:t>日历天</w:t>
      </w:r>
    </w:p>
    <w:p w14:paraId="68CDE70F">
      <w:pPr>
        <w:spacing w:beforeLines="0" w:afterLines="0" w:line="360" w:lineRule="auto"/>
        <w:ind w:left="420" w:leftChars="200"/>
        <w:jc w:val="left"/>
        <w:rPr>
          <w:rFonts w:hint="eastAsia" w:ascii="仿宋" w:hAnsi="仿宋" w:eastAsia="仿宋" w:cs="仿宋"/>
          <w:sz w:val="21"/>
          <w:szCs w:val="24"/>
        </w:rPr>
      </w:pPr>
      <w:r>
        <w:rPr>
          <w:rFonts w:hint="eastAsia" w:ascii="仿宋" w:hAnsi="仿宋" w:eastAsia="仿宋" w:cs="仿宋"/>
          <w:sz w:val="21"/>
          <w:szCs w:val="24"/>
        </w:rPr>
        <w:t>2.交货地点：采购人指定位置</w:t>
      </w:r>
    </w:p>
    <w:p w14:paraId="7BF7A005">
      <w:pPr>
        <w:spacing w:beforeLines="0" w:afterLines="0" w:line="360" w:lineRule="auto"/>
        <w:ind w:left="420" w:leftChars="200"/>
        <w:jc w:val="left"/>
        <w:rPr>
          <w:rFonts w:hint="eastAsia" w:ascii="仿宋" w:hAnsi="仿宋" w:eastAsia="仿宋" w:cs="仿宋"/>
          <w:b/>
          <w:sz w:val="21"/>
          <w:szCs w:val="24"/>
          <w:lang w:eastAsia="zh-Hans"/>
        </w:rPr>
      </w:pPr>
      <w:bookmarkStart w:id="24" w:name="_Toc15130"/>
      <w:bookmarkStart w:id="25" w:name="_Toc8242"/>
      <w:bookmarkStart w:id="26" w:name="_Toc27454"/>
      <w:bookmarkStart w:id="27" w:name="_Toc15772"/>
      <w:bookmarkStart w:id="28" w:name="_Toc13273"/>
      <w:bookmarkStart w:id="29" w:name="_Toc24283"/>
      <w:r>
        <w:rPr>
          <w:rFonts w:hint="eastAsia" w:ascii="仿宋" w:hAnsi="仿宋" w:eastAsia="仿宋" w:cs="仿宋"/>
          <w:b/>
          <w:sz w:val="21"/>
          <w:szCs w:val="24"/>
          <w:lang w:eastAsia="zh-Hans"/>
        </w:rPr>
        <w:t>第五条 质量保证</w:t>
      </w:r>
      <w:bookmarkEnd w:id="24"/>
      <w:bookmarkEnd w:id="25"/>
      <w:bookmarkEnd w:id="26"/>
      <w:bookmarkEnd w:id="27"/>
      <w:bookmarkEnd w:id="28"/>
      <w:bookmarkEnd w:id="29"/>
    </w:p>
    <w:p w14:paraId="2EF9F063">
      <w:pPr>
        <w:spacing w:beforeLines="0" w:afterLines="0" w:line="360" w:lineRule="auto"/>
        <w:ind w:firstLine="420" w:firstLineChars="200"/>
        <w:jc w:val="left"/>
        <w:rPr>
          <w:rFonts w:hint="eastAsia" w:ascii="仿宋" w:hAnsi="仿宋" w:eastAsia="仿宋" w:cs="仿宋"/>
          <w:sz w:val="21"/>
          <w:szCs w:val="24"/>
        </w:rPr>
      </w:pPr>
      <w:r>
        <w:rPr>
          <w:rFonts w:hint="eastAsia" w:ascii="仿宋" w:hAnsi="仿宋" w:eastAsia="仿宋" w:cs="仿宋"/>
          <w:sz w:val="21"/>
          <w:szCs w:val="24"/>
        </w:rPr>
        <w:t>（1）质保期：原厂质保3年。</w:t>
      </w:r>
    </w:p>
    <w:p w14:paraId="2C5089EB">
      <w:pPr>
        <w:spacing w:beforeLines="0" w:afterLines="0" w:line="360" w:lineRule="auto"/>
        <w:ind w:firstLine="420" w:firstLineChars="200"/>
        <w:jc w:val="left"/>
        <w:rPr>
          <w:rFonts w:hint="eastAsia" w:ascii="仿宋" w:hAnsi="仿宋" w:eastAsia="仿宋" w:cs="仿宋"/>
          <w:sz w:val="21"/>
          <w:szCs w:val="24"/>
        </w:rPr>
      </w:pPr>
      <w:bookmarkStart w:id="30" w:name="_Toc19975"/>
      <w:bookmarkStart w:id="31" w:name="_Toc31789"/>
      <w:bookmarkStart w:id="32" w:name="_Toc6140"/>
      <w:bookmarkStart w:id="33" w:name="_Toc12756"/>
      <w:bookmarkStart w:id="34" w:name="_Toc19186"/>
      <w:bookmarkStart w:id="35" w:name="_Toc6306"/>
      <w:r>
        <w:rPr>
          <w:rFonts w:hint="eastAsia" w:ascii="仿宋" w:hAnsi="仿宋" w:eastAsia="仿宋" w:cs="仿宋"/>
          <w:sz w:val="21"/>
          <w:szCs w:val="24"/>
        </w:rPr>
        <w:t>（2）整体验收合格后质量保证期为3年保修期外维修只收取配件费，并提供终身维护保养，常用配件、耗材清单及价格。负责终身软件升级。</w:t>
      </w:r>
    </w:p>
    <w:p w14:paraId="1A65D0D1">
      <w:pPr>
        <w:spacing w:beforeLines="0" w:afterLines="0" w:line="360" w:lineRule="auto"/>
        <w:ind w:firstLine="420" w:firstLineChars="200"/>
        <w:jc w:val="left"/>
        <w:rPr>
          <w:rFonts w:hint="eastAsia" w:ascii="仿宋" w:hAnsi="仿宋" w:eastAsia="仿宋" w:cs="仿宋"/>
          <w:sz w:val="21"/>
          <w:szCs w:val="24"/>
        </w:rPr>
      </w:pPr>
      <w:r>
        <w:rPr>
          <w:rFonts w:hint="eastAsia" w:ascii="仿宋" w:hAnsi="仿宋" w:eastAsia="仿宋" w:cs="仿宋"/>
          <w:sz w:val="21"/>
          <w:szCs w:val="24"/>
        </w:rPr>
        <w:t>（3）在质量保证期内发生故障，维修响应时间&lt;2小时，维修工程师抵达现场时间&lt;12 小时。48小时内无法完成维修时须提供备用机。若需要将产品返厂维修，乙方须承担维修产品所需的往返费用。</w:t>
      </w:r>
    </w:p>
    <w:p w14:paraId="17893C55">
      <w:pPr>
        <w:spacing w:beforeLines="0" w:afterLines="0" w:line="360" w:lineRule="auto"/>
        <w:ind w:firstLine="420" w:firstLineChars="200"/>
        <w:jc w:val="left"/>
        <w:rPr>
          <w:rFonts w:hint="eastAsia" w:ascii="仿宋" w:hAnsi="仿宋" w:eastAsia="仿宋" w:cs="仿宋"/>
          <w:sz w:val="21"/>
          <w:szCs w:val="24"/>
        </w:rPr>
      </w:pPr>
      <w:r>
        <w:rPr>
          <w:rFonts w:hint="eastAsia" w:ascii="仿宋" w:hAnsi="仿宋" w:eastAsia="仿宋" w:cs="仿宋"/>
          <w:sz w:val="21"/>
          <w:szCs w:val="24"/>
        </w:rPr>
        <w:t>（4）如果乙方在收到通知后两天内没有弥补缺陷甲方可采取必要的补救措施，但其风险和费用将由乙方承担，甲方根据合同规定对乙方行使的其它权力不受影响。甲方亦可从合同尾款中扣除索赔金额。</w:t>
      </w:r>
    </w:p>
    <w:p w14:paraId="3ED6F6A2">
      <w:pPr>
        <w:spacing w:beforeLines="0" w:afterLines="0" w:line="360" w:lineRule="auto"/>
        <w:ind w:left="420" w:leftChars="200"/>
        <w:jc w:val="left"/>
        <w:rPr>
          <w:rFonts w:hint="eastAsia" w:ascii="仿宋" w:hAnsi="仿宋" w:eastAsia="仿宋" w:cs="仿宋"/>
          <w:b/>
          <w:sz w:val="21"/>
          <w:szCs w:val="24"/>
          <w:lang w:eastAsia="zh-Hans"/>
        </w:rPr>
      </w:pPr>
      <w:r>
        <w:rPr>
          <w:rFonts w:hint="eastAsia" w:ascii="仿宋" w:hAnsi="仿宋" w:eastAsia="仿宋" w:cs="仿宋"/>
          <w:b/>
          <w:sz w:val="21"/>
          <w:szCs w:val="24"/>
          <w:lang w:eastAsia="zh-Hans"/>
        </w:rPr>
        <w:t>第六条 权利保证</w:t>
      </w:r>
      <w:bookmarkEnd w:id="30"/>
      <w:bookmarkEnd w:id="31"/>
      <w:bookmarkEnd w:id="32"/>
      <w:bookmarkEnd w:id="33"/>
      <w:bookmarkEnd w:id="34"/>
      <w:bookmarkEnd w:id="35"/>
    </w:p>
    <w:p w14:paraId="71E5A150">
      <w:pPr>
        <w:spacing w:beforeLines="0" w:afterLines="0" w:line="360" w:lineRule="auto"/>
        <w:ind w:firstLine="420" w:firstLineChars="200"/>
        <w:jc w:val="left"/>
        <w:rPr>
          <w:rFonts w:hint="eastAsia" w:ascii="仿宋" w:hAnsi="仿宋" w:eastAsia="仿宋" w:cs="仿宋"/>
          <w:sz w:val="21"/>
          <w:szCs w:val="24"/>
        </w:rPr>
      </w:pPr>
      <w:r>
        <w:rPr>
          <w:rFonts w:hint="eastAsia" w:ascii="仿宋" w:hAnsi="仿宋" w:eastAsia="仿宋" w:cs="仿宋"/>
          <w:sz w:val="21"/>
          <w:szCs w:val="24"/>
        </w:rPr>
        <w:t>（1）乙方保证对其出售的货物享有合法的权利。</w:t>
      </w:r>
    </w:p>
    <w:p w14:paraId="5F61A3B5">
      <w:pPr>
        <w:spacing w:beforeLines="0" w:afterLines="0" w:line="360" w:lineRule="auto"/>
        <w:ind w:firstLine="420" w:firstLineChars="200"/>
        <w:jc w:val="left"/>
        <w:rPr>
          <w:rFonts w:hint="eastAsia" w:ascii="仿宋" w:hAnsi="仿宋" w:eastAsia="仿宋" w:cs="仿宋"/>
          <w:sz w:val="21"/>
          <w:szCs w:val="24"/>
        </w:rPr>
      </w:pPr>
      <w:r>
        <w:rPr>
          <w:rFonts w:hint="eastAsia" w:ascii="仿宋" w:hAnsi="仿宋" w:eastAsia="仿宋" w:cs="仿宋"/>
          <w:sz w:val="21"/>
          <w:szCs w:val="24"/>
        </w:rPr>
        <w:t>（2）乙方保证对其出售的货物上不存在任何未曾向甲方透露的担保物权，如抵押权、质押权、留置权。</w:t>
      </w:r>
    </w:p>
    <w:p w14:paraId="777B0557">
      <w:pPr>
        <w:spacing w:beforeLines="0" w:afterLines="0" w:line="360" w:lineRule="auto"/>
        <w:ind w:firstLine="420" w:firstLineChars="200"/>
        <w:jc w:val="left"/>
        <w:rPr>
          <w:rFonts w:hint="eastAsia" w:ascii="仿宋" w:hAnsi="仿宋" w:eastAsia="仿宋" w:cs="仿宋"/>
          <w:sz w:val="21"/>
          <w:szCs w:val="24"/>
        </w:rPr>
      </w:pPr>
      <w:r>
        <w:rPr>
          <w:rFonts w:hint="eastAsia" w:ascii="仿宋" w:hAnsi="仿宋" w:eastAsia="仿宋" w:cs="仿宋"/>
          <w:sz w:val="21"/>
          <w:szCs w:val="24"/>
        </w:rPr>
        <w:t>（3）乙方保证对其出售的货物或其任何一部分没有侵犯第三方的专利权、版权、商标权或其他权利。</w:t>
      </w:r>
    </w:p>
    <w:p w14:paraId="257B1D20">
      <w:pPr>
        <w:spacing w:beforeLines="0" w:afterLines="0" w:line="360" w:lineRule="auto"/>
        <w:ind w:left="420" w:leftChars="200"/>
        <w:jc w:val="left"/>
        <w:rPr>
          <w:rFonts w:hint="eastAsia" w:ascii="仿宋" w:hAnsi="仿宋" w:eastAsia="仿宋" w:cs="仿宋"/>
          <w:sz w:val="21"/>
          <w:szCs w:val="24"/>
        </w:rPr>
      </w:pPr>
      <w:r>
        <w:rPr>
          <w:rFonts w:hint="eastAsia" w:ascii="仿宋" w:hAnsi="仿宋" w:eastAsia="仿宋" w:cs="仿宋"/>
          <w:sz w:val="21"/>
          <w:szCs w:val="24"/>
        </w:rPr>
        <w:t>（4）如甲方在使用该货物构成上述侵权的，则由乙方承担全部责任。</w:t>
      </w:r>
    </w:p>
    <w:p w14:paraId="61AAB78A">
      <w:pPr>
        <w:spacing w:beforeLines="0" w:afterLines="0" w:line="360" w:lineRule="auto"/>
        <w:ind w:left="420" w:leftChars="200"/>
        <w:jc w:val="left"/>
        <w:rPr>
          <w:rFonts w:hint="eastAsia" w:ascii="仿宋" w:hAnsi="仿宋" w:eastAsia="仿宋" w:cs="仿宋"/>
          <w:b/>
          <w:sz w:val="21"/>
          <w:szCs w:val="24"/>
        </w:rPr>
      </w:pPr>
      <w:bookmarkStart w:id="36" w:name="_Toc5676"/>
      <w:bookmarkStart w:id="37" w:name="_Toc9334"/>
      <w:bookmarkStart w:id="38" w:name="_Toc2461"/>
      <w:bookmarkStart w:id="39" w:name="_Toc8624"/>
      <w:bookmarkStart w:id="40" w:name="_Toc9158"/>
      <w:bookmarkStart w:id="41" w:name="_Toc14361"/>
      <w:r>
        <w:rPr>
          <w:rFonts w:hint="eastAsia" w:ascii="仿宋" w:hAnsi="仿宋" w:eastAsia="仿宋" w:cs="仿宋"/>
          <w:b/>
          <w:sz w:val="21"/>
          <w:szCs w:val="24"/>
          <w:lang w:eastAsia="zh-Hans"/>
        </w:rPr>
        <w:t>第七条</w:t>
      </w:r>
      <w:r>
        <w:rPr>
          <w:rFonts w:hint="eastAsia" w:ascii="仿宋" w:hAnsi="仿宋" w:eastAsia="仿宋" w:cs="仿宋"/>
          <w:b/>
          <w:sz w:val="21"/>
          <w:szCs w:val="24"/>
        </w:rPr>
        <w:t xml:space="preserve"> 双方权利与义务</w:t>
      </w:r>
    </w:p>
    <w:p w14:paraId="2C5F03C7">
      <w:pPr>
        <w:spacing w:beforeLines="0" w:afterLines="0" w:line="360" w:lineRule="auto"/>
        <w:ind w:left="420" w:left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w:t>
      </w:r>
      <w:r>
        <w:rPr>
          <w:rFonts w:hint="eastAsia" w:ascii="仿宋" w:hAnsi="仿宋" w:eastAsia="仿宋" w:cs="仿宋"/>
          <w:sz w:val="21"/>
          <w:szCs w:val="24"/>
        </w:rPr>
        <w:t>1</w:t>
      </w:r>
      <w:r>
        <w:rPr>
          <w:rFonts w:hint="eastAsia" w:ascii="仿宋" w:hAnsi="仿宋" w:eastAsia="仿宋" w:cs="仿宋"/>
          <w:sz w:val="21"/>
          <w:szCs w:val="24"/>
          <w:lang w:eastAsia="zh-Hans"/>
        </w:rPr>
        <w:t>)甲方的权利与义务</w:t>
      </w:r>
    </w:p>
    <w:p w14:paraId="46E6510B">
      <w:pPr>
        <w:spacing w:beforeLines="0" w:afterLines="0" w:line="360" w:lineRule="auto"/>
        <w:ind w:left="420" w:left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甲方在收到货物通知后，应按招标文件的需求进行核实，如发现不符合合同规定或短缺，</w:t>
      </w:r>
    </w:p>
    <w:p w14:paraId="0AEAEE5A">
      <w:pPr>
        <w:spacing w:beforeLines="0" w:afterLines="0" w:line="360" w:lineRule="auto"/>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及时提出，甲方在收到货后，组织人员按提供的技术参数指标进行验收。</w:t>
      </w:r>
    </w:p>
    <w:p w14:paraId="1090DAA6">
      <w:pPr>
        <w:spacing w:beforeLines="0" w:afterLines="0" w:line="360" w:lineRule="auto"/>
        <w:ind w:left="420" w:left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w:t>
      </w:r>
      <w:r>
        <w:rPr>
          <w:rFonts w:hint="eastAsia" w:ascii="仿宋" w:hAnsi="仿宋" w:eastAsia="仿宋" w:cs="仿宋"/>
          <w:sz w:val="21"/>
          <w:szCs w:val="24"/>
        </w:rPr>
        <w:t>2</w:t>
      </w:r>
      <w:r>
        <w:rPr>
          <w:rFonts w:hint="eastAsia" w:ascii="仿宋" w:hAnsi="仿宋" w:eastAsia="仿宋" w:cs="仿宋"/>
          <w:sz w:val="21"/>
          <w:szCs w:val="24"/>
          <w:lang w:eastAsia="zh-Hans"/>
        </w:rPr>
        <w:t>)乙方的权利与义务</w:t>
      </w:r>
    </w:p>
    <w:p w14:paraId="736CEA94">
      <w:pPr>
        <w:spacing w:beforeLines="0" w:afterLines="0" w:line="360" w:lineRule="auto"/>
        <w:ind w:left="420" w:leftChars="200"/>
        <w:jc w:val="left"/>
        <w:rPr>
          <w:rFonts w:hint="eastAsia" w:ascii="仿宋" w:hAnsi="仿宋" w:eastAsia="仿宋" w:cs="仿宋"/>
          <w:sz w:val="21"/>
          <w:szCs w:val="24"/>
          <w:lang w:eastAsia="zh-Hans"/>
        </w:rPr>
      </w:pPr>
      <w:r>
        <w:rPr>
          <w:rFonts w:hint="eastAsia" w:ascii="仿宋" w:hAnsi="仿宋" w:eastAsia="仿宋" w:cs="仿宋"/>
          <w:sz w:val="21"/>
          <w:szCs w:val="24"/>
        </w:rPr>
        <w:t>①</w:t>
      </w:r>
      <w:r>
        <w:rPr>
          <w:rFonts w:hint="eastAsia" w:ascii="仿宋" w:hAnsi="仿宋" w:eastAsia="仿宋" w:cs="仿宋"/>
          <w:sz w:val="21"/>
          <w:szCs w:val="24"/>
          <w:lang w:eastAsia="zh-Hans"/>
        </w:rPr>
        <w:t>乙方负责产品安装与调试在合同约定的时间完工。</w:t>
      </w:r>
    </w:p>
    <w:p w14:paraId="550D4AAC">
      <w:pPr>
        <w:spacing w:beforeLines="0" w:afterLines="0" w:line="360" w:lineRule="auto"/>
        <w:ind w:left="420" w:leftChars="200"/>
        <w:jc w:val="left"/>
        <w:rPr>
          <w:rFonts w:hint="eastAsia" w:ascii="仿宋" w:hAnsi="仿宋" w:eastAsia="仿宋" w:cs="仿宋"/>
          <w:sz w:val="21"/>
          <w:szCs w:val="24"/>
          <w:lang w:eastAsia="zh-Hans"/>
        </w:rPr>
      </w:pPr>
      <w:r>
        <w:rPr>
          <w:rFonts w:hint="eastAsia" w:ascii="仿宋" w:hAnsi="仿宋" w:eastAsia="仿宋" w:cs="仿宋"/>
          <w:sz w:val="21"/>
          <w:szCs w:val="24"/>
        </w:rPr>
        <w:t>②</w:t>
      </w:r>
      <w:r>
        <w:rPr>
          <w:rFonts w:hint="eastAsia" w:ascii="仿宋" w:hAnsi="仿宋" w:eastAsia="仿宋" w:cs="仿宋"/>
          <w:sz w:val="21"/>
          <w:szCs w:val="24"/>
          <w:lang w:eastAsia="zh-Hans"/>
        </w:rPr>
        <w:t>乙方所提供的产品必须是采购需求产品。</w:t>
      </w:r>
    </w:p>
    <w:p w14:paraId="76168466">
      <w:pPr>
        <w:spacing w:beforeLines="0" w:afterLines="0" w:line="360" w:lineRule="auto"/>
        <w:ind w:left="420" w:leftChars="200"/>
        <w:jc w:val="left"/>
        <w:rPr>
          <w:rFonts w:hint="eastAsia" w:ascii="仿宋" w:hAnsi="仿宋" w:eastAsia="仿宋" w:cs="仿宋"/>
          <w:b/>
          <w:sz w:val="21"/>
          <w:szCs w:val="24"/>
          <w:lang w:eastAsia="zh-Hans"/>
        </w:rPr>
      </w:pPr>
      <w:r>
        <w:rPr>
          <w:rFonts w:hint="eastAsia" w:ascii="仿宋" w:hAnsi="仿宋" w:eastAsia="仿宋" w:cs="仿宋"/>
          <w:b/>
          <w:sz w:val="21"/>
          <w:szCs w:val="24"/>
          <w:lang w:eastAsia="zh-Hans"/>
        </w:rPr>
        <w:t>第</w:t>
      </w:r>
      <w:r>
        <w:rPr>
          <w:rFonts w:hint="eastAsia" w:ascii="仿宋" w:hAnsi="仿宋" w:eastAsia="仿宋" w:cs="仿宋"/>
          <w:b/>
          <w:sz w:val="21"/>
          <w:szCs w:val="24"/>
        </w:rPr>
        <w:t>八</w:t>
      </w:r>
      <w:r>
        <w:rPr>
          <w:rFonts w:hint="eastAsia" w:ascii="仿宋" w:hAnsi="仿宋" w:eastAsia="仿宋" w:cs="仿宋"/>
          <w:b/>
          <w:sz w:val="21"/>
          <w:szCs w:val="24"/>
          <w:lang w:eastAsia="zh-Hans"/>
        </w:rPr>
        <w:t>条 包装要求与运输方式</w:t>
      </w:r>
      <w:bookmarkEnd w:id="36"/>
      <w:bookmarkEnd w:id="37"/>
      <w:bookmarkEnd w:id="38"/>
      <w:bookmarkEnd w:id="39"/>
      <w:bookmarkEnd w:id="40"/>
      <w:bookmarkEnd w:id="41"/>
      <w:r>
        <w:rPr>
          <w:rFonts w:hint="eastAsia" w:ascii="仿宋" w:hAnsi="仿宋" w:eastAsia="仿宋" w:cs="仿宋"/>
          <w:b/>
          <w:sz w:val="21"/>
          <w:szCs w:val="24"/>
          <w:lang w:eastAsia="zh-Hans"/>
        </w:rPr>
        <w:t xml:space="preserve">   </w:t>
      </w:r>
    </w:p>
    <w:p w14:paraId="31718ADF">
      <w:pPr>
        <w:spacing w:beforeLines="0" w:afterLines="0" w:line="360" w:lineRule="auto"/>
        <w:ind w:firstLine="420" w:firstLineChars="200"/>
        <w:jc w:val="left"/>
        <w:rPr>
          <w:rFonts w:hint="eastAsia" w:ascii="仿宋" w:hAnsi="仿宋" w:eastAsia="仿宋" w:cs="仿宋"/>
          <w:sz w:val="21"/>
          <w:szCs w:val="24"/>
        </w:rPr>
      </w:pPr>
      <w:r>
        <w:rPr>
          <w:rFonts w:hint="eastAsia" w:ascii="仿宋" w:hAnsi="仿宋" w:eastAsia="仿宋" w:cs="仿宋"/>
          <w:sz w:val="21"/>
          <w:szCs w:val="24"/>
        </w:rPr>
        <w:t>（1）货物</w:t>
      </w:r>
      <w:r>
        <w:rPr>
          <w:rFonts w:hint="eastAsia" w:ascii="仿宋" w:hAnsi="仿宋" w:eastAsia="仿宋" w:cs="仿宋"/>
          <w:sz w:val="21"/>
          <w:szCs w:val="24"/>
          <w:lang w:eastAsia="zh-Hans"/>
        </w:rPr>
        <w:t>的包装必须是制造商原厂包装，其包装均应有良好的防湿、防锈、防潮、防雨、防腐及防碰撞的措施。凡由于包装不良造成的损失和由此产生的费用均由</w:t>
      </w:r>
      <w:r>
        <w:rPr>
          <w:rFonts w:hint="eastAsia" w:ascii="仿宋" w:hAnsi="仿宋" w:eastAsia="仿宋" w:cs="仿宋"/>
          <w:sz w:val="21"/>
          <w:szCs w:val="24"/>
        </w:rPr>
        <w:t>供应商</w:t>
      </w:r>
      <w:r>
        <w:rPr>
          <w:rFonts w:hint="eastAsia" w:ascii="仿宋" w:hAnsi="仿宋" w:eastAsia="仿宋" w:cs="仿宋"/>
          <w:sz w:val="21"/>
          <w:szCs w:val="24"/>
          <w:lang w:eastAsia="zh-Hans"/>
        </w:rPr>
        <w:t>承担</w:t>
      </w:r>
      <w:r>
        <w:rPr>
          <w:rFonts w:hint="eastAsia" w:ascii="仿宋" w:hAnsi="仿宋" w:eastAsia="仿宋" w:cs="仿宋"/>
          <w:sz w:val="21"/>
          <w:szCs w:val="24"/>
        </w:rPr>
        <w:t>；</w:t>
      </w:r>
    </w:p>
    <w:p w14:paraId="18C2B4AE">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rPr>
        <w:t>（2）</w:t>
      </w:r>
      <w:r>
        <w:rPr>
          <w:rFonts w:hint="eastAsia" w:ascii="仿宋" w:hAnsi="仿宋" w:eastAsia="仿宋" w:cs="仿宋"/>
          <w:sz w:val="21"/>
          <w:szCs w:val="24"/>
          <w:lang w:eastAsia="zh-Hans"/>
        </w:rPr>
        <w:t>设备至</w:t>
      </w:r>
      <w:r>
        <w:rPr>
          <w:rFonts w:hint="eastAsia" w:ascii="仿宋" w:hAnsi="仿宋" w:eastAsia="仿宋" w:cs="仿宋"/>
          <w:sz w:val="21"/>
          <w:szCs w:val="24"/>
        </w:rPr>
        <w:t>甲方</w:t>
      </w:r>
      <w:r>
        <w:rPr>
          <w:rFonts w:hint="eastAsia" w:ascii="仿宋" w:hAnsi="仿宋" w:eastAsia="仿宋" w:cs="仿宋"/>
          <w:sz w:val="21"/>
          <w:szCs w:val="24"/>
          <w:lang w:eastAsia="zh-Hans"/>
        </w:rPr>
        <w:t>指定</w:t>
      </w:r>
      <w:r>
        <w:rPr>
          <w:rFonts w:hint="eastAsia" w:ascii="仿宋" w:hAnsi="仿宋" w:eastAsia="仿宋" w:cs="仿宋"/>
          <w:sz w:val="21"/>
          <w:szCs w:val="24"/>
        </w:rPr>
        <w:t>地点</w:t>
      </w:r>
      <w:r>
        <w:rPr>
          <w:rFonts w:hint="eastAsia" w:ascii="仿宋" w:hAnsi="仿宋" w:eastAsia="仿宋" w:cs="仿宋"/>
          <w:sz w:val="21"/>
          <w:szCs w:val="24"/>
          <w:lang w:eastAsia="zh-Hans"/>
        </w:rPr>
        <w:t>的包装、保险及发运等环节和费用均由</w:t>
      </w:r>
      <w:r>
        <w:rPr>
          <w:rFonts w:hint="eastAsia" w:ascii="仿宋" w:hAnsi="仿宋" w:eastAsia="仿宋" w:cs="仿宋"/>
          <w:sz w:val="21"/>
          <w:szCs w:val="24"/>
        </w:rPr>
        <w:t>供应商</w:t>
      </w:r>
      <w:r>
        <w:rPr>
          <w:rFonts w:hint="eastAsia" w:ascii="仿宋" w:hAnsi="仿宋" w:eastAsia="仿宋" w:cs="仿宋"/>
          <w:sz w:val="21"/>
          <w:szCs w:val="24"/>
          <w:lang w:eastAsia="zh-Hans"/>
        </w:rPr>
        <w:t>负责。</w:t>
      </w:r>
    </w:p>
    <w:p w14:paraId="05DF2BEF">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rPr>
        <w:t>（3）</w:t>
      </w:r>
      <w:r>
        <w:rPr>
          <w:rFonts w:hint="eastAsia" w:ascii="仿宋" w:hAnsi="仿宋" w:eastAsia="仿宋" w:cs="仿宋"/>
          <w:sz w:val="21"/>
          <w:szCs w:val="24"/>
          <w:lang w:eastAsia="zh-Hans"/>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4DC0926E">
      <w:pPr>
        <w:spacing w:beforeLines="0" w:afterLines="0" w:line="360" w:lineRule="auto"/>
        <w:ind w:left="420" w:leftChars="200"/>
        <w:jc w:val="left"/>
        <w:rPr>
          <w:rFonts w:hint="eastAsia" w:ascii="仿宋" w:hAnsi="仿宋" w:eastAsia="仿宋" w:cs="仿宋"/>
          <w:b/>
          <w:sz w:val="21"/>
          <w:szCs w:val="24"/>
          <w:lang w:eastAsia="zh-Hans"/>
        </w:rPr>
      </w:pPr>
      <w:r>
        <w:rPr>
          <w:rFonts w:hint="eastAsia" w:ascii="仿宋" w:hAnsi="仿宋" w:eastAsia="仿宋" w:cs="仿宋"/>
          <w:b/>
          <w:sz w:val="21"/>
          <w:szCs w:val="24"/>
          <w:lang w:eastAsia="zh-Hans"/>
        </w:rPr>
        <w:t>第</w:t>
      </w:r>
      <w:r>
        <w:rPr>
          <w:rFonts w:hint="eastAsia" w:ascii="仿宋" w:hAnsi="仿宋" w:eastAsia="仿宋" w:cs="仿宋"/>
          <w:b/>
          <w:sz w:val="21"/>
          <w:szCs w:val="24"/>
        </w:rPr>
        <w:t>九</w:t>
      </w:r>
      <w:r>
        <w:rPr>
          <w:rFonts w:hint="eastAsia" w:ascii="仿宋" w:hAnsi="仿宋" w:eastAsia="仿宋" w:cs="仿宋"/>
          <w:b/>
          <w:sz w:val="21"/>
          <w:szCs w:val="24"/>
          <w:lang w:eastAsia="zh-Hans"/>
        </w:rPr>
        <w:t>条 货物验收</w:t>
      </w:r>
    </w:p>
    <w:p w14:paraId="41ADE588">
      <w:pPr>
        <w:spacing w:beforeLines="0" w:afterLines="0" w:line="360" w:lineRule="auto"/>
        <w:ind w:firstLine="420" w:firstLineChars="200"/>
        <w:jc w:val="left"/>
        <w:rPr>
          <w:rFonts w:hint="eastAsia" w:ascii="仿宋" w:hAnsi="仿宋" w:eastAsia="仿宋" w:cs="仿宋"/>
          <w:sz w:val="21"/>
          <w:szCs w:val="24"/>
          <w:lang w:eastAsia="zh-Hans"/>
        </w:rPr>
      </w:pPr>
      <w:bookmarkStart w:id="42" w:name="_Toc28696"/>
      <w:bookmarkStart w:id="43" w:name="_Toc17184"/>
      <w:bookmarkStart w:id="44" w:name="_Toc30765"/>
      <w:bookmarkStart w:id="45" w:name="_Toc21106"/>
      <w:bookmarkStart w:id="46" w:name="_Toc9015"/>
      <w:bookmarkStart w:id="47" w:name="_Toc31797"/>
      <w:r>
        <w:rPr>
          <w:rFonts w:hint="eastAsia" w:ascii="仿宋" w:hAnsi="仿宋" w:eastAsia="仿宋" w:cs="仿宋"/>
          <w:sz w:val="21"/>
          <w:szCs w:val="24"/>
          <w:lang w:eastAsia="zh-Hans"/>
        </w:rPr>
        <w:t>（1）本项目验收费用由乙方承担。</w:t>
      </w:r>
    </w:p>
    <w:p w14:paraId="2593B47D">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（2）到货验收:货物到货后，由甲方与乙方共同进行外观验收，验收内容包括，外包装的完好性，货物品牌、规格、数量及产地与合同要求的一致性等。</w:t>
      </w:r>
    </w:p>
    <w:p w14:paraId="33C7EB6C">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（3）货物运行验收:乙方安装调试合格后，向甲方提出验收申请，甲方接到乙方验收申请后组织验收(必要时可聘请相应专家或委托相应部门验收)，验收合格后，出具使用验收合格证明。</w:t>
      </w:r>
    </w:p>
    <w:p w14:paraId="3DC6405B">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（4）质保期满后，由乙方出具质保期运行质量报告，作为质保金支付依据。若存在质量问题，由乙方承担相应责任及费用，甲方并有权从尾款中扣除。</w:t>
      </w:r>
    </w:p>
    <w:p w14:paraId="5790F3B2">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（5）乙方向甲方提交产品供货过程中的所有资料，以便甲方日后管理和维护。</w:t>
      </w:r>
    </w:p>
    <w:p w14:paraId="3C050AB5">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（6）验收依据:</w:t>
      </w:r>
    </w:p>
    <w:p w14:paraId="5ADCD2E6">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①本合同及附加文本;</w:t>
      </w:r>
    </w:p>
    <w:p w14:paraId="7E4F72AA">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②采购文件、响应文件及澄清函;</w:t>
      </w:r>
    </w:p>
    <w:p w14:paraId="5AFEE9B1">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③国家现行相关标准、规范。</w:t>
      </w:r>
    </w:p>
    <w:p w14:paraId="72250B8D">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（7）其他内容按采购文件、响应文件及合同约定执行。</w:t>
      </w:r>
    </w:p>
    <w:p w14:paraId="6AF396D5">
      <w:pPr>
        <w:spacing w:beforeLines="0" w:afterLines="0" w:line="360" w:lineRule="auto"/>
        <w:ind w:left="420" w:leftChars="200"/>
        <w:jc w:val="left"/>
        <w:rPr>
          <w:rFonts w:hint="eastAsia" w:ascii="仿宋" w:hAnsi="仿宋" w:eastAsia="仿宋" w:cs="仿宋"/>
          <w:b/>
          <w:sz w:val="21"/>
          <w:szCs w:val="24"/>
          <w:lang w:eastAsia="zh-Hans"/>
        </w:rPr>
      </w:pPr>
      <w:r>
        <w:rPr>
          <w:rFonts w:hint="eastAsia" w:ascii="仿宋" w:hAnsi="仿宋" w:eastAsia="仿宋" w:cs="仿宋"/>
          <w:b/>
          <w:sz w:val="21"/>
          <w:szCs w:val="24"/>
          <w:lang w:eastAsia="zh-Hans"/>
        </w:rPr>
        <w:t>第</w:t>
      </w:r>
      <w:r>
        <w:rPr>
          <w:rFonts w:hint="eastAsia" w:ascii="仿宋" w:hAnsi="仿宋" w:eastAsia="仿宋" w:cs="仿宋"/>
          <w:b/>
          <w:sz w:val="21"/>
          <w:szCs w:val="24"/>
        </w:rPr>
        <w:t>十</w:t>
      </w:r>
      <w:r>
        <w:rPr>
          <w:rFonts w:hint="eastAsia" w:ascii="仿宋" w:hAnsi="仿宋" w:eastAsia="仿宋" w:cs="仿宋"/>
          <w:b/>
          <w:sz w:val="21"/>
          <w:szCs w:val="24"/>
          <w:lang w:eastAsia="zh-Hans"/>
        </w:rPr>
        <w:t>条</w:t>
      </w:r>
      <w:r>
        <w:rPr>
          <w:rFonts w:hint="eastAsia" w:ascii="仿宋" w:hAnsi="仿宋" w:eastAsia="仿宋" w:cs="仿宋"/>
          <w:b/>
          <w:sz w:val="21"/>
          <w:szCs w:val="24"/>
        </w:rPr>
        <w:t xml:space="preserve"> </w:t>
      </w:r>
      <w:r>
        <w:rPr>
          <w:rFonts w:hint="eastAsia" w:ascii="仿宋" w:hAnsi="仿宋" w:eastAsia="仿宋" w:cs="仿宋"/>
          <w:b/>
          <w:sz w:val="21"/>
          <w:szCs w:val="24"/>
          <w:lang w:eastAsia="zh-Hans"/>
        </w:rPr>
        <w:t>违约责任</w:t>
      </w:r>
      <w:bookmarkEnd w:id="42"/>
      <w:bookmarkEnd w:id="43"/>
      <w:bookmarkEnd w:id="44"/>
    </w:p>
    <w:p w14:paraId="635D68E0">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1）乙方逾期交付货物的，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违约金，如乙方逾期交货达30 天，甲方有权终止合同，并向乙方主张因此给甲方造成的损失。</w:t>
      </w:r>
    </w:p>
    <w:p w14:paraId="64C989AA">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（2）乙方所交付的货物品种、型号、规格不符合合同规定的，甲方有权拒收。</w:t>
      </w:r>
    </w:p>
    <w:p w14:paraId="052FA437">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3）提供产品或产品质量不能满足采购技术要求，乙方必须无条件更换产品，如鉴定机构（第三方）认定货物质量不符合本合同规定标准的，则视为乙方没有按时交货而违约，乙方须在5天内无条件更换合格的货物，如逾期不能更换合格的货物，甲方有权终止本合同，乙方应另向甲方支付货款总额的 3%的违约金；</w:t>
      </w:r>
    </w:p>
    <w:p w14:paraId="1501400E">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4）在乙方承诺的或国家规定的质量保证期内（取两者中最长的期限），同一故障如经乙方两次维修或更换，货物仍不能达到合同约定的质量标准，甲方有权退货乙方应退回全部已收货款，同时还须赔偿甲方因此遭受的损失；</w:t>
      </w:r>
    </w:p>
    <w:p w14:paraId="738C97D1">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（5）乙方未按本合同的规定和“服务承诺”提供伴随服务/售后服务的，应按合同总价款的 3 %向甲方承担违约责任；</w:t>
      </w:r>
    </w:p>
    <w:p w14:paraId="5DC0836A">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（6）乙方在承担上述 1-6 款一项或多项违约责任后，仍应继续履行合同规定的义务（甲方解除合同的除外）。甲方未能及时追究乙方的任何一项违约责任并不表明甲方放弃追究乙方该项或其他违约责任；</w:t>
      </w:r>
    </w:p>
    <w:p w14:paraId="4427E6AD">
      <w:pPr>
        <w:spacing w:beforeLines="0" w:afterLines="0" w:line="360" w:lineRule="auto"/>
        <w:ind w:firstLine="420" w:firstLineChars="200"/>
        <w:jc w:val="left"/>
        <w:rPr>
          <w:rFonts w:hint="eastAsia" w:ascii="仿宋_GB2312" w:hAnsi="仿宋_GB2312" w:eastAsia="仿宋_GB2312" w:cs="仿宋_GB2312"/>
          <w:sz w:val="24"/>
          <w:szCs w:val="24"/>
          <w:shd w:val="clear" w:color="auto" w:fill="FFFFFF"/>
        </w:rPr>
      </w:pPr>
      <w:r>
        <w:rPr>
          <w:rFonts w:hint="eastAsia" w:ascii="仿宋" w:hAnsi="仿宋" w:eastAsia="仿宋" w:cs="仿宋"/>
          <w:sz w:val="21"/>
          <w:szCs w:val="24"/>
          <w:lang w:eastAsia="zh-Hans"/>
        </w:rPr>
        <w:t>（7）乙方偿付的违约金不足以弥补甲方损失的，还应按甲方损失尚未弥补的部分，支付赔偿金给甲方。</w:t>
      </w:r>
    </w:p>
    <w:p w14:paraId="50E8970E">
      <w:pPr>
        <w:spacing w:beforeLines="0" w:afterLines="0" w:line="360" w:lineRule="auto"/>
        <w:ind w:left="420" w:leftChars="200"/>
        <w:jc w:val="left"/>
        <w:rPr>
          <w:rFonts w:hint="eastAsia" w:ascii="仿宋" w:hAnsi="仿宋" w:eastAsia="仿宋" w:cs="仿宋"/>
          <w:b/>
          <w:sz w:val="21"/>
          <w:szCs w:val="24"/>
          <w:lang w:eastAsia="zh-Hans"/>
        </w:rPr>
      </w:pPr>
      <w:bookmarkStart w:id="48" w:name="_Toc22609"/>
      <w:bookmarkStart w:id="49" w:name="_Toc17573"/>
      <w:bookmarkStart w:id="50" w:name="_Toc30761"/>
      <w:r>
        <w:rPr>
          <w:rFonts w:hint="eastAsia" w:ascii="仿宋" w:hAnsi="仿宋" w:eastAsia="仿宋" w:cs="仿宋"/>
          <w:b/>
          <w:sz w:val="21"/>
          <w:szCs w:val="24"/>
          <w:lang w:eastAsia="zh-Hans"/>
        </w:rPr>
        <w:t>第十</w:t>
      </w:r>
      <w:r>
        <w:rPr>
          <w:rFonts w:hint="eastAsia" w:ascii="仿宋" w:hAnsi="仿宋" w:eastAsia="仿宋" w:cs="仿宋"/>
          <w:b/>
          <w:sz w:val="21"/>
          <w:szCs w:val="24"/>
        </w:rPr>
        <w:t>一</w:t>
      </w:r>
      <w:r>
        <w:rPr>
          <w:rFonts w:hint="eastAsia" w:ascii="仿宋" w:hAnsi="仿宋" w:eastAsia="仿宋" w:cs="仿宋"/>
          <w:b/>
          <w:sz w:val="21"/>
          <w:szCs w:val="24"/>
          <w:lang w:eastAsia="zh-Hans"/>
        </w:rPr>
        <w:t>条 争议的解决</w:t>
      </w:r>
      <w:bookmarkEnd w:id="45"/>
      <w:bookmarkEnd w:id="46"/>
      <w:bookmarkEnd w:id="47"/>
      <w:bookmarkEnd w:id="48"/>
      <w:bookmarkEnd w:id="49"/>
      <w:bookmarkEnd w:id="50"/>
    </w:p>
    <w:p w14:paraId="7EEE5BA3">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（1）因货物的质量问题发生争议，由质量技术监督部门或其指定的质量鉴定机构进行质量鉴定。货物符合标准的，鉴定费由甲方承担；货物不符合质量标准的，鉴定费由乙方承担。</w:t>
      </w:r>
    </w:p>
    <w:p w14:paraId="5B30C9D0">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2）任何一方因不可抗力原因不能履行协议时，应尽快通知对方，双方均设法补偿。如仍无法约协议，可协商延缓或撤销协议，双方责任免除。本合同在履行过程中发生的争议，由甲、乙双方当事人协商解决，协商不成的按下列第②种方式解决:</w:t>
      </w:r>
    </w:p>
    <w:p w14:paraId="2146E3BF">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①提交</w:t>
      </w:r>
      <w:r>
        <w:rPr>
          <w:rFonts w:hint="eastAsia" w:ascii="仿宋" w:hAnsi="仿宋" w:eastAsia="仿宋" w:cs="仿宋"/>
          <w:sz w:val="21"/>
          <w:szCs w:val="24"/>
          <w:u w:val="single"/>
          <w:lang w:eastAsia="zh-Hans"/>
        </w:rPr>
        <w:t xml:space="preserve"> 西安市 </w:t>
      </w:r>
      <w:r>
        <w:rPr>
          <w:rFonts w:hint="eastAsia" w:ascii="仿宋" w:hAnsi="仿宋" w:eastAsia="仿宋" w:cs="仿宋"/>
          <w:sz w:val="21"/>
          <w:szCs w:val="24"/>
          <w:lang w:eastAsia="zh-Hans"/>
        </w:rPr>
        <w:t>仲裁委员会仲裁;</w:t>
      </w:r>
    </w:p>
    <w:p w14:paraId="174AF849">
      <w:pPr>
        <w:spacing w:beforeLines="0" w:afterLines="0" w:line="360" w:lineRule="auto"/>
        <w:ind w:firstLine="420" w:firstLineChars="200"/>
        <w:jc w:val="left"/>
        <w:rPr>
          <w:rFonts w:hint="eastAsia" w:ascii="仿宋" w:hAnsi="仿宋" w:eastAsia="仿宋" w:cs="仿宋"/>
          <w:b/>
          <w:sz w:val="21"/>
          <w:szCs w:val="24"/>
          <w:lang w:eastAsia="zh-Hans"/>
        </w:rPr>
      </w:pPr>
      <w:r>
        <w:rPr>
          <w:rFonts w:hint="eastAsia" w:ascii="仿宋" w:hAnsi="仿宋" w:eastAsia="仿宋" w:cs="仿宋"/>
          <w:sz w:val="21"/>
          <w:szCs w:val="24"/>
          <w:lang w:eastAsia="zh-Hans"/>
        </w:rPr>
        <w:t>②依法向甲方所在地人民法院起诉。</w:t>
      </w:r>
      <w:r>
        <w:rPr>
          <w:rFonts w:hint="eastAsia" w:ascii="仿宋_GB2312" w:hAnsi="仿宋_GB2312" w:eastAsia="仿宋_GB2312" w:cs="仿宋_GB2312"/>
          <w:sz w:val="24"/>
          <w:szCs w:val="24"/>
          <w:shd w:val="clear" w:color="auto" w:fill="FFFFFF"/>
          <w:lang w:eastAsia="zh-Hans"/>
        </w:rPr>
        <w:br w:type="textWrapping"/>
      </w:r>
      <w:bookmarkStart w:id="51" w:name="_Toc14669"/>
      <w:bookmarkStart w:id="52" w:name="_Toc30233"/>
      <w:bookmarkStart w:id="53" w:name="_Toc27395"/>
      <w:bookmarkStart w:id="54" w:name="_Toc17938"/>
      <w:bookmarkStart w:id="55" w:name="_Toc1641"/>
      <w:bookmarkStart w:id="56" w:name="_Toc20848"/>
      <w:r>
        <w:rPr>
          <w:rFonts w:hint="eastAsia" w:ascii="仿宋" w:hAnsi="仿宋" w:eastAsia="仿宋" w:cs="仿宋"/>
          <w:b/>
          <w:sz w:val="21"/>
          <w:szCs w:val="24"/>
          <w:lang w:eastAsia="zh-Hans"/>
        </w:rPr>
        <w:t>第十</w:t>
      </w:r>
      <w:r>
        <w:rPr>
          <w:rFonts w:hint="eastAsia" w:ascii="仿宋" w:hAnsi="仿宋" w:eastAsia="仿宋" w:cs="仿宋"/>
          <w:b/>
          <w:sz w:val="21"/>
          <w:szCs w:val="24"/>
        </w:rPr>
        <w:t>二</w:t>
      </w:r>
      <w:r>
        <w:rPr>
          <w:rFonts w:hint="eastAsia" w:ascii="仿宋" w:hAnsi="仿宋" w:eastAsia="仿宋" w:cs="仿宋"/>
          <w:b/>
          <w:sz w:val="21"/>
          <w:szCs w:val="24"/>
          <w:lang w:eastAsia="zh-Hans"/>
        </w:rPr>
        <w:t>条 合同文件</w:t>
      </w:r>
      <w:bookmarkEnd w:id="51"/>
      <w:bookmarkEnd w:id="52"/>
      <w:bookmarkEnd w:id="53"/>
      <w:bookmarkEnd w:id="54"/>
      <w:bookmarkEnd w:id="55"/>
      <w:bookmarkEnd w:id="56"/>
    </w:p>
    <w:p w14:paraId="380EFB58">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详细技术说明及其他有关合同项目的特定信息由合同附件予以说明，下列文件构成本合同的组成部分，应该认为是一个整体，彼此相互解释，相互补充。组成合同的多个文件的优先支配地位的次序如下：</w:t>
      </w:r>
    </w:p>
    <w:p w14:paraId="50617521">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（1）本合同书</w:t>
      </w:r>
    </w:p>
    <w:p w14:paraId="0AB157E4">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（2）成交通知书</w:t>
      </w:r>
      <w:r>
        <w:rPr>
          <w:rFonts w:hint="eastAsia" w:ascii="仿宋" w:hAnsi="仿宋" w:eastAsia="仿宋" w:cs="仿宋"/>
          <w:sz w:val="21"/>
          <w:szCs w:val="24"/>
          <w:lang w:eastAsia="zh-Hans"/>
        </w:rPr>
        <w:tab/>
      </w:r>
    </w:p>
    <w:p w14:paraId="13663E2C">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（3）补充协议</w:t>
      </w:r>
    </w:p>
    <w:p w14:paraId="136DE06B">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（4）采购文件（含澄清或者修改文件）</w:t>
      </w:r>
    </w:p>
    <w:p w14:paraId="0FB672A6">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（5）响应文件</w:t>
      </w:r>
    </w:p>
    <w:p w14:paraId="1165D71B">
      <w:pPr>
        <w:spacing w:beforeLines="0" w:afterLines="0" w:line="360" w:lineRule="auto"/>
        <w:ind w:firstLine="420" w:firstLineChars="200"/>
        <w:jc w:val="left"/>
        <w:rPr>
          <w:rFonts w:hint="eastAsia" w:ascii="仿宋" w:hAnsi="仿宋" w:eastAsia="仿宋" w:cs="仿宋"/>
          <w:sz w:val="21"/>
          <w:szCs w:val="24"/>
          <w:lang w:eastAsia="zh-Hans"/>
        </w:rPr>
      </w:pPr>
      <w:bookmarkStart w:id="57" w:name="_Toc2436"/>
      <w:bookmarkStart w:id="58" w:name="_Toc26875"/>
      <w:bookmarkStart w:id="59" w:name="_Toc28762"/>
      <w:bookmarkStart w:id="60" w:name="_Toc14625"/>
      <w:bookmarkStart w:id="61" w:name="_Toc4321"/>
      <w:bookmarkStart w:id="62" w:name="_Toc25476"/>
      <w:r>
        <w:rPr>
          <w:rFonts w:hint="eastAsia" w:ascii="仿宋" w:hAnsi="仿宋" w:eastAsia="仿宋" w:cs="仿宋"/>
          <w:sz w:val="21"/>
          <w:szCs w:val="24"/>
          <w:lang w:eastAsia="zh-Hans"/>
        </w:rPr>
        <w:t>第十三条 合同生效及其他</w:t>
      </w:r>
      <w:bookmarkEnd w:id="57"/>
      <w:bookmarkEnd w:id="58"/>
      <w:bookmarkEnd w:id="59"/>
      <w:bookmarkEnd w:id="60"/>
      <w:bookmarkEnd w:id="61"/>
      <w:bookmarkEnd w:id="62"/>
    </w:p>
    <w:p w14:paraId="4259CE36">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1.如有未尽事宜，由双方依法订立补充合同。</w:t>
      </w:r>
    </w:p>
    <w:p w14:paraId="7050D6D3">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2.本合同自签订之日起生效。</w:t>
      </w:r>
    </w:p>
    <w:p w14:paraId="06BA21AB">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3.本合同一式    份，具有同等法律效力，甲乙双方各执    份。</w:t>
      </w:r>
    </w:p>
    <w:p w14:paraId="46406FF3">
      <w:pPr>
        <w:adjustRightInd w:val="0"/>
        <w:snapToGrid w:val="0"/>
        <w:spacing w:beforeLines="0" w:afterLines="0" w:line="440" w:lineRule="exact"/>
        <w:ind w:firstLine="415" w:firstLineChars="198"/>
        <w:rPr>
          <w:rFonts w:hint="default" w:hAnsi="宋体"/>
          <w:sz w:val="21"/>
          <w:szCs w:val="24"/>
        </w:rPr>
      </w:pPr>
    </w:p>
    <w:p w14:paraId="7A88F2C7">
      <w:pPr>
        <w:adjustRightInd w:val="0"/>
        <w:snapToGrid w:val="0"/>
        <w:spacing w:beforeLines="0" w:afterLines="0" w:line="440" w:lineRule="exact"/>
        <w:ind w:firstLine="415" w:firstLineChars="198"/>
        <w:rPr>
          <w:rFonts w:hint="eastAsia" w:ascii="仿宋" w:hAnsi="仿宋" w:eastAsia="仿宋" w:cs="仿宋"/>
          <w:sz w:val="21"/>
          <w:szCs w:val="24"/>
          <w:u w:val="single"/>
        </w:rPr>
      </w:pPr>
      <w:r>
        <w:rPr>
          <w:rFonts w:hint="eastAsia" w:ascii="仿宋" w:hAnsi="仿宋" w:eastAsia="仿宋" w:cs="仿宋"/>
          <w:sz w:val="21"/>
          <w:szCs w:val="24"/>
        </w:rPr>
        <w:t>甲    方：</w:t>
      </w:r>
      <w:r>
        <w:rPr>
          <w:rFonts w:hint="eastAsia" w:ascii="仿宋" w:hAnsi="仿宋" w:eastAsia="仿宋" w:cs="仿宋"/>
          <w:sz w:val="21"/>
          <w:szCs w:val="24"/>
          <w:u w:val="single"/>
        </w:rPr>
        <w:t xml:space="preserve">   （盖章）     </w:t>
      </w:r>
      <w:r>
        <w:rPr>
          <w:rFonts w:hint="eastAsia" w:ascii="仿宋" w:hAnsi="仿宋" w:eastAsia="仿宋" w:cs="仿宋"/>
          <w:sz w:val="21"/>
          <w:szCs w:val="24"/>
        </w:rPr>
        <w:t xml:space="preserve">                  乙方：</w:t>
      </w:r>
      <w:r>
        <w:rPr>
          <w:rFonts w:hint="eastAsia" w:ascii="仿宋" w:hAnsi="仿宋" w:eastAsia="仿宋" w:cs="仿宋"/>
          <w:sz w:val="21"/>
          <w:szCs w:val="24"/>
          <w:u w:val="single"/>
        </w:rPr>
        <w:t xml:space="preserve">   （盖章）    </w:t>
      </w:r>
    </w:p>
    <w:p w14:paraId="0A69559F">
      <w:pPr>
        <w:adjustRightInd w:val="0"/>
        <w:snapToGrid w:val="0"/>
        <w:spacing w:beforeLines="0" w:afterLines="0" w:line="440" w:lineRule="exact"/>
        <w:ind w:firstLine="415" w:firstLineChars="198"/>
        <w:rPr>
          <w:rFonts w:hint="eastAsia" w:ascii="仿宋" w:hAnsi="仿宋" w:eastAsia="仿宋" w:cs="仿宋"/>
          <w:sz w:val="21"/>
          <w:szCs w:val="24"/>
        </w:rPr>
      </w:pPr>
      <w:r>
        <w:rPr>
          <w:rFonts w:hint="eastAsia" w:ascii="仿宋" w:hAnsi="仿宋" w:eastAsia="仿宋" w:cs="仿宋"/>
          <w:sz w:val="21"/>
          <w:szCs w:val="24"/>
        </w:rPr>
        <w:t>法定代表人或其授权                          法定代表人或其授权</w:t>
      </w:r>
    </w:p>
    <w:p w14:paraId="39517830">
      <w:pPr>
        <w:adjustRightInd w:val="0"/>
        <w:snapToGrid w:val="0"/>
        <w:spacing w:beforeLines="0" w:afterLines="0" w:line="440" w:lineRule="exact"/>
        <w:ind w:firstLine="415" w:firstLineChars="198"/>
        <w:rPr>
          <w:rFonts w:hint="eastAsia" w:ascii="仿宋" w:hAnsi="仿宋" w:eastAsia="仿宋" w:cs="仿宋"/>
          <w:sz w:val="21"/>
          <w:szCs w:val="24"/>
        </w:rPr>
      </w:pPr>
      <w:r>
        <w:rPr>
          <w:rFonts w:hint="eastAsia" w:ascii="仿宋" w:hAnsi="仿宋" w:eastAsia="仿宋" w:cs="仿宋"/>
          <w:sz w:val="21"/>
          <w:szCs w:val="24"/>
        </w:rPr>
        <w:t>的代理人：</w:t>
      </w:r>
      <w:r>
        <w:rPr>
          <w:rFonts w:hint="eastAsia" w:ascii="仿宋" w:hAnsi="仿宋" w:eastAsia="仿宋" w:cs="仿宋"/>
          <w:sz w:val="21"/>
          <w:szCs w:val="24"/>
          <w:u w:val="single"/>
        </w:rPr>
        <w:t xml:space="preserve">（签字或盖章）     </w:t>
      </w:r>
      <w:r>
        <w:rPr>
          <w:rFonts w:hint="eastAsia" w:ascii="仿宋" w:hAnsi="仿宋" w:eastAsia="仿宋" w:cs="仿宋"/>
          <w:sz w:val="21"/>
          <w:szCs w:val="24"/>
        </w:rPr>
        <w:t xml:space="preserve">               的代理人：</w:t>
      </w:r>
      <w:r>
        <w:rPr>
          <w:rFonts w:hint="eastAsia" w:ascii="仿宋" w:hAnsi="仿宋" w:eastAsia="仿宋" w:cs="仿宋"/>
          <w:sz w:val="21"/>
          <w:szCs w:val="24"/>
          <w:u w:val="single"/>
        </w:rPr>
        <w:t xml:space="preserve">（签字或盖章）        </w:t>
      </w:r>
    </w:p>
    <w:p w14:paraId="04DF41CA">
      <w:pPr>
        <w:adjustRightInd w:val="0"/>
        <w:snapToGrid w:val="0"/>
        <w:spacing w:beforeLines="0" w:afterLines="0" w:line="440" w:lineRule="exact"/>
        <w:ind w:firstLine="415" w:firstLineChars="198"/>
        <w:rPr>
          <w:rFonts w:hint="eastAsia" w:ascii="仿宋" w:hAnsi="仿宋" w:eastAsia="仿宋" w:cs="仿宋"/>
          <w:sz w:val="21"/>
          <w:szCs w:val="24"/>
        </w:rPr>
      </w:pPr>
      <w:r>
        <w:rPr>
          <w:rFonts w:hint="eastAsia" w:ascii="仿宋" w:hAnsi="仿宋" w:eastAsia="仿宋" w:cs="仿宋"/>
          <w:sz w:val="21"/>
          <w:szCs w:val="24"/>
        </w:rPr>
        <w:t xml:space="preserve">地址： </w:t>
      </w:r>
      <w:r>
        <w:rPr>
          <w:rFonts w:hint="eastAsia" w:ascii="仿宋" w:hAnsi="仿宋" w:eastAsia="仿宋" w:cs="仿宋"/>
          <w:sz w:val="21"/>
          <w:szCs w:val="24"/>
          <w:u w:val="single"/>
        </w:rPr>
        <w:t xml:space="preserve">                      </w:t>
      </w:r>
      <w:r>
        <w:rPr>
          <w:rFonts w:hint="eastAsia" w:ascii="仿宋" w:hAnsi="仿宋" w:eastAsia="仿宋" w:cs="仿宋"/>
          <w:sz w:val="21"/>
          <w:szCs w:val="24"/>
        </w:rPr>
        <w:t xml:space="preserve">               地址： </w:t>
      </w:r>
      <w:r>
        <w:rPr>
          <w:rFonts w:hint="eastAsia" w:ascii="仿宋" w:hAnsi="仿宋" w:eastAsia="仿宋" w:cs="仿宋"/>
          <w:sz w:val="21"/>
          <w:szCs w:val="24"/>
          <w:u w:val="single"/>
        </w:rPr>
        <w:t xml:space="preserve">                      </w:t>
      </w:r>
    </w:p>
    <w:p w14:paraId="52CA1F02">
      <w:pPr>
        <w:adjustRightInd w:val="0"/>
        <w:snapToGrid w:val="0"/>
        <w:spacing w:beforeLines="0" w:afterLines="0" w:line="440" w:lineRule="exact"/>
        <w:ind w:firstLine="420" w:firstLineChars="200"/>
        <w:rPr>
          <w:rFonts w:hint="eastAsia" w:ascii="仿宋" w:hAnsi="仿宋" w:eastAsia="仿宋" w:cs="仿宋"/>
          <w:sz w:val="21"/>
          <w:szCs w:val="24"/>
        </w:rPr>
      </w:pPr>
      <w:r>
        <w:rPr>
          <w:rFonts w:hint="eastAsia" w:ascii="仿宋" w:hAnsi="仿宋" w:eastAsia="仿宋" w:cs="仿宋"/>
          <w:sz w:val="21"/>
          <w:szCs w:val="24"/>
        </w:rPr>
        <w:t xml:space="preserve">电话： </w:t>
      </w:r>
      <w:r>
        <w:rPr>
          <w:rFonts w:hint="eastAsia" w:ascii="仿宋" w:hAnsi="仿宋" w:eastAsia="仿宋" w:cs="仿宋"/>
          <w:sz w:val="21"/>
          <w:szCs w:val="24"/>
          <w:u w:val="single"/>
        </w:rPr>
        <w:t xml:space="preserve">                      </w:t>
      </w:r>
      <w:r>
        <w:rPr>
          <w:rFonts w:hint="eastAsia" w:ascii="仿宋" w:hAnsi="仿宋" w:eastAsia="仿宋" w:cs="仿宋"/>
          <w:sz w:val="21"/>
          <w:szCs w:val="24"/>
        </w:rPr>
        <w:t xml:space="preserve">               电话： </w:t>
      </w:r>
      <w:r>
        <w:rPr>
          <w:rFonts w:hint="eastAsia" w:ascii="仿宋" w:hAnsi="仿宋" w:eastAsia="仿宋" w:cs="仿宋"/>
          <w:sz w:val="21"/>
          <w:szCs w:val="24"/>
          <w:u w:val="single"/>
        </w:rPr>
        <w:t xml:space="preserve">                      </w:t>
      </w:r>
    </w:p>
    <w:p w14:paraId="67D96C6B">
      <w:pPr>
        <w:adjustRightInd w:val="0"/>
        <w:snapToGrid w:val="0"/>
        <w:spacing w:beforeLines="0" w:afterLines="0" w:line="440" w:lineRule="exact"/>
        <w:ind w:firstLine="420" w:firstLineChars="200"/>
        <w:rPr>
          <w:rFonts w:hint="eastAsia" w:ascii="仿宋" w:hAnsi="仿宋" w:eastAsia="仿宋" w:cs="仿宋"/>
          <w:sz w:val="21"/>
          <w:szCs w:val="24"/>
        </w:rPr>
      </w:pPr>
      <w:r>
        <w:rPr>
          <w:rFonts w:hint="eastAsia" w:ascii="仿宋" w:hAnsi="仿宋" w:eastAsia="仿宋" w:cs="仿宋"/>
          <w:sz w:val="21"/>
          <w:szCs w:val="24"/>
        </w:rPr>
        <w:t>邮政编码：</w:t>
      </w:r>
      <w:r>
        <w:rPr>
          <w:rFonts w:hint="eastAsia" w:ascii="仿宋" w:hAnsi="仿宋" w:eastAsia="仿宋" w:cs="仿宋"/>
          <w:sz w:val="21"/>
          <w:szCs w:val="24"/>
          <w:u w:val="single"/>
        </w:rPr>
        <w:t xml:space="preserve">                   </w:t>
      </w:r>
      <w:r>
        <w:rPr>
          <w:rFonts w:hint="eastAsia" w:ascii="仿宋" w:hAnsi="仿宋" w:eastAsia="仿宋" w:cs="仿宋"/>
          <w:sz w:val="21"/>
          <w:szCs w:val="24"/>
        </w:rPr>
        <w:t xml:space="preserve">               邮政编码：</w:t>
      </w:r>
      <w:r>
        <w:rPr>
          <w:rFonts w:hint="eastAsia" w:ascii="仿宋" w:hAnsi="仿宋" w:eastAsia="仿宋" w:cs="仿宋"/>
          <w:sz w:val="21"/>
          <w:szCs w:val="24"/>
          <w:u w:val="single"/>
        </w:rPr>
        <w:t xml:space="preserve">                  </w:t>
      </w:r>
    </w:p>
    <w:p w14:paraId="6BF9CE14">
      <w:pPr>
        <w:adjustRightInd w:val="0"/>
        <w:snapToGrid w:val="0"/>
        <w:spacing w:beforeLines="0" w:afterLines="0" w:line="440" w:lineRule="exact"/>
        <w:ind w:firstLine="415" w:firstLineChars="198"/>
        <w:rPr>
          <w:rFonts w:hint="eastAsia" w:ascii="仿宋" w:hAnsi="仿宋" w:eastAsia="仿宋" w:cs="仿宋"/>
          <w:sz w:val="21"/>
          <w:szCs w:val="24"/>
        </w:rPr>
      </w:pPr>
      <w:r>
        <w:rPr>
          <w:rFonts w:hint="eastAsia" w:ascii="仿宋" w:hAnsi="仿宋" w:eastAsia="仿宋" w:cs="仿宋"/>
          <w:sz w:val="21"/>
          <w:szCs w:val="24"/>
        </w:rPr>
        <w:t>开户银行：</w:t>
      </w:r>
      <w:r>
        <w:rPr>
          <w:rFonts w:hint="eastAsia" w:ascii="仿宋" w:hAnsi="仿宋" w:eastAsia="仿宋" w:cs="仿宋"/>
          <w:sz w:val="21"/>
          <w:szCs w:val="24"/>
          <w:u w:val="single"/>
        </w:rPr>
        <w:t xml:space="preserve">                   </w:t>
      </w:r>
      <w:r>
        <w:rPr>
          <w:rFonts w:hint="eastAsia" w:ascii="仿宋" w:hAnsi="仿宋" w:eastAsia="仿宋" w:cs="仿宋"/>
          <w:sz w:val="21"/>
          <w:szCs w:val="24"/>
        </w:rPr>
        <w:t xml:space="preserve">               开户银行：</w:t>
      </w:r>
      <w:r>
        <w:rPr>
          <w:rFonts w:hint="eastAsia" w:ascii="仿宋" w:hAnsi="仿宋" w:eastAsia="仿宋" w:cs="仿宋"/>
          <w:sz w:val="21"/>
          <w:szCs w:val="24"/>
          <w:u w:val="single"/>
        </w:rPr>
        <w:t xml:space="preserve">                  </w:t>
      </w:r>
      <w:r>
        <w:rPr>
          <w:rFonts w:hint="eastAsia" w:ascii="仿宋" w:hAnsi="仿宋" w:eastAsia="仿宋" w:cs="仿宋"/>
          <w:sz w:val="21"/>
          <w:szCs w:val="24"/>
        </w:rPr>
        <w:t xml:space="preserve">     </w:t>
      </w:r>
    </w:p>
    <w:p w14:paraId="40EAEF8A">
      <w:pPr>
        <w:adjustRightInd w:val="0"/>
        <w:snapToGrid w:val="0"/>
        <w:spacing w:beforeLines="0" w:afterLines="0" w:line="440" w:lineRule="exact"/>
        <w:ind w:firstLine="415" w:firstLineChars="198"/>
        <w:rPr>
          <w:rFonts w:hint="eastAsia" w:ascii="仿宋" w:hAnsi="仿宋" w:eastAsia="仿宋" w:cs="仿宋"/>
          <w:sz w:val="21"/>
          <w:szCs w:val="24"/>
        </w:rPr>
      </w:pPr>
      <w:r>
        <w:rPr>
          <w:rFonts w:hint="eastAsia" w:ascii="仿宋" w:hAnsi="仿宋" w:eastAsia="仿宋" w:cs="仿宋"/>
          <w:sz w:val="21"/>
          <w:szCs w:val="24"/>
        </w:rPr>
        <w:t>账   号：</w:t>
      </w:r>
      <w:r>
        <w:rPr>
          <w:rFonts w:hint="eastAsia" w:ascii="仿宋" w:hAnsi="仿宋" w:eastAsia="仿宋" w:cs="仿宋"/>
          <w:sz w:val="21"/>
          <w:szCs w:val="24"/>
          <w:u w:val="single"/>
        </w:rPr>
        <w:t xml:space="preserve">                    </w:t>
      </w:r>
      <w:r>
        <w:rPr>
          <w:rFonts w:hint="eastAsia" w:ascii="仿宋" w:hAnsi="仿宋" w:eastAsia="仿宋" w:cs="仿宋"/>
          <w:sz w:val="21"/>
          <w:szCs w:val="24"/>
        </w:rPr>
        <w:t xml:space="preserve">               账   号：</w:t>
      </w:r>
      <w:r>
        <w:rPr>
          <w:rFonts w:hint="eastAsia" w:ascii="仿宋" w:hAnsi="仿宋" w:eastAsia="仿宋" w:cs="仿宋"/>
          <w:sz w:val="21"/>
          <w:szCs w:val="24"/>
          <w:u w:val="single"/>
        </w:rPr>
        <w:t xml:space="preserve">                   </w:t>
      </w:r>
    </w:p>
    <w:p w14:paraId="45E09959">
      <w:pPr>
        <w:adjustRightInd w:val="0"/>
        <w:snapToGrid w:val="0"/>
        <w:spacing w:beforeLines="0" w:afterLines="0" w:line="440" w:lineRule="exact"/>
        <w:ind w:firstLine="415" w:firstLineChars="198"/>
        <w:rPr>
          <w:rFonts w:hint="eastAsia" w:ascii="仿宋" w:hAnsi="仿宋" w:eastAsia="仿宋" w:cs="仿宋"/>
          <w:sz w:val="21"/>
          <w:szCs w:val="24"/>
        </w:rPr>
      </w:pPr>
    </w:p>
    <w:p w14:paraId="10F149DE">
      <w:pPr>
        <w:pStyle w:val="4"/>
        <w:spacing w:beforeLines="0" w:afterLines="0"/>
        <w:rPr>
          <w:rFonts w:hint="eastAsia" w:ascii="仿宋_GB2312" w:hAnsi="仿宋_GB2312" w:eastAsia="仿宋_GB2312" w:cs="仿宋_GB2312"/>
          <w:sz w:val="20"/>
          <w:szCs w:val="24"/>
        </w:rPr>
      </w:pPr>
    </w:p>
    <w:p w14:paraId="4378C776">
      <w:pPr>
        <w:jc w:val="left"/>
        <w:rPr>
          <w:rFonts w:hint="default"/>
          <w:sz w:val="21"/>
          <w:szCs w:val="24"/>
        </w:rPr>
      </w:pPr>
    </w:p>
    <w:p w14:paraId="08A6C567"/>
    <w:sectPr>
      <w:pgSz w:w="12240" w:h="15840"/>
      <w:pgMar w:top="1440" w:right="1800" w:bottom="1440" w:left="1800"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9D1341"/>
    <w:rsid w:val="6C9D13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uiPriority w:val="0"/>
    <w:pPr>
      <w:spacing w:beforeLines="0" w:afterLines="0"/>
      <w:jc w:val="both"/>
    </w:pPr>
    <w:rPr>
      <w:rFonts w:hint="default" w:ascii="Times New Roman" w:hAnsi="Times New Roman" w:eastAsia="宋体" w:cs="Times New Roman"/>
      <w:kern w:val="2"/>
      <w:sz w:val="21"/>
      <w:szCs w:val="24"/>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unhideWhenUsed/>
    <w:qFormat/>
    <w:uiPriority w:val="0"/>
    <w:pPr>
      <w:spacing w:beforeLines="0" w:afterLines="0"/>
    </w:pPr>
    <w:rPr>
      <w:rFonts w:hint="eastAsia" w:ascii="Calibri" w:hAnsi="Calibri" w:eastAsia="宋体" w:cs="Times New Roman"/>
      <w:sz w:val="24"/>
      <w:szCs w:val="24"/>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2026-05-23T02:43:00Z</dcterms:created>
  <dc:creator>纪</dc:creator>
  <cp:lastModifiedBy>纪</cp:lastModifiedBy>
  <dcterms:modified xsi:type="dcterms:W3CDTF">2026-05-23T02:44:13Z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11E25B76B76944E5B27F27C53E6F1194_11</vt:lpwstr>
  </property>
  <property fmtid="{D5CDD505-2E9C-101B-9397-08002B2CF9AE}" pid="4" name="KSOTemplateDocerSaveRecord">
    <vt:lpwstr>eyJoZGlkIjoiMWEyMzk3ZTJlMmE0MmNhYzEzYjBiMTYzMzVkN2NhYjUiLCJ1c2VySWQiOiIxMDUyODUzOTEyIn0=</vt:lpwstr>
  </property>
</Properties>
</file>