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7B616B">
      <w:pPr>
        <w:spacing w:before="62" w:line="220" w:lineRule="auto"/>
        <w:ind w:left="2893"/>
        <w:outlineLvl w:val="1"/>
        <w:rPr>
          <w:rFonts w:hint="eastAsia" w:ascii="宋体" w:hAnsi="宋体" w:eastAsia="宋体" w:cs="宋体"/>
          <w:color w:val="auto"/>
          <w:spacing w:val="7"/>
          <w:sz w:val="31"/>
          <w:szCs w:val="31"/>
          <w:highlight w:val="none"/>
        </w:rPr>
      </w:pPr>
    </w:p>
    <w:p w14:paraId="7686031E">
      <w:pPr>
        <w:spacing w:line="400" w:lineRule="exac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6FC6E7E4">
      <w:pPr>
        <w:spacing w:line="400" w:lineRule="exact"/>
        <w:ind w:left="1606" w:hanging="1606" w:hangingChars="500"/>
        <w:rPr>
          <w:rFonts w:hint="default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项目名称：西安市新城区人民检察院执法办案工作区改造建设设备部分采购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二次）</w:t>
      </w:r>
    </w:p>
    <w:p w14:paraId="4BBCAF7C">
      <w:pPr>
        <w:rPr>
          <w:rFonts w:hint="eastAsia" w:ascii="仿宋" w:hAnsi="仿宋" w:eastAsia="仿宋" w:cs="仿宋"/>
          <w:b/>
          <w:sz w:val="32"/>
          <w:szCs w:val="32"/>
          <w:highlight w:val="none"/>
        </w:rPr>
      </w:pPr>
    </w:p>
    <w:p w14:paraId="28B66F3B">
      <w:pPr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 xml:space="preserve">编号: </w:t>
      </w:r>
    </w:p>
    <w:p w14:paraId="0F92677C">
      <w:pPr>
        <w:jc w:val="center"/>
        <w:rPr>
          <w:rFonts w:hint="eastAsia" w:ascii="仿宋" w:hAnsi="仿宋" w:eastAsia="仿宋" w:cs="仿宋"/>
          <w:b/>
          <w:spacing w:val="-2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pacing w:val="-20"/>
          <w:sz w:val="32"/>
          <w:szCs w:val="32"/>
          <w:highlight w:val="none"/>
        </w:rPr>
        <w:t xml:space="preserve"> </w:t>
      </w:r>
    </w:p>
    <w:p w14:paraId="72123563">
      <w:pPr>
        <w:jc w:val="center"/>
        <w:rPr>
          <w:rFonts w:hint="eastAsia" w:ascii="仿宋" w:hAnsi="仿宋" w:eastAsia="仿宋" w:cs="仿宋"/>
          <w:b/>
          <w:spacing w:val="-20"/>
          <w:sz w:val="32"/>
          <w:szCs w:val="32"/>
          <w:highlight w:val="none"/>
        </w:rPr>
      </w:pPr>
    </w:p>
    <w:p w14:paraId="26822094">
      <w:pPr>
        <w:jc w:val="center"/>
        <w:rPr>
          <w:rFonts w:hint="eastAsia" w:ascii="仿宋" w:hAnsi="仿宋" w:eastAsia="仿宋" w:cs="仿宋"/>
          <w:b/>
          <w:spacing w:val="-20"/>
          <w:sz w:val="32"/>
          <w:szCs w:val="32"/>
          <w:highlight w:val="none"/>
        </w:rPr>
      </w:pPr>
    </w:p>
    <w:p w14:paraId="248E08D6">
      <w:pPr>
        <w:ind w:firstLine="2108" w:firstLineChars="250"/>
        <w:rPr>
          <w:rFonts w:hint="eastAsia" w:ascii="仿宋" w:hAnsi="仿宋" w:eastAsia="仿宋" w:cs="仿宋"/>
          <w:b/>
          <w:sz w:val="84"/>
          <w:szCs w:val="84"/>
        </w:rPr>
      </w:pPr>
      <w:r>
        <w:rPr>
          <w:rFonts w:hint="eastAsia" w:ascii="仿宋" w:hAnsi="仿宋" w:eastAsia="仿宋" w:cs="仿宋"/>
          <w:b/>
          <w:sz w:val="84"/>
          <w:szCs w:val="84"/>
        </w:rPr>
        <w:t>合  同  书</w:t>
      </w:r>
    </w:p>
    <w:p w14:paraId="3FCB7111">
      <w:pPr>
        <w:ind w:firstLine="2108" w:firstLineChars="250"/>
        <w:rPr>
          <w:rFonts w:hint="eastAsia" w:ascii="仿宋" w:hAnsi="仿宋" w:eastAsia="仿宋" w:cs="仿宋"/>
          <w:b/>
          <w:sz w:val="84"/>
          <w:szCs w:val="84"/>
        </w:rPr>
      </w:pPr>
    </w:p>
    <w:p w14:paraId="48FEB241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（示范文本</w:t>
      </w:r>
      <w:r>
        <w:rPr>
          <w:rFonts w:hint="eastAsia" w:ascii="仿宋" w:hAnsi="仿宋" w:eastAsia="仿宋" w:cs="仿宋"/>
          <w:b/>
          <w:sz w:val="36"/>
          <w:szCs w:val="36"/>
          <w:lang w:eastAsia="zh-CN"/>
        </w:rPr>
        <w:t>，</w:t>
      </w: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最终以会签版本为准</w:t>
      </w:r>
      <w:r>
        <w:rPr>
          <w:rFonts w:hint="eastAsia" w:ascii="仿宋" w:hAnsi="仿宋" w:eastAsia="仿宋" w:cs="仿宋"/>
          <w:b/>
          <w:sz w:val="36"/>
          <w:szCs w:val="36"/>
        </w:rPr>
        <w:t>）</w:t>
      </w:r>
    </w:p>
    <w:p w14:paraId="42C46D97">
      <w:pPr>
        <w:pStyle w:val="2"/>
        <w:rPr>
          <w:rFonts w:hint="eastAsia" w:ascii="仿宋" w:hAnsi="仿宋" w:eastAsia="仿宋" w:cs="仿宋"/>
          <w:b/>
          <w:sz w:val="36"/>
          <w:szCs w:val="36"/>
        </w:rPr>
      </w:pPr>
    </w:p>
    <w:p w14:paraId="683E9D8A">
      <w:pPr>
        <w:rPr>
          <w:rFonts w:hint="eastAsia"/>
        </w:rPr>
      </w:pPr>
    </w:p>
    <w:p w14:paraId="04A8D126">
      <w:pPr>
        <w:spacing w:before="480" w:beforeLines="200" w:line="48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 w14:paraId="1C0DFB28">
      <w:pPr>
        <w:spacing w:before="480" w:beforeLines="200" w:line="48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 w14:paraId="28C5357A">
      <w:pPr>
        <w:spacing w:before="480" w:beforeLines="200" w:line="48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甲  方:西安市新城区人民检察院</w:t>
      </w:r>
    </w:p>
    <w:p w14:paraId="40BA1DFD">
      <w:pPr>
        <w:spacing w:before="480" w:beforeLines="200" w:line="480" w:lineRule="auto"/>
        <w:ind w:firstLine="600" w:firstLineChars="200"/>
        <w:jc w:val="both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sz w:val="30"/>
          <w:szCs w:val="30"/>
        </w:rPr>
        <w:t>乙  方</w:t>
      </w:r>
      <w:r>
        <w:rPr>
          <w:rFonts w:hint="eastAsia" w:ascii="仿宋" w:hAnsi="仿宋" w:eastAsia="仿宋" w:cs="仿宋"/>
          <w:b/>
          <w:sz w:val="30"/>
          <w:szCs w:val="30"/>
        </w:rPr>
        <w:t>:</w:t>
      </w:r>
      <w:r>
        <w:rPr>
          <w:rFonts w:hint="eastAsia" w:ascii="仿宋" w:hAnsi="仿宋" w:eastAsia="仿宋" w:cs="仿宋"/>
          <w:sz w:val="24"/>
        </w:rPr>
        <w:br w:type="page"/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第一部分  协议书</w:t>
      </w:r>
    </w:p>
    <w:p w14:paraId="68A3A33D">
      <w:pPr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采购人（全称）：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 xml:space="preserve">                                      </w:t>
      </w:r>
    </w:p>
    <w:p w14:paraId="32DA4534">
      <w:pPr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供应商（全称）：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4A69833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根据《中华人民共和国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民法典</w:t>
      </w:r>
      <w:r>
        <w:rPr>
          <w:rFonts w:hint="eastAsia" w:ascii="仿宋" w:hAnsi="仿宋" w:eastAsia="仿宋" w:cs="仿宋"/>
          <w:sz w:val="28"/>
          <w:szCs w:val="28"/>
        </w:rPr>
        <w:t>》及其他有关法律、法规，遵循平等、自愿、公平和诚信的原则，双方就下述项目范围与相关服务事项协商一致，订立本合同。</w:t>
      </w:r>
    </w:p>
    <w:p w14:paraId="700660E4">
      <w:p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一、项目概况</w:t>
      </w:r>
    </w:p>
    <w:p w14:paraId="5FA2E498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项目名称：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75F0C5B3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项目地点：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034D1064">
      <w:p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二、组成本合同的文件</w:t>
      </w:r>
    </w:p>
    <w:p w14:paraId="665DF4CF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协议书；</w:t>
      </w:r>
    </w:p>
    <w:p w14:paraId="2D5E7431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2.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中标</w:t>
      </w:r>
      <w:r>
        <w:rPr>
          <w:rFonts w:hint="eastAsia" w:ascii="仿宋" w:hAnsi="仿宋" w:eastAsia="仿宋" w:cs="仿宋"/>
          <w:sz w:val="28"/>
          <w:szCs w:val="28"/>
        </w:rPr>
        <w:t>通知书、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</w:t>
      </w:r>
      <w:r>
        <w:rPr>
          <w:rFonts w:hint="eastAsia" w:ascii="仿宋" w:hAnsi="仿宋" w:eastAsia="仿宋" w:cs="仿宋"/>
          <w:sz w:val="28"/>
          <w:szCs w:val="28"/>
        </w:rPr>
        <w:t>文件、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文件、澄清、招标补充文件；</w:t>
      </w:r>
    </w:p>
    <w:p w14:paraId="58557F6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相关服务建议书；</w:t>
      </w:r>
    </w:p>
    <w:p w14:paraId="13C30187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4. 附录，即：附表内相关服务的范围和内容；</w:t>
      </w:r>
    </w:p>
    <w:p w14:paraId="5692AC90">
      <w:pPr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本合同签订后，双方依法签订的补充协议也是本合同文件的组成部分。</w:t>
      </w:r>
    </w:p>
    <w:p w14:paraId="1AB7FECF">
      <w:p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三、合同金额</w:t>
      </w:r>
    </w:p>
    <w:p w14:paraId="625B0619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合同金额（大写）：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8"/>
          <w:szCs w:val="28"/>
        </w:rPr>
        <w:t>（¥        ）。</w:t>
      </w:r>
    </w:p>
    <w:p w14:paraId="5E372710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合同总价即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成交</w:t>
      </w:r>
      <w:r>
        <w:rPr>
          <w:rFonts w:hint="eastAsia" w:ascii="仿宋" w:hAnsi="仿宋" w:eastAsia="仿宋" w:cs="仿宋"/>
          <w:sz w:val="28"/>
          <w:szCs w:val="28"/>
        </w:rPr>
        <w:t>价，为一次性报价，不受市场价变化或实际工作量变化的影响。合同价格为含税价，供应商（中标人）提供所发生的一切税（包括增值税）费等都已包含于合同价款中。</w:t>
      </w:r>
    </w:p>
    <w:p w14:paraId="1BD039B6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四、结算方式</w:t>
      </w:r>
    </w:p>
    <w:p w14:paraId="6879D22F">
      <w:pPr>
        <w:spacing w:line="360" w:lineRule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1.结算单位：银行转账，由采购人负责结算。在付款前，供应商必须开具与合同金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额相应的发票给采购人，附详细清单。</w:t>
      </w:r>
    </w:p>
    <w:p w14:paraId="5AD3B37B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2.付款方式：</w:t>
      </w:r>
    </w:p>
    <w:p w14:paraId="0A8EF39D">
      <w:pPr>
        <w:pStyle w:val="19"/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highlight w:val="none"/>
          <w:lang/>
        </w:rPr>
        <w:t xml:space="preserve"> 签订合同后 ，达到付款条件起 30 日内，支付合同总金额的 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highlight w:val="none"/>
          <w:lang w:val="en-US" w:eastAsia="zh-CN"/>
        </w:rPr>
        <w:t>50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highlight w:val="none"/>
          <w:lang/>
        </w:rPr>
        <w:t>.00%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highlight w:val="none"/>
          <w:lang w:eastAsia="zh-CN"/>
        </w:rPr>
        <w:t>；</w:t>
      </w:r>
    </w:p>
    <w:p w14:paraId="64028A81">
      <w:pPr>
        <w:pStyle w:val="19"/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highlight w:val="none"/>
          <w:lang w:val="en-US" w:eastAsia="zh-CN"/>
        </w:rPr>
        <w:t>收到货物后，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highlight w:val="none"/>
          <w:lang/>
        </w:rPr>
        <w:t xml:space="preserve">达到付款条件起 30 日内，支付合同总金额的 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highlight w:val="none"/>
          <w:lang w:val="en-US" w:eastAsia="zh-CN"/>
        </w:rPr>
        <w:t>40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highlight w:val="none"/>
          <w:lang/>
        </w:rPr>
        <w:t>.00%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highlight w:val="none"/>
          <w:lang/>
        </w:rPr>
        <w:t xml:space="preserve">验收合格后 ，达到付款条件起 30 日内，支付合同总金额的 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highlight w:val="none"/>
          <w:lang/>
        </w:rPr>
        <w:t>.00%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highlight w:val="none"/>
          <w:lang w:eastAsia="zh-CN"/>
        </w:rPr>
        <w:t>。</w:t>
      </w:r>
      <w:bookmarkStart w:id="0" w:name="_GoBack"/>
      <w:bookmarkEnd w:id="0"/>
    </w:p>
    <w:p w14:paraId="5511597F"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 xml:space="preserve">五、交货期  </w:t>
      </w:r>
    </w:p>
    <w:p w14:paraId="1B884EB3">
      <w:pPr>
        <w:tabs>
          <w:tab w:val="left" w:pos="840"/>
        </w:tabs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详见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磋商</w:t>
      </w:r>
      <w:r>
        <w:rPr>
          <w:rFonts w:hint="eastAsia" w:ascii="仿宋" w:hAnsi="仿宋" w:eastAsia="仿宋" w:cs="仿宋"/>
          <w:sz w:val="28"/>
          <w:szCs w:val="28"/>
        </w:rPr>
        <w:t>文件及中标人的投标文件及相关的澄清资料。</w:t>
      </w:r>
    </w:p>
    <w:p w14:paraId="31D1755A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六、质保期</w:t>
      </w:r>
    </w:p>
    <w:p w14:paraId="3BB3792C">
      <w:pPr>
        <w:tabs>
          <w:tab w:val="left" w:pos="840"/>
        </w:tabs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详见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磋商</w:t>
      </w:r>
      <w:r>
        <w:rPr>
          <w:rFonts w:hint="eastAsia" w:ascii="仿宋" w:hAnsi="仿宋" w:eastAsia="仿宋" w:cs="仿宋"/>
          <w:sz w:val="28"/>
          <w:szCs w:val="28"/>
        </w:rPr>
        <w:t>文件及中标人的投标文件及相关的澄清资料。</w:t>
      </w:r>
    </w:p>
    <w:p w14:paraId="5F0A3A46">
      <w:pPr>
        <w:tabs>
          <w:tab w:val="left" w:pos="840"/>
        </w:tabs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七</w:t>
      </w:r>
      <w:r>
        <w:rPr>
          <w:rFonts w:hint="eastAsia" w:ascii="仿宋" w:hAnsi="仿宋" w:eastAsia="仿宋" w:cs="仿宋"/>
          <w:b/>
          <w:sz w:val="28"/>
          <w:szCs w:val="28"/>
        </w:rPr>
        <w:t>、内容及要求</w:t>
      </w:r>
    </w:p>
    <w:p w14:paraId="32F896B6">
      <w:pPr>
        <w:tabs>
          <w:tab w:val="left" w:pos="840"/>
        </w:tabs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即交付的产品、服务内容、数量与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响应</w:t>
      </w:r>
      <w:r>
        <w:rPr>
          <w:rFonts w:hint="eastAsia" w:ascii="仿宋" w:hAnsi="仿宋" w:eastAsia="仿宋" w:cs="仿宋"/>
          <w:sz w:val="28"/>
          <w:szCs w:val="28"/>
        </w:rPr>
        <w:t>文件、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磋商</w:t>
      </w:r>
      <w:r>
        <w:rPr>
          <w:rFonts w:hint="eastAsia" w:ascii="仿宋" w:hAnsi="仿宋" w:eastAsia="仿宋" w:cs="仿宋"/>
          <w:sz w:val="28"/>
          <w:szCs w:val="28"/>
        </w:rPr>
        <w:t>文件等所指明的，或者与本合同所指明的产品、服务内容相一致。（附产品清单及报价明细）</w:t>
      </w:r>
    </w:p>
    <w:p w14:paraId="3831EA10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八、运输、安装、调试要求 </w:t>
      </w:r>
    </w:p>
    <w:p w14:paraId="6FFDE5A4">
      <w:pPr>
        <w:tabs>
          <w:tab w:val="left" w:pos="840"/>
        </w:tabs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详见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磋商</w:t>
      </w:r>
      <w:r>
        <w:rPr>
          <w:rFonts w:hint="eastAsia" w:ascii="仿宋" w:hAnsi="仿宋" w:eastAsia="仿宋" w:cs="仿宋"/>
          <w:sz w:val="28"/>
          <w:szCs w:val="28"/>
        </w:rPr>
        <w:t>文件及中标人的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响应</w:t>
      </w:r>
      <w:r>
        <w:rPr>
          <w:rFonts w:hint="eastAsia" w:ascii="仿宋" w:hAnsi="仿宋" w:eastAsia="仿宋" w:cs="仿宋"/>
          <w:sz w:val="28"/>
          <w:szCs w:val="28"/>
        </w:rPr>
        <w:t>文件及相关的澄清资料。</w:t>
      </w:r>
    </w:p>
    <w:p w14:paraId="0AE30733">
      <w:p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九、技术支持</w:t>
      </w:r>
    </w:p>
    <w:p w14:paraId="1244E0F8">
      <w:pPr>
        <w:tabs>
          <w:tab w:val="left" w:pos="840"/>
        </w:tabs>
        <w:spacing w:line="360" w:lineRule="auto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green"/>
        </w:rPr>
      </w:pPr>
      <w:r>
        <w:rPr>
          <w:rFonts w:hint="eastAsia" w:ascii="仿宋" w:hAnsi="仿宋" w:eastAsia="仿宋" w:cs="仿宋"/>
          <w:sz w:val="28"/>
          <w:szCs w:val="28"/>
        </w:rPr>
        <w:t>详见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磋商</w:t>
      </w:r>
      <w:r>
        <w:rPr>
          <w:rFonts w:hint="eastAsia" w:ascii="仿宋" w:hAnsi="仿宋" w:eastAsia="仿宋" w:cs="仿宋"/>
          <w:sz w:val="28"/>
          <w:szCs w:val="28"/>
        </w:rPr>
        <w:t>文件及中标人的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响应</w:t>
      </w:r>
      <w:r>
        <w:rPr>
          <w:rFonts w:hint="eastAsia" w:ascii="仿宋" w:hAnsi="仿宋" w:eastAsia="仿宋" w:cs="仿宋"/>
          <w:sz w:val="28"/>
          <w:szCs w:val="28"/>
        </w:rPr>
        <w:t>文件及相关的澄清资料。</w:t>
      </w:r>
    </w:p>
    <w:p w14:paraId="530827C0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技术培训</w:t>
      </w:r>
    </w:p>
    <w:p w14:paraId="36757A9C">
      <w:pPr>
        <w:tabs>
          <w:tab w:val="left" w:pos="840"/>
        </w:tabs>
        <w:spacing w:line="360" w:lineRule="auto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green"/>
        </w:rPr>
      </w:pPr>
      <w:r>
        <w:rPr>
          <w:rFonts w:hint="eastAsia" w:ascii="仿宋" w:hAnsi="仿宋" w:eastAsia="仿宋" w:cs="仿宋"/>
          <w:sz w:val="28"/>
          <w:szCs w:val="28"/>
        </w:rPr>
        <w:t>详见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磋商</w:t>
      </w:r>
      <w:r>
        <w:rPr>
          <w:rFonts w:hint="eastAsia" w:ascii="仿宋" w:hAnsi="仿宋" w:eastAsia="仿宋" w:cs="仿宋"/>
          <w:sz w:val="28"/>
          <w:szCs w:val="28"/>
        </w:rPr>
        <w:t>文件及中标人的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响应</w:t>
      </w:r>
      <w:r>
        <w:rPr>
          <w:rFonts w:hint="eastAsia" w:ascii="仿宋" w:hAnsi="仿宋" w:eastAsia="仿宋" w:cs="仿宋"/>
          <w:sz w:val="28"/>
          <w:szCs w:val="28"/>
        </w:rPr>
        <w:t>文件及相关的澄清资料。</w:t>
      </w:r>
    </w:p>
    <w:p w14:paraId="5EF9EF58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技术资料要求</w:t>
      </w:r>
    </w:p>
    <w:p w14:paraId="3DA543C0">
      <w:pPr>
        <w:tabs>
          <w:tab w:val="left" w:pos="840"/>
        </w:tabs>
        <w:spacing w:line="360" w:lineRule="auto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green"/>
        </w:rPr>
      </w:pPr>
      <w:r>
        <w:rPr>
          <w:rFonts w:hint="eastAsia" w:ascii="仿宋" w:hAnsi="仿宋" w:eastAsia="仿宋" w:cs="仿宋"/>
          <w:sz w:val="28"/>
          <w:szCs w:val="28"/>
        </w:rPr>
        <w:t>详见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磋商</w:t>
      </w:r>
      <w:r>
        <w:rPr>
          <w:rFonts w:hint="eastAsia" w:ascii="仿宋" w:hAnsi="仿宋" w:eastAsia="仿宋" w:cs="仿宋"/>
          <w:sz w:val="28"/>
          <w:szCs w:val="28"/>
        </w:rPr>
        <w:t>文件及中标人的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响应</w:t>
      </w:r>
      <w:r>
        <w:rPr>
          <w:rFonts w:hint="eastAsia" w:ascii="仿宋" w:hAnsi="仿宋" w:eastAsia="仿宋" w:cs="仿宋"/>
          <w:sz w:val="28"/>
          <w:szCs w:val="28"/>
        </w:rPr>
        <w:t>文件及相关的澄清资料。</w:t>
      </w:r>
    </w:p>
    <w:p w14:paraId="22FE3093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质量保证</w:t>
      </w:r>
    </w:p>
    <w:p w14:paraId="4D1B6CCF">
      <w:pPr>
        <w:tabs>
          <w:tab w:val="left" w:pos="840"/>
        </w:tabs>
        <w:spacing w:line="360" w:lineRule="auto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green"/>
        </w:rPr>
      </w:pPr>
      <w:r>
        <w:rPr>
          <w:rFonts w:hint="eastAsia" w:ascii="仿宋" w:hAnsi="仿宋" w:eastAsia="仿宋" w:cs="仿宋"/>
          <w:sz w:val="28"/>
          <w:szCs w:val="28"/>
        </w:rPr>
        <w:t>详见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磋商</w:t>
      </w:r>
      <w:r>
        <w:rPr>
          <w:rFonts w:hint="eastAsia" w:ascii="仿宋" w:hAnsi="仿宋" w:eastAsia="仿宋" w:cs="仿宋"/>
          <w:sz w:val="28"/>
          <w:szCs w:val="28"/>
        </w:rPr>
        <w:t>文件及中标人的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响应</w:t>
      </w:r>
      <w:r>
        <w:rPr>
          <w:rFonts w:hint="eastAsia" w:ascii="仿宋" w:hAnsi="仿宋" w:eastAsia="仿宋" w:cs="仿宋"/>
          <w:sz w:val="28"/>
          <w:szCs w:val="28"/>
        </w:rPr>
        <w:t>文件及相关的澄清资料。</w:t>
      </w:r>
    </w:p>
    <w:p w14:paraId="1FBB5B9B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验收</w:t>
      </w:r>
    </w:p>
    <w:p w14:paraId="7EEE049A">
      <w:pPr>
        <w:tabs>
          <w:tab w:val="left" w:pos="840"/>
        </w:tabs>
        <w:spacing w:line="360" w:lineRule="auto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green"/>
        </w:rPr>
      </w:pPr>
      <w:r>
        <w:rPr>
          <w:rFonts w:hint="eastAsia" w:ascii="仿宋" w:hAnsi="仿宋" w:eastAsia="仿宋" w:cs="仿宋"/>
          <w:sz w:val="28"/>
          <w:szCs w:val="28"/>
        </w:rPr>
        <w:t>详见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磋商</w:t>
      </w:r>
      <w:r>
        <w:rPr>
          <w:rFonts w:hint="eastAsia" w:ascii="仿宋" w:hAnsi="仿宋" w:eastAsia="仿宋" w:cs="仿宋"/>
          <w:sz w:val="28"/>
          <w:szCs w:val="28"/>
        </w:rPr>
        <w:t>文件及中标人的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响应</w:t>
      </w:r>
      <w:r>
        <w:rPr>
          <w:rFonts w:hint="eastAsia" w:ascii="仿宋" w:hAnsi="仿宋" w:eastAsia="仿宋" w:cs="仿宋"/>
          <w:sz w:val="28"/>
          <w:szCs w:val="28"/>
        </w:rPr>
        <w:t>文件及相关的澄清资料。</w:t>
      </w:r>
    </w:p>
    <w:p w14:paraId="09E07D9B">
      <w:p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十四、保密</w:t>
      </w:r>
    </w:p>
    <w:p w14:paraId="58F10007">
      <w:pPr>
        <w:tabs>
          <w:tab w:val="left" w:pos="1080"/>
        </w:tabs>
        <w:spacing w:line="360" w:lineRule="auto"/>
        <w:ind w:firstLine="420" w:firstLineChars="1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对工作中了解到的采购人的技术、机密等进行严格保密，不得向他人泄漏。本合同的解除或终止不免除供应商应承担的保密义务。</w:t>
      </w:r>
    </w:p>
    <w:p w14:paraId="16997CCC">
      <w:p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十五、知识产权</w:t>
      </w:r>
    </w:p>
    <w:p w14:paraId="1FB78BB2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供应商应对所供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货物</w:t>
      </w:r>
      <w:r>
        <w:rPr>
          <w:rFonts w:hint="eastAsia" w:ascii="仿宋" w:hAnsi="仿宋" w:eastAsia="仿宋" w:cs="仿宋"/>
          <w:sz w:val="28"/>
          <w:szCs w:val="28"/>
        </w:rPr>
        <w:t>具有或已取得合法知识产权，供应商应保证所供  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15B12BA8">
      <w:p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十六、合同争议的解决</w:t>
      </w:r>
    </w:p>
    <w:p w14:paraId="4CA7BB44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合同执行中发生争议的，当事人双方应协商解决。协商达不成一致时，可向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西安仲裁委员会</w:t>
      </w:r>
      <w:r>
        <w:rPr>
          <w:rFonts w:hint="eastAsia" w:ascii="仿宋" w:hAnsi="仿宋" w:eastAsia="仿宋" w:cs="仿宋"/>
          <w:sz w:val="28"/>
          <w:szCs w:val="28"/>
        </w:rPr>
        <w:t>申请仲裁。</w:t>
      </w:r>
    </w:p>
    <w:p w14:paraId="677F1CB8">
      <w:pPr>
        <w:numPr>
          <w:ilvl w:val="0"/>
          <w:numId w:val="2"/>
        </w:num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不可抗力情况下的免责约定</w:t>
      </w:r>
    </w:p>
    <w:p w14:paraId="55696C19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530DC1AA"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违约责任</w:t>
      </w:r>
    </w:p>
    <w:p w14:paraId="0B5E25CC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依据《中华人民共和国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民法典</w:t>
      </w:r>
      <w:r>
        <w:rPr>
          <w:rFonts w:hint="eastAsia" w:ascii="仿宋" w:hAnsi="仿宋" w:eastAsia="仿宋" w:cs="仿宋"/>
          <w:sz w:val="28"/>
          <w:szCs w:val="28"/>
        </w:rPr>
        <w:t>》、《中华人民共和国政府采购法》、《中华人民共和国政府采购法实施条例》的相关条款和本合同约定，中标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</w:t>
      </w:r>
      <w:r>
        <w:rPr>
          <w:rFonts w:hint="eastAsia" w:ascii="仿宋" w:hAnsi="仿宋" w:eastAsia="仿宋" w:cs="仿宋"/>
          <w:sz w:val="28"/>
          <w:szCs w:val="28"/>
        </w:rPr>
        <w:t>未全面履行合同义务或者发生违约，采购单位会同采购代理机构有权终止合同，依法向中标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</w:t>
      </w:r>
      <w:r>
        <w:rPr>
          <w:rFonts w:hint="eastAsia" w:ascii="仿宋" w:hAnsi="仿宋" w:eastAsia="仿宋" w:cs="仿宋"/>
          <w:sz w:val="28"/>
          <w:szCs w:val="28"/>
        </w:rPr>
        <w:t>进行经济索赔，并报请政府采购监督管理机关进行相应的行政处罚。采购单位违约的，应当赔偿给中标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人</w:t>
      </w:r>
      <w:r>
        <w:rPr>
          <w:rFonts w:hint="eastAsia" w:ascii="仿宋" w:hAnsi="仿宋" w:eastAsia="仿宋" w:cs="仿宋"/>
          <w:sz w:val="28"/>
          <w:szCs w:val="28"/>
        </w:rPr>
        <w:t>造成的经济损失。</w:t>
      </w:r>
    </w:p>
    <w:p w14:paraId="104A1FC9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十九、其他（</w:t>
      </w:r>
      <w:r>
        <w:rPr>
          <w:rFonts w:hint="eastAsia" w:ascii="仿宋" w:hAnsi="仿宋" w:eastAsia="仿宋" w:cs="仿宋"/>
          <w:sz w:val="28"/>
          <w:szCs w:val="28"/>
        </w:rPr>
        <w:t>在合同中具体明确）</w:t>
      </w:r>
    </w:p>
    <w:p w14:paraId="29544B19">
      <w:p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二十、合同订立</w:t>
      </w:r>
    </w:p>
    <w:p w14:paraId="0BABC558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订立时间：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日。</w:t>
      </w:r>
    </w:p>
    <w:p w14:paraId="55E212ED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订立地点：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62F170DB">
      <w:pPr>
        <w:tabs>
          <w:tab w:val="left" w:pos="980"/>
        </w:tabs>
        <w:kinsoku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本合同一式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捌 </w:t>
      </w:r>
      <w:r>
        <w:rPr>
          <w:rFonts w:hint="eastAsia" w:ascii="仿宋" w:hAnsi="仿宋" w:eastAsia="仿宋" w:cs="仿宋"/>
          <w:sz w:val="28"/>
          <w:szCs w:val="28"/>
        </w:rPr>
        <w:t>份，具有同等法律效力，双方各执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份，监管部门备案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壹 </w:t>
      </w:r>
      <w:r>
        <w:rPr>
          <w:rFonts w:hint="eastAsia" w:ascii="仿宋" w:hAnsi="仿宋" w:eastAsia="仿宋" w:cs="仿宋"/>
          <w:sz w:val="28"/>
          <w:szCs w:val="28"/>
        </w:rPr>
        <w:t xml:space="preserve">份、采购代理机构存档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壹 </w:t>
      </w:r>
      <w:r>
        <w:rPr>
          <w:rFonts w:hint="eastAsia" w:ascii="仿宋" w:hAnsi="仿宋" w:eastAsia="仿宋" w:cs="仿宋"/>
          <w:sz w:val="28"/>
          <w:szCs w:val="28"/>
        </w:rPr>
        <w:t>份。各方签字盖章后生效，合同执行完毕自动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终止</w:t>
      </w:r>
      <w:r>
        <w:rPr>
          <w:rFonts w:hint="eastAsia" w:ascii="仿宋" w:hAnsi="仿宋" w:eastAsia="仿宋" w:cs="仿宋"/>
          <w:sz w:val="28"/>
          <w:szCs w:val="28"/>
        </w:rPr>
        <w:t>。（合同的服务承诺则长期有效）。</w:t>
      </w:r>
    </w:p>
    <w:p w14:paraId="0DA5C888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</w:p>
    <w:p w14:paraId="607E79CD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（盖章）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供应商：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（盖章）         </w:t>
      </w:r>
    </w:p>
    <w:p w14:paraId="02E42EE2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地 址：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地  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</w:p>
    <w:p w14:paraId="5DC5329F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邮政编码：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邮政编码：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 w14:paraId="34DE7488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法定代表人或其授权                   法定代表人或其授权 </w:t>
      </w:r>
    </w:p>
    <w:p w14:paraId="4C03CF9C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的代理人：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（签字）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的代理人：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（签字）           </w:t>
      </w:r>
    </w:p>
    <w:p w14:paraId="36E2D18B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开户银行：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开户银行：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 w14:paraId="5A551FF0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账号：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账号：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0EFE459E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</w:p>
    <w:p w14:paraId="73C3E7C4">
      <w:pPr>
        <w:adjustRightInd w:val="0"/>
        <w:snapToGrid w:val="0"/>
        <w:spacing w:line="360" w:lineRule="auto"/>
        <w:ind w:firstLine="554" w:firstLineChars="198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传真：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传真：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</w:p>
    <w:p w14:paraId="6D466BE1">
      <w:pPr>
        <w:pStyle w:val="19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电子邮箱：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电子邮箱：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</w:t>
      </w:r>
    </w:p>
    <w:p w14:paraId="67F44CDB">
      <w:pPr>
        <w:widowControl/>
        <w:shd w:val="clear" w:color="auto" w:fill="auto"/>
        <w:kinsoku/>
        <w:overflowPunct/>
        <w:topLinePunct w:val="0"/>
        <w:bidi w:val="0"/>
        <w:spacing w:line="360" w:lineRule="auto"/>
        <w:ind w:firstLine="420" w:firstLineChars="200"/>
        <w:rPr>
          <w:color w:val="auto"/>
          <w:highlight w:val="none"/>
        </w:rPr>
      </w:pPr>
    </w:p>
    <w:sectPr>
      <w:headerReference r:id="rId5" w:type="default"/>
      <w:footerReference r:id="rId6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AA23A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8A1B0">
    <w:pPr>
      <w:pStyle w:val="10"/>
      <w:jc w:val="left"/>
      <w:rPr>
        <w:rFonts w:hint="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7DFF0"/>
    <w:multiLevelType w:val="singleLevel"/>
    <w:tmpl w:val="5847DFF0"/>
    <w:lvl w:ilvl="0" w:tentative="0">
      <w:start w:val="10"/>
      <w:numFmt w:val="chineseCounting"/>
      <w:suff w:val="nothing"/>
      <w:lvlText w:val="%1、"/>
      <w:lvlJc w:val="left"/>
    </w:lvl>
  </w:abstractNum>
  <w:abstractNum w:abstractNumId="1">
    <w:nsid w:val="58490119"/>
    <w:multiLevelType w:val="singleLevel"/>
    <w:tmpl w:val="58490119"/>
    <w:lvl w:ilvl="0" w:tentative="0">
      <w:start w:val="17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476814B2"/>
    <w:rsid w:val="012A2B31"/>
    <w:rsid w:val="262D6C93"/>
    <w:rsid w:val="291F5BDC"/>
    <w:rsid w:val="2BF520FC"/>
    <w:rsid w:val="404840B6"/>
    <w:rsid w:val="476814B2"/>
    <w:rsid w:val="492C225D"/>
    <w:rsid w:val="4D2E07CC"/>
    <w:rsid w:val="54E504A7"/>
    <w:rsid w:val="5BA160C8"/>
    <w:rsid w:val="5D8942DA"/>
    <w:rsid w:val="6831491B"/>
    <w:rsid w:val="68F303DE"/>
    <w:rsid w:val="69470EAA"/>
    <w:rsid w:val="6B1D005F"/>
    <w:rsid w:val="77024A2E"/>
    <w:rsid w:val="7D86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1"/>
    <w:basedOn w:val="1"/>
    <w:qFormat/>
    <w:uiPriority w:val="1"/>
    <w:pPr>
      <w:spacing w:before="32"/>
      <w:ind w:left="3556" w:right="3585"/>
      <w:jc w:val="center"/>
      <w:outlineLvl w:val="1"/>
    </w:pPr>
    <w:rPr>
      <w:rFonts w:ascii="宋体" w:hAnsi="宋体" w:eastAsia="宋体" w:cs="宋体"/>
      <w:sz w:val="31"/>
      <w:szCs w:val="31"/>
      <w:lang w:val="en-US" w:eastAsia="zh-CN" w:bidi="ar-SA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styleId="9">
    <w:name w:val="footer"/>
    <w:basedOn w:val="1"/>
    <w:next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oc 1"/>
    <w:basedOn w:val="4"/>
    <w:next w:val="1"/>
    <w:unhideWhenUsed/>
    <w:qFormat/>
    <w:uiPriority w:val="39"/>
  </w:style>
  <w:style w:type="paragraph" w:styleId="12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Body Text First Indent 2"/>
    <w:basedOn w:val="7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character" w:styleId="17">
    <w:name w:val="annotation reference"/>
    <w:qFormat/>
    <w:uiPriority w:val="0"/>
    <w:rPr>
      <w:sz w:val="21"/>
      <w:szCs w:val="21"/>
    </w:rPr>
  </w:style>
  <w:style w:type="paragraph" w:customStyle="1" w:styleId="18">
    <w:name w:val="p0"/>
    <w:basedOn w:val="1"/>
    <w:qFormat/>
    <w:uiPriority w:val="0"/>
    <w:pPr>
      <w:widowControl/>
      <w:snapToGrid w:val="0"/>
      <w:spacing w:line="312" w:lineRule="atLeast"/>
      <w:textAlignment w:val="baseline"/>
    </w:pPr>
    <w:rPr>
      <w:kern w:val="0"/>
      <w:szCs w:val="21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1565</Words>
  <Characters>1591</Characters>
  <Lines>0</Lines>
  <Paragraphs>0</Paragraphs>
  <TotalTime>1</TotalTime>
  <ScaleCrop>false</ScaleCrop>
  <LinksUpToDate>false</LinksUpToDate>
  <CharactersWithSpaces>2355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2023-10-07T11:36:00Z</dcterms:created>
  <dc:creator>FAN-Q</dc:creator>
  <cp:lastModifiedBy>Administrator</cp:lastModifiedBy>
  <dcterms:modified xsi:type="dcterms:W3CDTF">2026-06-30T07:30:37Z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CF645F49FC184574B949F8A3610055FE</vt:lpwstr>
  </property>
  <property fmtid="{D5CDD505-2E9C-101B-9397-08002B2CF9AE}" pid="4" name="KSOTemplateDocerSaveRecord">
    <vt:lpwstr>eyJoZGlkIjoiMTM4M2UxZjYzNThmNTk0ODVmM2MwZDZmMGUzMjQ2YjkiLCJ1c2VySWQiOiIzODIyMDUxNjQifQ==</vt:lpwstr>
  </property>
</Properties>
</file>