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版本号：ZCSP-渭南市-2026-00101（0617-2624GZ0885））20260525002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大型医疗设备间改造建设项目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ZCSP-渭南市-2026-00101（0617-2624GZ0885））</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大型医疗设备间改造建设项目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ZCSP-渭南市-2026-00101（0617-2624GZ0885））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大型医疗设备间改造建设项目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中心医院大型医疗设备间改造建设项目为门诊住院综合楼负一层直线加速器机房、门诊住院综合楼一层CT机房及内科综合楼一层核磁共振机房的装修改造，改造总建筑面积为328㎡。其中门诊住院综合楼负一层直线加速器机房改造面积约为182平方米，门诊住院综合楼一层CT机房改造面积约为58平方米，内科综合楼一层核磁共振机房改造面积约为88平方米，改造内容包括原饰面和管道的拆除、装饰装修、结构加固、防辐射防护工程、给排水、电气照明、弱电工程、暖通空调、消防等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采购包1（大型医疗设备间改造建设项目）：属于专门面向中小企业采购。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1、具有建筑装修装饰工程专业承包二级及以上资质：具有建筑装修装饰工程专业承包二级及以上资质，提供资质复印件</w:t>
      </w:r>
    </w:p>
    <w:p>
      <w:pPr>
        <w:pStyle w:val="null3"/>
      </w:pPr>
      <w:r>
        <w:rPr>
          <w:rFonts w:ascii="仿宋_GB2312" w:hAnsi="仿宋_GB2312" w:cs="仿宋_GB2312" w:eastAsia="仿宋_GB2312"/>
        </w:rPr>
        <w:t>2、安全生产许可证：具有有效的安全生产许可证，提供安全生产许可证复印件</w:t>
      </w:r>
    </w:p>
    <w:p>
      <w:pPr>
        <w:pStyle w:val="null3"/>
      </w:pPr>
      <w:r>
        <w:rPr>
          <w:rFonts w:ascii="仿宋_GB2312" w:hAnsi="仿宋_GB2312" w:cs="仿宋_GB2312" w:eastAsia="仿宋_GB2312"/>
        </w:rPr>
        <w:t>3、拟派项目经理资质和专业要求：项目经理具有建筑工程专业二级及以上注册建造师资格（在本单位注册）、有效的安全生产考核合格证书（B证）（在本单位注册）、提供项目经理无在建项目承诺书</w:t>
      </w:r>
    </w:p>
    <w:p>
      <w:pPr>
        <w:pStyle w:val="null3"/>
      </w:pPr>
      <w:r>
        <w:rPr>
          <w:rFonts w:ascii="仿宋_GB2312" w:hAnsi="仿宋_GB2312" w:cs="仿宋_GB2312" w:eastAsia="仿宋_GB2312"/>
        </w:rPr>
        <w:t>4、法定代表人授权委托书或法定代表人资格证明书：投标时提供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5、入陕企业：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w:t>
      </w:r>
    </w:p>
    <w:p>
      <w:pPr>
        <w:pStyle w:val="null3"/>
      </w:pPr>
      <w:r>
        <w:rPr>
          <w:rFonts w:ascii="仿宋_GB2312" w:hAnsi="仿宋_GB2312" w:cs="仿宋_GB2312" w:eastAsia="仿宋_GB2312"/>
        </w:rPr>
        <w:t>6、企业信用：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7、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8、不接受联合体磋商：不接受联合体磋商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一、参照《陕西省建设工程施工合同》；二、交付竣工验收的工程，必须符合规定的工程质量标准，有完整的工程技术经济资料和经签署的工程保修书，并具备国家规定的其他竣工条件。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三、验收结果合格的，采购人应向成交供应商出具履约验收报告，成交供应商凭验收报告办理相关手续；四、验收结果不合格的，供应商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2,220,000.00</w:t>
      </w:r>
    </w:p>
    <w:p>
      <w:pPr>
        <w:pStyle w:val="null3"/>
      </w:pPr>
      <w:r>
        <w:rPr>
          <w:rFonts w:ascii="仿宋_GB2312" w:hAnsi="仿宋_GB2312" w:cs="仿宋_GB2312" w:eastAsia="仿宋_GB2312"/>
        </w:rPr>
        <w:t>采购包最高限价（元）: 2,121,958.90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大型医疗设备间改造建设项目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标的名称：大型医疗设备间改造建设项目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B0F0"/>
              </w:rPr>
              <w:t>一、项目概况</w:t>
            </w:r>
          </w:p>
          <w:p>
            <w:pPr>
              <w:pStyle w:val="null3"/>
              <w:ind w:left="720"/>
              <w:jc w:val="left"/>
            </w:pPr>
            <w:r>
              <w:rPr>
                <w:rFonts w:ascii="仿宋_GB2312" w:hAnsi="仿宋_GB2312" w:cs="仿宋_GB2312" w:eastAsia="仿宋_GB2312"/>
                <w:sz w:val="21"/>
                <w:color w:val="00B0F0"/>
              </w:rPr>
              <w:t>1.</w:t>
            </w:r>
            <w:r>
              <w:rPr>
                <w:rFonts w:ascii="仿宋_GB2312" w:hAnsi="仿宋_GB2312" w:cs="仿宋_GB2312" w:eastAsia="仿宋_GB2312"/>
                <w:sz w:val="21"/>
                <w:color w:val="00B0F0"/>
              </w:rPr>
              <w:t>项目名称：渭南市中心医院大型医疗设备间改造建设项目；</w:t>
            </w:r>
          </w:p>
          <w:p>
            <w:pPr>
              <w:pStyle w:val="null3"/>
              <w:spacing w:after="60"/>
              <w:ind w:right="60"/>
              <w:jc w:val="left"/>
            </w:pPr>
            <w:r>
              <w:rPr>
                <w:rFonts w:ascii="仿宋_GB2312" w:hAnsi="仿宋_GB2312" w:cs="仿宋_GB2312" w:eastAsia="仿宋_GB2312"/>
                <w:sz w:val="21"/>
                <w:color w:val="00B0F0"/>
              </w:rPr>
              <w:t>2.</w:t>
            </w:r>
            <w:r>
              <w:rPr>
                <w:rFonts w:ascii="仿宋_GB2312" w:hAnsi="仿宋_GB2312" w:cs="仿宋_GB2312" w:eastAsia="仿宋_GB2312"/>
                <w:sz w:val="21"/>
                <w:color w:val="00B0F0"/>
              </w:rPr>
              <w:t>建设地点：渭南市临渭区胜利大街中段市中心医院内；</w:t>
            </w:r>
          </w:p>
          <w:p>
            <w:pPr>
              <w:pStyle w:val="null3"/>
              <w:jc w:val="both"/>
            </w:pPr>
            <w:r>
              <w:rPr>
                <w:rFonts w:ascii="仿宋_GB2312" w:hAnsi="仿宋_GB2312" w:cs="仿宋_GB2312" w:eastAsia="仿宋_GB2312"/>
                <w:sz w:val="21"/>
                <w:color w:val="00B0F0"/>
              </w:rPr>
              <w:t>3.</w:t>
            </w:r>
            <w:r>
              <w:rPr>
                <w:rFonts w:ascii="仿宋_GB2312" w:hAnsi="仿宋_GB2312" w:cs="仿宋_GB2312" w:eastAsia="仿宋_GB2312"/>
                <w:sz w:val="21"/>
                <w:color w:val="00B0F0"/>
              </w:rPr>
              <w:t>建设规模：渭南市中心医院大型医疗设备间改造建设项目为门诊住院综合楼负一层直线加速器机房、门诊住院综合楼一层CT机房及内科综合楼一层核磁共振机房的装修改造，改造总建筑面积为328㎡。其中门诊住院综合楼负一层直线加速器机房改造面积约为182平方米，门诊住院综合楼一层CT机房改造面积约为58平方米，内科综合楼一层核磁共振机房改造面积约为88平方米，改造内容包括原饰面和管道的拆除、装饰装修、结构加固、防辐射防护工程、给排水、电气照明、弱电工程、暖通空调、消防等工程等；</w:t>
            </w:r>
          </w:p>
          <w:p>
            <w:pPr>
              <w:pStyle w:val="null3"/>
              <w:jc w:val="both"/>
            </w:pPr>
            <w:r>
              <w:rPr>
                <w:rFonts w:ascii="仿宋_GB2312" w:hAnsi="仿宋_GB2312" w:cs="仿宋_GB2312" w:eastAsia="仿宋_GB2312"/>
                <w:sz w:val="21"/>
                <w:color w:val="00B0F0"/>
              </w:rPr>
              <w:t>4.</w:t>
            </w:r>
            <w:r>
              <w:rPr>
                <w:rFonts w:ascii="仿宋_GB2312" w:hAnsi="仿宋_GB2312" w:cs="仿宋_GB2312" w:eastAsia="仿宋_GB2312"/>
                <w:sz w:val="21"/>
                <w:color w:val="00B0F0"/>
              </w:rPr>
              <w:t>概算价：222万元；</w:t>
            </w:r>
          </w:p>
          <w:p>
            <w:pPr>
              <w:pStyle w:val="null3"/>
            </w:pPr>
            <w:r>
              <w:rPr>
                <w:rFonts w:ascii="仿宋_GB2312" w:hAnsi="仿宋_GB2312" w:cs="仿宋_GB2312" w:eastAsia="仿宋_GB2312"/>
                <w:sz w:val="21"/>
                <w:color w:val="00B0F0"/>
              </w:rPr>
              <w:t>5.</w:t>
            </w:r>
            <w:r>
              <w:rPr>
                <w:rFonts w:ascii="仿宋_GB2312" w:hAnsi="仿宋_GB2312" w:cs="仿宋_GB2312" w:eastAsia="仿宋_GB2312"/>
                <w:sz w:val="21"/>
                <w:color w:val="00B0F0"/>
              </w:rPr>
              <w:t>计划工期：工程总工期4个月。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B0F0"/>
              </w:rPr>
              <w:t>二、施工范围</w:t>
            </w:r>
          </w:p>
          <w:p>
            <w:pPr>
              <w:pStyle w:val="null3"/>
            </w:pPr>
            <w:r>
              <w:rPr>
                <w:rFonts w:ascii="仿宋_GB2312" w:hAnsi="仿宋_GB2312" w:cs="仿宋_GB2312" w:eastAsia="仿宋_GB2312"/>
                <w:sz w:val="21"/>
                <w:color w:val="00B0F0"/>
              </w:rPr>
              <w:t>项目包括原设备机房和新建机房的内部结构改造和加固、防辐射防护工程（墙体、地面、顶棚防辐射处理）、机房通风系统改造、强弱电系统适配改造（满足直线加速器设备运行功率及安全要求）、机房门窗更换（需符合防辐射标准）、设备基础加固及预埋，以及改造后辐射检测等相关配套工作。负责工程全过程的施工组织，按计划完成所有施工工作直至竣工验收合格并整体移交，设备、物资的采购，工程保修期内的各项保修工作，竣工资料编制、整理、汇总等，同时承担相关协调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b/>
                <w:color w:val="00B0F0"/>
              </w:rPr>
              <w:t>三、技术要求</w:t>
            </w:r>
          </w:p>
          <w:p>
            <w:pPr>
              <w:pStyle w:val="null3"/>
            </w:pPr>
            <w:r>
              <w:rPr>
                <w:rFonts w:ascii="仿宋_GB2312" w:hAnsi="仿宋_GB2312" w:cs="仿宋_GB2312" w:eastAsia="仿宋_GB2312"/>
                <w:sz w:val="21"/>
                <w:color w:val="00B0F0"/>
              </w:rPr>
              <w:t>1.直线加速器机房改造后的装修和防辐射工程需严格遵循《医用X射线诊断放射防护要求》《电离辐射防护与辐射源安全基本标准》等国家现行规范，确保改造后机房辐射泄漏量符合国家规定，通过相关部门辐射检测验收；改造需结合新装直线加速器设备参数，由设备厂家工程师提供技术指导，确保改造后设备可正常安装、运行；所有施工材料须符合医用级标准，防辐射材料需提供产品合格证明及检测报告；</w:t>
            </w:r>
          </w:p>
          <w:p>
            <w:pPr>
              <w:pStyle w:val="null3"/>
            </w:pPr>
            <w:r>
              <w:rPr>
                <w:rFonts w:ascii="仿宋_GB2312" w:hAnsi="仿宋_GB2312" w:cs="仿宋_GB2312" w:eastAsia="仿宋_GB2312"/>
                <w:sz w:val="21"/>
                <w:color w:val="00B0F0"/>
              </w:rPr>
              <w:t>2.CT机房的装修和防辐射工程需严格遵循国家医用放射防护相关规范，CT室辐射泄漏量需符合国家规定，防护材料需提供产品合格证明及辐射检测报告；设备基础浇筑需符合CT设备参数要求，强度及尺寸误差控制在规范允许范围内；强弱电系统需满足CT设备运行功率需求，接地可靠，避免电路故障影响设备运行；地面材料需选用防滑、耐磨、防辐射的医用级材料，顶棚及墙面装饰需符合医院洁净要求；</w:t>
            </w:r>
          </w:p>
          <w:p>
            <w:pPr>
              <w:pStyle w:val="null3"/>
            </w:pPr>
            <w:r>
              <w:rPr>
                <w:rFonts w:ascii="仿宋_GB2312" w:hAnsi="仿宋_GB2312" w:cs="仿宋_GB2312" w:eastAsia="仿宋_GB2312"/>
                <w:sz w:val="21"/>
                <w:color w:val="00B0F0"/>
              </w:rPr>
              <w:t>3.核磁共振机房的装修和电磁屏蔽、射频屏蔽工程需符合核磁设备运行的屏蔽标准，确保无电磁干扰，屏蔽材料需提供合格证明及检测报告；地面防震动处理需满足核磁设备运行时的减震要求，避免设备运行产生的震动影响诊疗精度及周边环境；强弱电系统需单独铺设专用电路，接地电阻符合相关标准，避免电路干扰设备运行；所有施工需遵循《医院洁净护理与隔离单元技术标准》及医用影像科机房改造相关规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color w:val="00B0F0"/>
              </w:rPr>
              <w:t>四、其他要求</w:t>
            </w:r>
          </w:p>
          <w:p>
            <w:pPr>
              <w:pStyle w:val="null3"/>
            </w:pPr>
            <w:r>
              <w:rPr>
                <w:rFonts w:ascii="仿宋_GB2312" w:hAnsi="仿宋_GB2312" w:cs="仿宋_GB2312" w:eastAsia="仿宋_GB2312"/>
                <w:sz w:val="21"/>
                <w:color w:val="00B0F0"/>
              </w:rPr>
              <w:t>1.</w:t>
            </w:r>
            <w:r>
              <w:rPr>
                <w:rFonts w:ascii="仿宋_GB2312" w:hAnsi="仿宋_GB2312" w:cs="仿宋_GB2312" w:eastAsia="仿宋_GB2312"/>
                <w:sz w:val="21"/>
                <w:color w:val="00B0F0"/>
              </w:rPr>
              <w:t>施工过程中需配合医院做好安全管控，避免施工影响医院正常诊疗秩序；</w:t>
            </w:r>
          </w:p>
          <w:p>
            <w:pPr>
              <w:pStyle w:val="null3"/>
            </w:pPr>
            <w:r>
              <w:rPr>
                <w:rFonts w:ascii="仿宋_GB2312" w:hAnsi="仿宋_GB2312" w:cs="仿宋_GB2312" w:eastAsia="仿宋_GB2312"/>
                <w:sz w:val="21"/>
                <w:color w:val="00B0F0"/>
              </w:rPr>
              <w:t>2.</w:t>
            </w:r>
            <w:r>
              <w:rPr>
                <w:rFonts w:ascii="仿宋_GB2312" w:hAnsi="仿宋_GB2312" w:cs="仿宋_GB2312" w:eastAsia="仿宋_GB2312"/>
                <w:sz w:val="21"/>
                <w:color w:val="00B0F0"/>
              </w:rPr>
              <w:t>施工完成后需提供完整的施工资料及辐射检测报告，确保通过环评相关验收。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★1、本项目为固定单价合同，交钥匙工程。 ★2、本项目付款方式为：合同签订后支付合同总价的40%预付款，工程竣工、验收合格并移交资料后，支付合同总价的40%，工程审计完成并出具审计结算报告后，支付至最终结算价的97%，24个月后支付剩余3％。 每期支付合同款项前，乙方必须按照甲方要求向其提供与当期支付款项金额等值的合法合规有效发票。否则，甲方有权拒付费用且不承担任何责任。 ★3、本项目工期：4个月，自合同签订之日起至项目竣工验收合格。 ★4、质量标准：合格。 ★5、保修期：本项目质保期为三年，防水工程五年，保修期自验收合格并开具质量保证书之日起计算。 ★6、违约责任及解决争议的方法：依据《中华人民共和国民法典》、《中华人民共和国政府采购法》的相关条款和本合同约定执行。 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 （1）乙方赔偿甲方解除合同的全部损失（包括但不限于重新采购产生的费用以及其它由此造成的甲方对第三方的违约损失等）； （2）乙方支付甲方违约金，违约金计算方法：以合同总价为基数，支付甲方合同总价的30%为违约金。同时，对乙方的违约行为报监管机构进行相应的处罚。 2、若乙方未按照本合同第约定的时间响应并排除故障的，每超过一天，扣除乙方合同总价款的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 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 4、在合同期限内，乙方不得擅自转包、分包本合同项下的合同义务，否则甲方有权单方解除本合同并有权要求乙方按照本条第1款的规定承担根本违约责任。 本合同在履行过程中发生的争议，由甲、乙双方当事人协商解决，协商不成的任意一方可向甲方所在地有管辖权的人民法院提起诉讼。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增值税及所得税）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具有建筑装修装饰工程专业承包二级及以上资质</w:t>
            </w:r>
          </w:p>
        </w:tc>
        <w:tc>
          <w:tcPr>
            <w:tcW w:type="dxa" w:w="3322"/>
          </w:tcPr>
          <w:p>
            <w:pPr>
              <w:pStyle w:val="null3"/>
            </w:pPr>
            <w:r>
              <w:rPr>
                <w:rFonts w:ascii="仿宋_GB2312" w:hAnsi="仿宋_GB2312" w:cs="仿宋_GB2312" w:eastAsia="仿宋_GB2312"/>
              </w:rPr>
              <w:t>具有建筑装修装饰工程专业承包二级及以上资质，提供资质复印件</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具有有效的安全生产许可证，提供安全生产许可证复印件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项目经理具有建筑工程专业二级及以上注册建造师资格（在本单位注册）、有效的安全生产考核合格证书（B证）（在本单位注册）、提供项目经理无在建项目承诺书</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法定代表人授权委托书或法定代表人资格证明书</w:t>
            </w:r>
          </w:p>
        </w:tc>
        <w:tc>
          <w:tcPr>
            <w:tcW w:type="dxa" w:w="3322"/>
          </w:tcPr>
          <w:p>
            <w:pPr>
              <w:pStyle w:val="null3"/>
            </w:pPr>
            <w:r>
              <w:rPr>
                <w:rFonts w:ascii="仿宋_GB2312" w:hAnsi="仿宋_GB2312" w:cs="仿宋_GB2312" w:eastAsia="仿宋_GB2312"/>
              </w:rPr>
              <w:t>投标时提供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入陕企业</w:t>
            </w:r>
          </w:p>
        </w:tc>
        <w:tc>
          <w:tcPr>
            <w:tcW w:type="dxa" w:w="3322"/>
          </w:tcPr>
          <w:p>
            <w:pPr>
              <w:pStyle w:val="null3"/>
            </w:pPr>
            <w:r>
              <w:rPr>
                <w:rFonts w:ascii="仿宋_GB2312" w:hAnsi="仿宋_GB2312" w:cs="仿宋_GB2312" w:eastAsia="仿宋_GB2312"/>
              </w:rPr>
              <w:t>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供应商应提供的资格证明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存在下列情形之一的磋商小组可以认为供应商的报价明显低于其他供应商报价： (1)报价低于全部通过初步审查供应商报价平均值50%的，即报价&lt;全部通过初步审查供应商报价平均值×50%； (2)报价低于通过初步审查的次低报价供应商报价50%的，即报价&lt;通过初步审查的次低报价供应商报价×50%； (3)报价低于磋商项目最高限价45%的，即报价&lt;磋商项目最高限价×45%； (4)磋商小组认为供应商报价过低，有可能影响产品质量或者不能诚信履约的其他情形。 2.供应商通过项目电子化交易系统在磋商小组要求的合理时间(30分钟)内提交说明，否则无效。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供应商应提供的资格证明 已标价工程量清单 采购产品承诺函 中小企业声明函 磋商响应方案 技术、服务、合同条款及其他商务要求应答表 强制优先采购产品承诺函 响应文件封面 项目管理机构组成表 残疾人福利性单位声明函 报价函 标的清单 供应商类似项目业绩一览表 响应函 主要人员简历表 其他声明文件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所有提交的证件、资质、文件与印章一致</w:t>
            </w:r>
          </w:p>
        </w:tc>
        <w:tc>
          <w:tcPr>
            <w:tcW w:type="dxa" w:w="1661"/>
          </w:tcPr>
          <w:p>
            <w:pPr>
              <w:pStyle w:val="null3"/>
            </w:pPr>
            <w:r>
              <w:rPr>
                <w:rFonts w:ascii="仿宋_GB2312" w:hAnsi="仿宋_GB2312" w:cs="仿宋_GB2312" w:eastAsia="仿宋_GB2312"/>
              </w:rPr>
              <w:t>供应商应提供的资格证明 已标价工程量清单 采购产品承诺函 中小企业声明函 磋商响应方案 技术、服务、合同条款及其他商务要求应答表 强制优先采购产品承诺函 响应文件封面 项目管理机构组成表 残疾人福利性单位声明函 报价函 标的清单 供应商类似项目业绩一览表 响应函 主要人员简历表 其他声明文件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商务、技术要求及合同条款响应</w:t>
            </w:r>
          </w:p>
        </w:tc>
        <w:tc>
          <w:tcPr>
            <w:tcW w:type="dxa" w:w="3322"/>
          </w:tcPr>
          <w:p>
            <w:pPr>
              <w:pStyle w:val="null3"/>
            </w:pPr>
            <w:r>
              <w:rPr>
                <w:rFonts w:ascii="仿宋_GB2312" w:hAnsi="仿宋_GB2312" w:cs="仿宋_GB2312" w:eastAsia="仿宋_GB2312"/>
              </w:rPr>
              <w:t>响应磋商文件中商务、技术要求及合同条款内容，合同条款未含有采购人不能接受的附加条件。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不存在法律法规或招标文件规定的其他无效情形。</w:t>
            </w:r>
          </w:p>
        </w:tc>
        <w:tc>
          <w:tcPr>
            <w:tcW w:type="dxa" w:w="1661"/>
          </w:tcPr>
          <w:p>
            <w:pPr>
              <w:pStyle w:val="null3"/>
            </w:pPr>
            <w:r>
              <w:rPr>
                <w:rFonts w:ascii="仿宋_GB2312" w:hAnsi="仿宋_GB2312" w:cs="仿宋_GB2312" w:eastAsia="仿宋_GB2312"/>
              </w:rPr>
              <w:t>供应商应提供的资格证明 已标价工程量清单 采购产品承诺函 中小企业声明函 磋商响应方案 技术、服务、合同条款及其他商务要求应答表 强制优先采购产品承诺函 响应文件封面 项目管理机构组成表 残疾人福利性单位声明函 报价函 标的清单 供应商类似项目业绩一览表 响应函 主要人员简历表 其他声明文件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一、评审内容：①对项目内容、需改造的现有设备情况掌握；②对项目实施过程中的重点和难点分析。 二、评审标准：①全面性：内容全面，包括所有评审内容，无遗漏； ②详细性：内容详细，针对每一评审内容能够有明确具体的描述和说明； ③合理性：内容合理，准确，符合项目实际情况，有利于项目的实施。 三、赋分标准：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一、评审内容 为保证装修改造施工进度及交付后最终使用效果，投标人应制定有整体施工、安装、调试方案。内容包括：①总体施工方案及主要施工工艺、流程；②项目管理及技术力量配备；③质量保证措施；④安全管理体系与措施；⑤人、材、机供应计划；⑥文明施工、环境保护措施；⑦竣工验收流程及保障性措施。 二、评审标准 ①全面性：内容描述全面无缺漏； ②详细性：内容描述详细具体； ③合理性：内容合理、贴合项目实际需求。 三、赋分依据 每一项评审内容完全满足一项评审标准得1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针对本项目有切实可行的施工进度计划及工期保证措施。 一、评审内容：①施工进度计划安排；②确保施工进度的保障措施。 二、评审标准：①全面性：内容全面，包括所有评审内容，无遗漏； ②详细性：内容详细，针对每一评审内容能够有明确具体的描述和说明； ③合理性：内容合理，准确，符合项目实际情况，有利于项目的实施。 三、赋分标准：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根据投标单位提供的质量保证措施，包括①施工质量保证措施②施工安全管理措施③施工应急情况处理措施。 二、评审标准 ①完整性：方案须全面，对评审内容中的各项要求有详细描述； ②可实施性：切合本项目实际情况，实施步骤清晰、合理；③针对性：方案能够紧扣项目实际情况，内容科学合理。 三、赋分依据（满分9分）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材料与设备采购</w:t>
            </w:r>
          </w:p>
        </w:tc>
        <w:tc>
          <w:tcPr>
            <w:tcW w:type="dxa" w:w="2492"/>
          </w:tcPr>
          <w:p>
            <w:pPr>
              <w:pStyle w:val="null3"/>
            </w:pPr>
            <w:r>
              <w:rPr>
                <w:rFonts w:ascii="仿宋_GB2312" w:hAnsi="仿宋_GB2312" w:cs="仿宋_GB2312" w:eastAsia="仿宋_GB2312"/>
              </w:rPr>
              <w:t>一、评审内容 根据投标单位提供的材料与设备采购措施，包括①采购计划及实施方案②进场检验及管理方案。 二、评审标准 ①完整性：方案须全面，对评审内容中的各项要求有详细描述； ②可实施性：切合本项目实际情况，实施步骤清晰、合理；③针对性：方案能够紧扣项目实际情况，内容科学合理。 三、赋分依据： 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1.拟派项目经理的职称（满分 1分） 拟派项目经理具备中级（含）以上职称得 1 分；其余情况不得分。 2. 拟派项目经理2023年1月1日起至今签订并完成的类似的装修施工业绩，每有一项得1分，最多2分。 评审依据：评审时以供应商提供的拟派项目经理的职称证扫描件或复印件并加盖供应商公章为准，提供多个职称证明材料的，以最高职称证书的扫描件或复印件并加盖供应商公章为准。业绩证明材料以加盖公章的完整业绩合同（体现项目经理名称）复印件、竣工验收证明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拟派项目部人员构成</w:t>
            </w:r>
          </w:p>
        </w:tc>
        <w:tc>
          <w:tcPr>
            <w:tcW w:type="dxa" w:w="2492"/>
          </w:tcPr>
          <w:p>
            <w:pPr>
              <w:pStyle w:val="null3"/>
            </w:pPr>
            <w:r>
              <w:rPr>
                <w:rFonts w:ascii="仿宋_GB2312" w:hAnsi="仿宋_GB2312" w:cs="仿宋_GB2312" w:eastAsia="仿宋_GB2312"/>
              </w:rPr>
              <w:t>1.根据提供的拟派项目部人员构成及项目管理机构配置进行评审,每提供一名特种设备作业人员得 1 分，最高得 2 分； 2.除特种设备人员以外，每提供一名其他技术人员得 1 分，最高得 2 分；未配备不得分；本项满分 4分。 评审依据：配备技术人员应提供相关从业证书，评审时以供应商提供加盖供应商公章的证书复印件或扫描件为准。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根据项目实际需求提供保修方案。内容包含：①保修服务范围及保障措施、缺陷处理及补救措施②响应时间及保修服务便利措施、保修服务人员配置。 二、评审标准 ①完整性：内容完整无缺漏，对评审内容中的各项要求有具体详细的描述； ②可实施性及针对性：所提供方案切合本项目实际情况，思路清晰，步骤明确，措施合理；③针对性：方案能够紧扣项目实际情况，内容科学合理。 三、赋分依据： 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拟投入的材料中每有一项为节能产品经国家认证的得0.5分，每有一项为环境标志产品经国家认证的得0.5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在本项目的设计、施工过程中应用新技术、新产品、新工艺、新材料，每有1项新技术、新产品、新工艺、新材料（提供证明材料包括但不限于：鉴定、评估证书、承诺等）得0.5分，最多得2分。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供应商应提供的资格证明</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提供近2023年1月1日至今签订并完成的类似装修改造施工业绩，以加盖公章的完整业绩合同复印件、竣工验收证明材料为准，每提供一个有效业绩证明得1分。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磋商响应方案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采购产品承诺函</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磋商报价得分=（磋商基准价/最后磋商报价）×30。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详见附件：采购产品承诺函</w:t>
      </w:r>
    </w:p>
    <w:p>
      <w:pPr>
        <w:pStyle w:val="null3"/>
        <w:ind w:firstLine="960"/>
      </w:pPr>
      <w:r>
        <w:rPr>
          <w:rFonts w:ascii="仿宋_GB2312" w:hAnsi="仿宋_GB2312" w:cs="仿宋_GB2312" w:eastAsia="仿宋_GB2312"/>
        </w:rPr>
        <w:t>详见附件：其他声明文件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详见附件：大型设备间改造建设项目合同.docx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