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2E995FA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2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640"/>
        <w:gridCol w:w="1765"/>
        <w:gridCol w:w="2095"/>
        <w:gridCol w:w="1630"/>
        <w:gridCol w:w="1444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3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采购人名称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项目简要描述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实施时间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66EE6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EA4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CC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CFF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62A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07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514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2"/>
          <w:szCs w:val="22"/>
        </w:rPr>
      </w:pPr>
    </w:p>
    <w:p w14:paraId="2554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99" w:leftChars="-95" w:right="-313" w:rightChars="-149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说明：提供自2023年1月1日至今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同类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项目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中大型车辆维修保养类业绩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业绩</w:t>
      </w:r>
      <w:r>
        <w:rPr>
          <w:rFonts w:hint="eastAsia" w:ascii="仿宋" w:hAnsi="仿宋" w:eastAsia="仿宋" w:cs="仿宋"/>
          <w:color w:val="000000"/>
          <w:sz w:val="22"/>
          <w:szCs w:val="22"/>
          <w:lang w:val="zh-CN"/>
        </w:rPr>
        <w:t>证明材料（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业绩以合同为依据</w:t>
      </w:r>
      <w:r>
        <w:rPr>
          <w:rFonts w:hint="eastAsia" w:ascii="仿宋" w:hAnsi="仿宋" w:eastAsia="仿宋" w:cs="仿宋"/>
          <w:color w:val="000000"/>
          <w:sz w:val="22"/>
          <w:szCs w:val="22"/>
          <w:lang w:val="zh-CN"/>
        </w:rPr>
        <w:t>）。</w:t>
      </w:r>
    </w:p>
    <w:p w14:paraId="13784B78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019212EE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2246FBB7">
      <w:pPr>
        <w:spacing w:line="360" w:lineRule="auto"/>
        <w:ind w:left="3493" w:leftChars="1454" w:hanging="440" w:hanging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               </w:t>
      </w:r>
    </w:p>
    <w:p w14:paraId="6735AAEB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2"/>
          <w:szCs w:val="22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</w:t>
      </w:r>
    </w:p>
    <w:p w14:paraId="7442624B"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日   期：  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75282"/>
    <w:rsid w:val="4AC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2026-07-20T10:33:00Z</dcterms:created>
  <dc:creator>四方衡裕</dc:creator>
  <cp:lastModifiedBy>四方衡裕</cp:lastModifiedBy>
  <dcterms:modified xsi:type="dcterms:W3CDTF">2026-07-20T10:34:01Z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B01C7191BC4546D79D20CB149815C4DC_11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