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6D2B60">
      <w:pPr>
        <w:bidi w:val="0"/>
        <w:rPr>
          <w:rFonts w:hint="eastAsia"/>
        </w:rPr>
      </w:pPr>
    </w:p>
    <w:p w14:paraId="22313D6E">
      <w:pPr>
        <w:pStyle w:val="15"/>
        <w:keepNext w:val="0"/>
        <w:keepLines w:val="0"/>
        <w:pageBreakBefore w:val="0"/>
        <w:kinsoku/>
        <w:wordWrap/>
        <w:overflowPunct/>
        <w:topLinePunct w:val="0"/>
        <w:autoSpaceDE/>
        <w:autoSpaceDN/>
        <w:bidi w:val="0"/>
        <w:adjustRightInd/>
        <w:snapToGrid/>
        <w:spacing w:line="400" w:lineRule="exact"/>
        <w:jc w:val="center"/>
        <w:textAlignment w:val="auto"/>
        <w:outlineLvl w:val="1"/>
        <w:rPr>
          <w:rFonts w:hint="eastAsia" w:ascii="宋体" w:hAnsi="宋体" w:eastAsia="宋体" w:cs="宋体"/>
          <w:sz w:val="32"/>
          <w:szCs w:val="32"/>
        </w:rPr>
      </w:pPr>
      <w:r>
        <w:rPr>
          <w:rFonts w:hint="eastAsia" w:ascii="宋体" w:hAnsi="宋体" w:eastAsia="宋体" w:cs="宋体"/>
          <w:b/>
          <w:sz w:val="32"/>
          <w:szCs w:val="32"/>
        </w:rPr>
        <w:t>磋商项目技术、服务、商务及其他要求</w:t>
      </w:r>
    </w:p>
    <w:p w14:paraId="6389635D">
      <w:pPr>
        <w:bidi w:val="0"/>
        <w:rPr>
          <w:rFonts w:hint="eastAsia"/>
        </w:rPr>
      </w:pPr>
    </w:p>
    <w:p w14:paraId="7AB7E7FE">
      <w:pPr>
        <w:pStyle w:val="15"/>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宋体" w:hAnsi="宋体" w:eastAsia="宋体" w:cs="宋体"/>
          <w:b/>
          <w:sz w:val="21"/>
          <w:szCs w:val="21"/>
        </w:rPr>
      </w:pPr>
      <w:r>
        <w:rPr>
          <w:rFonts w:hint="eastAsia" w:ascii="宋体" w:hAnsi="宋体" w:eastAsia="宋体" w:cs="宋体"/>
          <w:b/>
          <w:sz w:val="21"/>
          <w:szCs w:val="21"/>
          <w:lang w:val="en-US" w:eastAsia="zh-CN"/>
        </w:rPr>
        <w:t>1.</w:t>
      </w:r>
      <w:r>
        <w:rPr>
          <w:rFonts w:hint="eastAsia" w:ascii="宋体" w:hAnsi="宋体" w:eastAsia="宋体" w:cs="宋体"/>
          <w:b/>
          <w:sz w:val="21"/>
          <w:szCs w:val="21"/>
        </w:rPr>
        <w:t>采购项目概况</w:t>
      </w:r>
    </w:p>
    <w:p w14:paraId="7D05B552">
      <w:pPr>
        <w:pStyle w:val="15"/>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为更好地完成西安市工业和信息化局“工业倍增、产业链提升”这一核心工作，针对当前工信局业务信息化能力不足、工具薄弱、数据留存使用困难等突出问题，同时依据《西安市数字政府改革建设方案》总体部署，西安市工业和信息化局拟组织开展《西安市工信局核心业务流程规划管理设计方案》的编制工作。本项目旨在提升西安市工信局业务流程数字化管理水平，全面提升全市工业产业管理和服务的数字化、智能化、高效化水平。</w:t>
      </w:r>
    </w:p>
    <w:p w14:paraId="22ECC049">
      <w:pPr>
        <w:pStyle w:val="15"/>
        <w:keepNext w:val="0"/>
        <w:keepLines w:val="0"/>
        <w:pageBreakBefore w:val="0"/>
        <w:kinsoku/>
        <w:wordWrap/>
        <w:overflowPunct/>
        <w:topLinePunct w:val="0"/>
        <w:autoSpaceDE/>
        <w:autoSpaceDN/>
        <w:bidi w:val="0"/>
        <w:adjustRightInd/>
        <w:snapToGrid/>
        <w:spacing w:line="400" w:lineRule="exact"/>
        <w:textAlignment w:val="auto"/>
        <w:outlineLvl w:val="2"/>
        <w:rPr>
          <w:rFonts w:hint="eastAsia" w:ascii="宋体" w:hAnsi="宋体" w:eastAsia="宋体" w:cs="宋体"/>
          <w:sz w:val="21"/>
          <w:szCs w:val="21"/>
        </w:rPr>
      </w:pPr>
      <w:r>
        <w:rPr>
          <w:rFonts w:hint="eastAsia" w:ascii="宋体" w:hAnsi="宋体" w:eastAsia="宋体" w:cs="宋体"/>
          <w:b/>
          <w:sz w:val="21"/>
          <w:szCs w:val="21"/>
          <w:lang w:val="en-US" w:eastAsia="zh-CN"/>
        </w:rPr>
        <w:t>2.</w:t>
      </w:r>
      <w:r>
        <w:rPr>
          <w:rFonts w:hint="eastAsia" w:ascii="宋体" w:hAnsi="宋体" w:eastAsia="宋体" w:cs="宋体"/>
          <w:b/>
          <w:sz w:val="21"/>
          <w:szCs w:val="21"/>
        </w:rPr>
        <w:t>服务内容及服务要求</w:t>
      </w:r>
    </w:p>
    <w:p w14:paraId="7A40D77A">
      <w:pPr>
        <w:pStyle w:val="15"/>
        <w:keepNext w:val="0"/>
        <w:keepLines w:val="0"/>
        <w:pageBreakBefore w:val="0"/>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sz w:val="21"/>
          <w:szCs w:val="21"/>
        </w:rPr>
      </w:pPr>
      <w:r>
        <w:rPr>
          <w:rFonts w:hint="eastAsia" w:ascii="宋体" w:hAnsi="宋体" w:eastAsia="宋体" w:cs="宋体"/>
          <w:b/>
          <w:sz w:val="21"/>
          <w:szCs w:val="21"/>
        </w:rPr>
        <w:t>2.1服务内容</w:t>
      </w:r>
    </w:p>
    <w:p w14:paraId="7FBBCD83">
      <w:pPr>
        <w:pStyle w:val="15"/>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采购包预算金额（元）:300,000.00</w:t>
      </w:r>
    </w:p>
    <w:p w14:paraId="1962B897">
      <w:pPr>
        <w:pStyle w:val="15"/>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采购包最高限价（元）:300,000.00</w:t>
      </w:r>
    </w:p>
    <w:p w14:paraId="55A4FA33">
      <w:pPr>
        <w:pStyle w:val="15"/>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供应商报价不允许超过标的金额</w:t>
      </w:r>
    </w:p>
    <w:p w14:paraId="5C5D64BE">
      <w:pPr>
        <w:pStyle w:val="15"/>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sz w:val="21"/>
          <w:szCs w:val="21"/>
        </w:rPr>
      </w:pPr>
      <w:r>
        <w:rPr>
          <w:rFonts w:hint="eastAsia" w:ascii="宋体" w:hAnsi="宋体" w:eastAsia="宋体" w:cs="宋体"/>
          <w:sz w:val="21"/>
          <w:szCs w:val="21"/>
        </w:rPr>
        <w:t>（招单价的）供应商报价不允许超过标的单价</w:t>
      </w:r>
    </w:p>
    <w:tbl>
      <w:tblPr>
        <w:tblStyle w:val="9"/>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3"/>
        <w:gridCol w:w="723"/>
        <w:gridCol w:w="742"/>
        <w:gridCol w:w="1266"/>
        <w:gridCol w:w="724"/>
        <w:gridCol w:w="724"/>
        <w:gridCol w:w="724"/>
        <w:gridCol w:w="724"/>
        <w:gridCol w:w="724"/>
        <w:gridCol w:w="724"/>
        <w:gridCol w:w="724"/>
      </w:tblGrid>
      <w:tr w14:paraId="649943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4" w:type="pct"/>
            <w:vAlign w:val="center"/>
          </w:tcPr>
          <w:p w14:paraId="30EE9BEE">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424" w:type="pct"/>
            <w:vAlign w:val="center"/>
          </w:tcPr>
          <w:p w14:paraId="543029D3">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标的名称</w:t>
            </w:r>
          </w:p>
        </w:tc>
        <w:tc>
          <w:tcPr>
            <w:tcW w:w="435" w:type="pct"/>
            <w:vAlign w:val="center"/>
          </w:tcPr>
          <w:p w14:paraId="79E4046F">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数量</w:t>
            </w:r>
          </w:p>
        </w:tc>
        <w:tc>
          <w:tcPr>
            <w:tcW w:w="742" w:type="pct"/>
            <w:vAlign w:val="center"/>
          </w:tcPr>
          <w:p w14:paraId="36053B43">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标的金额（元）</w:t>
            </w:r>
          </w:p>
        </w:tc>
        <w:tc>
          <w:tcPr>
            <w:tcW w:w="424" w:type="pct"/>
            <w:vAlign w:val="center"/>
          </w:tcPr>
          <w:p w14:paraId="20CC547E">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计量单位</w:t>
            </w:r>
          </w:p>
        </w:tc>
        <w:tc>
          <w:tcPr>
            <w:tcW w:w="424" w:type="pct"/>
            <w:vAlign w:val="center"/>
          </w:tcPr>
          <w:p w14:paraId="7889FE65">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所属行业</w:t>
            </w:r>
          </w:p>
        </w:tc>
        <w:tc>
          <w:tcPr>
            <w:tcW w:w="424" w:type="pct"/>
            <w:vAlign w:val="center"/>
          </w:tcPr>
          <w:p w14:paraId="611BF61F">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是否核心产品</w:t>
            </w:r>
          </w:p>
        </w:tc>
        <w:tc>
          <w:tcPr>
            <w:tcW w:w="424" w:type="pct"/>
            <w:vAlign w:val="center"/>
          </w:tcPr>
          <w:p w14:paraId="0D800AC7">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是否允许进口产品</w:t>
            </w:r>
          </w:p>
        </w:tc>
        <w:tc>
          <w:tcPr>
            <w:tcW w:w="424" w:type="pct"/>
            <w:vAlign w:val="center"/>
          </w:tcPr>
          <w:p w14:paraId="12294015">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是否属于节能产品</w:t>
            </w:r>
          </w:p>
        </w:tc>
        <w:tc>
          <w:tcPr>
            <w:tcW w:w="424" w:type="pct"/>
            <w:vAlign w:val="center"/>
          </w:tcPr>
          <w:p w14:paraId="730742F3">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是否属于环境标志产品</w:t>
            </w:r>
          </w:p>
        </w:tc>
        <w:tc>
          <w:tcPr>
            <w:tcW w:w="424" w:type="pct"/>
            <w:vAlign w:val="center"/>
          </w:tcPr>
          <w:p w14:paraId="296B461E">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是否实施本国产品政策</w:t>
            </w:r>
          </w:p>
        </w:tc>
      </w:tr>
      <w:tr w14:paraId="412400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24" w:type="pct"/>
            <w:vAlign w:val="center"/>
          </w:tcPr>
          <w:p w14:paraId="7E7F9749">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424" w:type="pct"/>
            <w:vAlign w:val="center"/>
          </w:tcPr>
          <w:p w14:paraId="58920FFA">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核心业务流程规划设计</w:t>
            </w:r>
          </w:p>
        </w:tc>
        <w:tc>
          <w:tcPr>
            <w:tcW w:w="435" w:type="pct"/>
            <w:vAlign w:val="center"/>
          </w:tcPr>
          <w:p w14:paraId="6EF17CF4">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1.00</w:t>
            </w:r>
          </w:p>
        </w:tc>
        <w:tc>
          <w:tcPr>
            <w:tcW w:w="742" w:type="pct"/>
            <w:vAlign w:val="center"/>
          </w:tcPr>
          <w:p w14:paraId="5ACF4FE0">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300,000.00</w:t>
            </w:r>
          </w:p>
        </w:tc>
        <w:tc>
          <w:tcPr>
            <w:tcW w:w="424" w:type="pct"/>
            <w:vAlign w:val="center"/>
          </w:tcPr>
          <w:p w14:paraId="2FC3540E">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项</w:t>
            </w:r>
          </w:p>
        </w:tc>
        <w:tc>
          <w:tcPr>
            <w:tcW w:w="424" w:type="pct"/>
            <w:vAlign w:val="center"/>
          </w:tcPr>
          <w:p w14:paraId="43448BBA">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其他未列明行业</w:t>
            </w:r>
          </w:p>
        </w:tc>
        <w:tc>
          <w:tcPr>
            <w:tcW w:w="424" w:type="pct"/>
            <w:vAlign w:val="center"/>
          </w:tcPr>
          <w:p w14:paraId="38A34271">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否</w:t>
            </w:r>
          </w:p>
        </w:tc>
        <w:tc>
          <w:tcPr>
            <w:tcW w:w="424" w:type="pct"/>
            <w:vAlign w:val="center"/>
          </w:tcPr>
          <w:p w14:paraId="225CE63A">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否</w:t>
            </w:r>
          </w:p>
        </w:tc>
        <w:tc>
          <w:tcPr>
            <w:tcW w:w="424" w:type="pct"/>
            <w:vAlign w:val="center"/>
          </w:tcPr>
          <w:p w14:paraId="06E64752">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否</w:t>
            </w:r>
          </w:p>
        </w:tc>
        <w:tc>
          <w:tcPr>
            <w:tcW w:w="424" w:type="pct"/>
            <w:vAlign w:val="center"/>
          </w:tcPr>
          <w:p w14:paraId="064D9DBA">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否</w:t>
            </w:r>
          </w:p>
        </w:tc>
        <w:tc>
          <w:tcPr>
            <w:tcW w:w="424" w:type="pct"/>
            <w:vAlign w:val="center"/>
          </w:tcPr>
          <w:p w14:paraId="104DE091">
            <w:pPr>
              <w:pStyle w:val="15"/>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rPr>
            </w:pPr>
            <w:r>
              <w:rPr>
                <w:rFonts w:hint="eastAsia" w:ascii="宋体" w:hAnsi="宋体" w:eastAsia="宋体" w:cs="宋体"/>
                <w:sz w:val="21"/>
                <w:szCs w:val="21"/>
              </w:rPr>
              <w:t>否</w:t>
            </w:r>
          </w:p>
        </w:tc>
      </w:tr>
    </w:tbl>
    <w:p w14:paraId="6FA934A3">
      <w:pPr>
        <w:pStyle w:val="15"/>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outlineLvl w:val="2"/>
        <w:rPr>
          <w:rFonts w:hint="eastAsia" w:ascii="宋体" w:hAnsi="宋体" w:eastAsia="宋体" w:cs="宋体"/>
          <w:sz w:val="21"/>
          <w:szCs w:val="21"/>
        </w:rPr>
      </w:pPr>
      <w:r>
        <w:rPr>
          <w:rFonts w:hint="eastAsia" w:ascii="宋体" w:hAnsi="宋体" w:eastAsia="宋体" w:cs="宋体"/>
          <w:b/>
          <w:sz w:val="21"/>
          <w:szCs w:val="21"/>
        </w:rPr>
        <w:t>2.2服务要求</w:t>
      </w:r>
    </w:p>
    <w:p w14:paraId="010EBA01">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1</w:t>
      </w:r>
      <w:r>
        <w:rPr>
          <w:rFonts w:hint="eastAsia" w:ascii="宋体" w:hAnsi="宋体" w:eastAsia="宋体" w:cs="宋体"/>
          <w:sz w:val="21"/>
          <w:szCs w:val="21"/>
        </w:rPr>
        <w:t>）从西安市工信局核心业务的实际需要出发，在充分调研的基础上编制方案，调研对象应涵盖西安市工业和信息化局核心业务处室；梳理核心业务处室现有业务流程中业务场景，按照业务流、数据流、信息流的数字化管理设计原则，针对核心业务流程进行数字化、要素化规划设计；规划设计需涉及业务流程、关联部门与单位、数据流转方式、价值导向、核心问题、线上线下工作需求等事项；场景筛选须依据高频刚需、数据可获取、技术适配性、价值显著等原则进行科学筛选，确保筛选出的业务场景具备数字化基础和高价值特征；业务流程数字化方案与数字政府总体框架保持一致性和兼容性；形成清晰的核心业务流程图和用户关系图，提交方案应总体符合西安市工业和信息化局相关业务部门的要求，为后续数字工信平台建设提供业务基础支撑。</w:t>
      </w:r>
    </w:p>
    <w:p w14:paraId="61F92016">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2</w:t>
      </w:r>
      <w:r>
        <w:rPr>
          <w:rFonts w:hint="eastAsia" w:ascii="宋体" w:hAnsi="宋体" w:eastAsia="宋体" w:cs="宋体"/>
          <w:sz w:val="21"/>
          <w:szCs w:val="21"/>
        </w:rPr>
        <w:t>）完成《西安市工信局核心业务流程规划管理设计方案》。交付物包含：《西安市工信局核心业务流程规划管理设计方案》文本1份，核心业务场景框架图1套、核心业务流程图1套，需覆盖4个核心业务处室（分别为运行监测与安全处、规划投资处、中小企业发展服务处、产业链推进处）。</w:t>
      </w:r>
    </w:p>
    <w:p w14:paraId="38FA5EAF">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eastAsia="宋体" w:cs="宋体"/>
          <w:sz w:val="21"/>
          <w:szCs w:val="21"/>
          <w:lang w:val="en-US" w:eastAsia="zh-CN"/>
        </w:rPr>
        <w:t>3</w:t>
      </w:r>
      <w:r>
        <w:rPr>
          <w:rFonts w:hint="eastAsia" w:ascii="宋体" w:hAnsi="宋体" w:eastAsia="宋体" w:cs="宋体"/>
          <w:sz w:val="21"/>
          <w:szCs w:val="21"/>
        </w:rPr>
        <w:t>）技术要求与标准</w:t>
      </w:r>
    </w:p>
    <w:p w14:paraId="0EC2A827">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①项目成果包括但不限于现状调研清单、方案设计文本、业务场景清单、业务流程图等。项目完成后，供应商需配合采购人完成项目评审、报批、宣贯等相关工作。</w:t>
      </w:r>
    </w:p>
    <w:p w14:paraId="28AD0265">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rPr>
      </w:pPr>
      <w:r>
        <w:rPr>
          <w:rFonts w:hint="eastAsia" w:ascii="宋体" w:hAnsi="宋体" w:eastAsia="宋体" w:cs="宋体"/>
          <w:sz w:val="21"/>
          <w:szCs w:val="21"/>
        </w:rPr>
        <w:t>②供应商所提供的项目成果或服务应符合相关的法律法规及行业的标准规</w:t>
      </w:r>
      <w:r>
        <w:rPr>
          <w:rFonts w:hint="eastAsia"/>
        </w:rPr>
        <w:t>范。</w:t>
      </w:r>
    </w:p>
    <w:p w14:paraId="282A6FCC">
      <w:pPr>
        <w:pStyle w:val="15"/>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宋体" w:hAnsi="宋体" w:eastAsia="宋体" w:cs="宋体"/>
          <w:sz w:val="21"/>
          <w:szCs w:val="21"/>
        </w:rPr>
      </w:pPr>
      <w:r>
        <w:rPr>
          <w:rFonts w:hint="eastAsia" w:ascii="宋体" w:hAnsi="宋体" w:eastAsia="宋体" w:cs="宋体"/>
          <w:b/>
          <w:sz w:val="21"/>
          <w:szCs w:val="21"/>
        </w:rPr>
        <w:t>3</w:t>
      </w:r>
      <w:r>
        <w:rPr>
          <w:rFonts w:hint="eastAsia" w:ascii="宋体" w:hAnsi="宋体" w:eastAsia="宋体" w:cs="宋体"/>
          <w:b/>
          <w:sz w:val="21"/>
          <w:szCs w:val="21"/>
          <w:lang w:val="en-US" w:eastAsia="zh-CN"/>
        </w:rPr>
        <w:t>.</w:t>
      </w:r>
      <w:r>
        <w:rPr>
          <w:rFonts w:hint="eastAsia" w:ascii="宋体" w:hAnsi="宋体" w:eastAsia="宋体" w:cs="宋体"/>
          <w:b/>
          <w:sz w:val="21"/>
          <w:szCs w:val="21"/>
        </w:rPr>
        <w:t>商务要求</w:t>
      </w:r>
    </w:p>
    <w:p w14:paraId="189DD085">
      <w:pPr>
        <w:pStyle w:val="15"/>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sz w:val="21"/>
          <w:szCs w:val="21"/>
        </w:rPr>
      </w:pPr>
      <w:r>
        <w:rPr>
          <w:rFonts w:hint="eastAsia" w:ascii="宋体" w:hAnsi="宋体" w:eastAsia="宋体" w:cs="宋体"/>
          <w:b/>
          <w:sz w:val="21"/>
          <w:szCs w:val="21"/>
        </w:rPr>
        <w:t>3.1服务期限</w:t>
      </w:r>
    </w:p>
    <w:p w14:paraId="631A93BE">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合同签订后60日历天完成规划编制服务</w:t>
      </w:r>
    </w:p>
    <w:p w14:paraId="4495EF83">
      <w:pPr>
        <w:pStyle w:val="15"/>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sz w:val="21"/>
          <w:szCs w:val="21"/>
        </w:rPr>
      </w:pPr>
      <w:r>
        <w:rPr>
          <w:rFonts w:hint="eastAsia" w:ascii="宋体" w:hAnsi="宋体" w:eastAsia="宋体" w:cs="宋体"/>
          <w:b/>
          <w:sz w:val="21"/>
          <w:szCs w:val="21"/>
        </w:rPr>
        <w:t>3.2服务地点</w:t>
      </w:r>
    </w:p>
    <w:p w14:paraId="7E3FCDAC">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采购人指定地点</w:t>
      </w:r>
    </w:p>
    <w:p w14:paraId="7B02E543">
      <w:pPr>
        <w:pStyle w:val="15"/>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sz w:val="21"/>
          <w:szCs w:val="21"/>
        </w:rPr>
      </w:pPr>
      <w:r>
        <w:rPr>
          <w:rFonts w:hint="eastAsia" w:ascii="宋体" w:hAnsi="宋体" w:eastAsia="宋体" w:cs="宋体"/>
          <w:b/>
          <w:sz w:val="21"/>
          <w:szCs w:val="21"/>
        </w:rPr>
        <w:t>3.3考核（验收）标准和方法</w:t>
      </w:r>
    </w:p>
    <w:p w14:paraId="11669E29">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⑴成果提交：项目最终成果应符合国家、省、市现行相关规范标准及采购人要求。 验收依据： ①采购文件、响应文件、澄清表（函）； ②本合同及附件文本； ③合同签订时国家及行业现行的标准和技术规范。 ⑵验收要求：受托方提交的成果需经</w:t>
      </w:r>
      <w:r>
        <w:rPr>
          <w:rFonts w:hint="eastAsia" w:ascii="宋体" w:hAnsi="宋体" w:eastAsia="宋体" w:cs="宋体"/>
          <w:sz w:val="21"/>
          <w:szCs w:val="21"/>
          <w:lang w:val="en-US" w:eastAsia="zh-CN"/>
        </w:rPr>
        <w:t>采购人</w:t>
      </w:r>
      <w:r>
        <w:rPr>
          <w:rFonts w:hint="eastAsia" w:ascii="宋体" w:hAnsi="宋体" w:eastAsia="宋体" w:cs="宋体"/>
          <w:sz w:val="21"/>
          <w:szCs w:val="21"/>
        </w:rPr>
        <w:t>审议通过后，方可通过验收。</w:t>
      </w:r>
    </w:p>
    <w:p w14:paraId="150D162D">
      <w:pPr>
        <w:pStyle w:val="15"/>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sz w:val="21"/>
          <w:szCs w:val="21"/>
        </w:rPr>
      </w:pPr>
      <w:r>
        <w:rPr>
          <w:rFonts w:hint="eastAsia" w:ascii="宋体" w:hAnsi="宋体" w:eastAsia="宋体" w:cs="宋体"/>
          <w:b/>
          <w:sz w:val="21"/>
          <w:szCs w:val="21"/>
        </w:rPr>
        <w:t>3.4支付方式</w:t>
      </w:r>
    </w:p>
    <w:p w14:paraId="3C9B585F">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分期付款</w:t>
      </w:r>
    </w:p>
    <w:p w14:paraId="28D6E707">
      <w:pPr>
        <w:pStyle w:val="15"/>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sz w:val="21"/>
          <w:szCs w:val="21"/>
        </w:rPr>
      </w:pPr>
      <w:r>
        <w:rPr>
          <w:rFonts w:hint="eastAsia" w:ascii="宋体" w:hAnsi="宋体" w:eastAsia="宋体" w:cs="宋体"/>
          <w:b/>
          <w:sz w:val="21"/>
          <w:szCs w:val="21"/>
        </w:rPr>
        <w:t>3.5支付约定</w:t>
      </w:r>
    </w:p>
    <w:p w14:paraId="700973BA">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lang w:eastAsia="zh-CN"/>
        </w:rPr>
      </w:pPr>
      <w:r>
        <w:rPr>
          <w:rFonts w:hint="eastAsia" w:ascii="宋体" w:hAnsi="宋体" w:eastAsia="宋体" w:cs="宋体"/>
          <w:sz w:val="21"/>
          <w:szCs w:val="21"/>
        </w:rPr>
        <w:t>合同签订后，达到付款条件起20个工作日内，支付合同总金额的50.0%</w:t>
      </w:r>
      <w:r>
        <w:rPr>
          <w:rFonts w:hint="eastAsia" w:ascii="宋体" w:hAnsi="宋体" w:eastAsia="宋体" w:cs="宋体"/>
          <w:sz w:val="21"/>
          <w:szCs w:val="21"/>
          <w:lang w:eastAsia="zh-CN"/>
        </w:rPr>
        <w:t>；</w:t>
      </w:r>
      <w:r>
        <w:rPr>
          <w:rFonts w:hint="eastAsia" w:ascii="宋体" w:hAnsi="宋体" w:eastAsia="宋体" w:cs="宋体"/>
          <w:sz w:val="21"/>
          <w:szCs w:val="21"/>
        </w:rPr>
        <w:t>供应商提交最终成果文件且经采购人审核通过后，达到付款条件起20个工作日内，支付合同总金额的50.0%</w:t>
      </w:r>
      <w:r>
        <w:rPr>
          <w:rFonts w:hint="eastAsia" w:ascii="宋体" w:hAnsi="宋体" w:eastAsia="宋体" w:cs="宋体"/>
          <w:sz w:val="21"/>
          <w:szCs w:val="21"/>
          <w:lang w:eastAsia="zh-CN"/>
        </w:rPr>
        <w:t>。</w:t>
      </w:r>
    </w:p>
    <w:p w14:paraId="57A9E15E">
      <w:pPr>
        <w:pStyle w:val="15"/>
        <w:keepNext w:val="0"/>
        <w:keepLines w:val="0"/>
        <w:pageBreakBefore w:val="0"/>
        <w:widowControl/>
        <w:kinsoku/>
        <w:wordWrap/>
        <w:overflowPunct/>
        <w:topLinePunct w:val="0"/>
        <w:autoSpaceDE/>
        <w:autoSpaceDN/>
        <w:bidi w:val="0"/>
        <w:adjustRightInd/>
        <w:snapToGrid/>
        <w:spacing w:line="400" w:lineRule="exact"/>
        <w:ind w:firstLine="422" w:firstLineChars="200"/>
        <w:textAlignment w:val="auto"/>
        <w:outlineLvl w:val="3"/>
        <w:rPr>
          <w:rFonts w:hint="eastAsia" w:ascii="宋体" w:hAnsi="宋体" w:eastAsia="宋体" w:cs="宋体"/>
          <w:sz w:val="21"/>
          <w:szCs w:val="21"/>
        </w:rPr>
      </w:pPr>
      <w:r>
        <w:rPr>
          <w:rFonts w:hint="eastAsia" w:ascii="宋体" w:hAnsi="宋体" w:eastAsia="宋体" w:cs="宋体"/>
          <w:b/>
          <w:sz w:val="21"/>
          <w:szCs w:val="21"/>
        </w:rPr>
        <w:t>3.6违约责任及解决争议的方法</w:t>
      </w:r>
      <w:bookmarkStart w:id="0" w:name="_GoBack"/>
      <w:bookmarkEnd w:id="0"/>
    </w:p>
    <w:p w14:paraId="2C480CC2">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见合同文本</w:t>
      </w:r>
    </w:p>
    <w:p w14:paraId="0964948F">
      <w:pPr>
        <w:pStyle w:val="15"/>
        <w:keepNext w:val="0"/>
        <w:keepLines w:val="0"/>
        <w:pageBreakBefore w:val="0"/>
        <w:widowControl/>
        <w:kinsoku/>
        <w:wordWrap/>
        <w:overflowPunct/>
        <w:topLinePunct w:val="0"/>
        <w:autoSpaceDE/>
        <w:autoSpaceDN/>
        <w:bidi w:val="0"/>
        <w:adjustRightInd/>
        <w:snapToGrid/>
        <w:spacing w:line="400" w:lineRule="exact"/>
        <w:textAlignment w:val="auto"/>
        <w:outlineLvl w:val="2"/>
        <w:rPr>
          <w:rFonts w:hint="eastAsia" w:ascii="宋体" w:hAnsi="宋体" w:eastAsia="宋体" w:cs="宋体"/>
          <w:sz w:val="21"/>
          <w:szCs w:val="21"/>
        </w:rPr>
      </w:pPr>
      <w:r>
        <w:rPr>
          <w:rFonts w:hint="eastAsia" w:ascii="宋体" w:hAnsi="宋体" w:eastAsia="宋体" w:cs="宋体"/>
          <w:b/>
          <w:sz w:val="21"/>
          <w:szCs w:val="21"/>
        </w:rPr>
        <w:t>4</w:t>
      </w:r>
      <w:r>
        <w:rPr>
          <w:rFonts w:hint="eastAsia" w:ascii="宋体" w:hAnsi="宋体" w:eastAsia="宋体" w:cs="宋体"/>
          <w:b/>
          <w:sz w:val="21"/>
          <w:szCs w:val="21"/>
          <w:lang w:val="en-US" w:eastAsia="zh-CN"/>
        </w:rPr>
        <w:t>.</w:t>
      </w:r>
      <w:r>
        <w:rPr>
          <w:rFonts w:hint="eastAsia" w:ascii="宋体" w:hAnsi="宋体" w:eastAsia="宋体" w:cs="宋体"/>
          <w:b/>
          <w:sz w:val="21"/>
          <w:szCs w:val="21"/>
        </w:rPr>
        <w:t>其他要求</w:t>
      </w:r>
    </w:p>
    <w:p w14:paraId="28A260D3">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⑴供应商负责完成本项目采购需求内的一切事项，并完成相关工作。凡涉及与本项目服务相关的报告编制、成果出具、人员保险、税金、验收等，所有费用一次性计入投标总价，合同履约过程中采购人不再支付其他额外费用。</w:t>
      </w:r>
    </w:p>
    <w:p w14:paraId="33BD9936">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⑵供应商应保证对采购人提供的资料，以及对项目实施过程中知悉的秘密（包括但但不限于国家秘密、科研秘密、商业秘密、群众个人信息等所有秘密）履行保密义务，不得就所涉及的秘密及敏感信息以单位或者个人名义公开披露和公开发表观点。</w:t>
      </w:r>
    </w:p>
    <w:p w14:paraId="61EFD229">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⑶方案成果（包括但不限于流程图、设计方案文本等）的知识产权归采购人所有。供应商不得将成果用于其他项目或向第三方披露。供应商保证成果不侵犯第三方知识产权，如发生侵权纠纷由供应商承担全部责任。</w:t>
      </w:r>
    </w:p>
    <w:p w14:paraId="725638E2">
      <w:pPr>
        <w:pStyle w:val="15"/>
        <w:keepNext w:val="0"/>
        <w:keepLines w:val="0"/>
        <w:pageBreakBefore w:val="0"/>
        <w:widowControl/>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sz w:val="21"/>
          <w:szCs w:val="21"/>
        </w:rPr>
      </w:pPr>
      <w:r>
        <w:rPr>
          <w:rFonts w:hint="eastAsia" w:ascii="宋体" w:hAnsi="宋体" w:eastAsia="宋体" w:cs="宋体"/>
          <w:sz w:val="21"/>
          <w:szCs w:val="21"/>
        </w:rPr>
        <w:t>⑷成交供应商在成交结果公告后3个工作日内将3份与上传响应文件一致的纸质版响应文件递交代理机构。</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6F1B90"/>
    <w:rsid w:val="03682D0F"/>
    <w:rsid w:val="05FD1BBE"/>
    <w:rsid w:val="06AC0A0C"/>
    <w:rsid w:val="0EC73F5E"/>
    <w:rsid w:val="0FA314C4"/>
    <w:rsid w:val="100C66D5"/>
    <w:rsid w:val="122A05F8"/>
    <w:rsid w:val="17395C7D"/>
    <w:rsid w:val="1E731794"/>
    <w:rsid w:val="240D341D"/>
    <w:rsid w:val="24422E26"/>
    <w:rsid w:val="26E7587D"/>
    <w:rsid w:val="29DF3391"/>
    <w:rsid w:val="2B780E96"/>
    <w:rsid w:val="2EA62314"/>
    <w:rsid w:val="30DB2D00"/>
    <w:rsid w:val="31F05F32"/>
    <w:rsid w:val="3465383C"/>
    <w:rsid w:val="3CB75A27"/>
    <w:rsid w:val="3D643E0C"/>
    <w:rsid w:val="3D6E74D6"/>
    <w:rsid w:val="3D6F1B90"/>
    <w:rsid w:val="40CC25C5"/>
    <w:rsid w:val="4541667C"/>
    <w:rsid w:val="49787CEA"/>
    <w:rsid w:val="4AFE4EC2"/>
    <w:rsid w:val="54897A6D"/>
    <w:rsid w:val="5B6B56EA"/>
    <w:rsid w:val="5D5B6D2D"/>
    <w:rsid w:val="5DB91FC8"/>
    <w:rsid w:val="5E041700"/>
    <w:rsid w:val="60E0460C"/>
    <w:rsid w:val="61915623"/>
    <w:rsid w:val="623C0084"/>
    <w:rsid w:val="634C5649"/>
    <w:rsid w:val="65705DC1"/>
    <w:rsid w:val="678332EB"/>
    <w:rsid w:val="69507602"/>
    <w:rsid w:val="6FAC02E5"/>
    <w:rsid w:val="710A048B"/>
    <w:rsid w:val="711F04E9"/>
    <w:rsid w:val="73F45085"/>
    <w:rsid w:val="780C7A6F"/>
    <w:rsid w:val="7B651C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1"/>
    <w:qFormat/>
    <w:uiPriority w:val="0"/>
    <w:pPr>
      <w:keepNext/>
      <w:spacing w:after="100" w:line="240" w:lineRule="auto"/>
      <w:ind w:firstLine="0" w:firstLineChars="0"/>
      <w:jc w:val="center"/>
      <w:outlineLvl w:val="0"/>
    </w:pPr>
    <w:rPr>
      <w:b/>
      <w:bCs/>
      <w:kern w:val="0"/>
      <w:sz w:val="44"/>
      <w:szCs w:val="44"/>
    </w:rPr>
  </w:style>
  <w:style w:type="paragraph" w:styleId="3">
    <w:name w:val="heading 2"/>
    <w:basedOn w:val="1"/>
    <w:next w:val="1"/>
    <w:link w:val="12"/>
    <w:semiHidden/>
    <w:unhideWhenUsed/>
    <w:qFormat/>
    <w:uiPriority w:val="0"/>
    <w:pPr>
      <w:keepNext/>
      <w:spacing w:line="240" w:lineRule="auto"/>
      <w:ind w:leftChars="200" w:firstLine="0" w:firstLineChars="0"/>
      <w:jc w:val="left"/>
      <w:outlineLvl w:val="1"/>
    </w:pPr>
    <w:rPr>
      <w:b/>
      <w:bCs/>
      <w:kern w:val="0"/>
      <w:sz w:val="32"/>
      <w:szCs w:val="32"/>
    </w:rPr>
  </w:style>
  <w:style w:type="paragraph" w:styleId="4">
    <w:name w:val="heading 3"/>
    <w:basedOn w:val="1"/>
    <w:next w:val="1"/>
    <w:link w:val="13"/>
    <w:semiHidden/>
    <w:unhideWhenUsed/>
    <w:qFormat/>
    <w:uiPriority w:val="0"/>
    <w:pPr>
      <w:keepNext/>
      <w:spacing w:line="240" w:lineRule="auto"/>
      <w:ind w:leftChars="200" w:firstLine="0" w:firstLineChars="0"/>
      <w:outlineLvl w:val="2"/>
    </w:pPr>
    <w:rPr>
      <w:b/>
      <w:bCs/>
      <w:kern w:val="0"/>
    </w:rPr>
  </w:style>
  <w:style w:type="paragraph" w:styleId="5">
    <w:name w:val="heading 4"/>
    <w:basedOn w:val="1"/>
    <w:next w:val="1"/>
    <w:link w:val="14"/>
    <w:semiHidden/>
    <w:unhideWhenUsed/>
    <w:qFormat/>
    <w:uiPriority w:val="0"/>
    <w:pPr>
      <w:keepNext/>
      <w:keepLines/>
      <w:spacing w:before="280" w:beforeLines="0" w:after="290" w:afterLines="0" w:line="240" w:lineRule="auto"/>
      <w:ind w:leftChars="0" w:firstLine="0" w:firstLineChars="0"/>
      <w:jc w:val="left"/>
      <w:outlineLvl w:val="3"/>
    </w:pPr>
    <w:rPr>
      <w:b/>
      <w:bCs/>
    </w:rPr>
  </w:style>
  <w:style w:type="character" w:default="1" w:styleId="10">
    <w:name w:val="Default Paragraph Font"/>
    <w:semiHidden/>
    <w:qFormat/>
    <w:uiPriority w:val="0"/>
  </w:style>
  <w:style w:type="table" w:default="1" w:styleId="9">
    <w:name w:val="Normal Table"/>
    <w:semiHidden/>
    <w:uiPriority w:val="0"/>
    <w:tblPr>
      <w:tblCellMar>
        <w:top w:w="0" w:type="dxa"/>
        <w:left w:w="108" w:type="dxa"/>
        <w:bottom w:w="0" w:type="dxa"/>
        <w:right w:w="108" w:type="dxa"/>
      </w:tblCellMar>
    </w:tblPr>
  </w:style>
  <w:style w:type="paragraph" w:styleId="6">
    <w:name w:val="Body Text Indent"/>
    <w:basedOn w:val="1"/>
    <w:uiPriority w:val="0"/>
    <w:pPr>
      <w:spacing w:after="120" w:afterLines="0" w:afterAutospacing="0"/>
      <w:ind w:left="420" w:leftChars="200"/>
    </w:pPr>
  </w:style>
  <w:style w:type="paragraph" w:styleId="7">
    <w:name w:val="List 2"/>
    <w:basedOn w:val="1"/>
    <w:qFormat/>
    <w:uiPriority w:val="0"/>
    <w:pPr>
      <w:ind w:left="100" w:leftChars="200" w:hanging="200" w:hangingChars="200"/>
    </w:pPr>
  </w:style>
  <w:style w:type="paragraph" w:styleId="8">
    <w:name w:val="Body Text First Indent 2"/>
    <w:basedOn w:val="6"/>
    <w:qFormat/>
    <w:uiPriority w:val="0"/>
    <w:pPr>
      <w:ind w:firstLine="420" w:firstLineChars="200"/>
    </w:pPr>
  </w:style>
  <w:style w:type="character" w:customStyle="1" w:styleId="11">
    <w:name w:val="标题 1 Char"/>
    <w:link w:val="2"/>
    <w:qFormat/>
    <w:uiPriority w:val="0"/>
    <w:rPr>
      <w:rFonts w:ascii="仿宋" w:hAnsi="仿宋" w:eastAsia="仿宋" w:cs="仿宋"/>
      <w:b/>
      <w:bCs/>
      <w:kern w:val="0"/>
      <w:sz w:val="44"/>
      <w:szCs w:val="44"/>
    </w:rPr>
  </w:style>
  <w:style w:type="character" w:customStyle="1" w:styleId="12">
    <w:name w:val="标题 2 Char"/>
    <w:link w:val="3"/>
    <w:qFormat/>
    <w:uiPriority w:val="0"/>
    <w:rPr>
      <w:rFonts w:ascii="仿宋" w:hAnsi="仿宋" w:eastAsia="宋体" w:cs="宋体"/>
      <w:b/>
      <w:bCs/>
      <w:kern w:val="0"/>
      <w:sz w:val="32"/>
      <w:szCs w:val="32"/>
    </w:rPr>
  </w:style>
  <w:style w:type="character" w:customStyle="1" w:styleId="13">
    <w:name w:val="标题 3 Char"/>
    <w:link w:val="4"/>
    <w:qFormat/>
    <w:uiPriority w:val="0"/>
    <w:rPr>
      <w:rFonts w:ascii="宋体" w:hAnsi="宋体" w:eastAsia="宋体"/>
      <w:b/>
      <w:bCs/>
      <w:kern w:val="0"/>
      <w:sz w:val="28"/>
    </w:rPr>
  </w:style>
  <w:style w:type="character" w:customStyle="1" w:styleId="14">
    <w:name w:val="标题 4 Char"/>
    <w:link w:val="5"/>
    <w:qFormat/>
    <w:uiPriority w:val="0"/>
    <w:rPr>
      <w:rFonts w:ascii="宋体" w:hAnsi="宋体" w:eastAsia="宋体"/>
      <w:b/>
      <w:bCs/>
    </w:rPr>
  </w:style>
  <w:style w:type="paragraph" w:customStyle="1" w:styleId="15">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1265</Words>
  <Characters>1328</Characters>
  <Lines>0</Lines>
  <Paragraphs>0</Paragraphs>
  <TotalTime>43</TotalTime>
  <ScaleCrop>false</ScaleCrop>
  <LinksUpToDate>false</LinksUpToDate>
  <CharactersWithSpaces>1328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2026-09-02T05:46:00Z</dcterms:created>
  <dc:creator>朱娟</dc:creator>
  <cp:lastModifiedBy>朱娟</cp:lastModifiedBy>
  <dcterms:modified xsi:type="dcterms:W3CDTF">2026-09-02T06:39:03Z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D142FA816B624819B9210F1AE39D1B17_11</vt:lpwstr>
  </property>
  <property fmtid="{D5CDD505-2E9C-101B-9397-08002B2CF9AE}" pid="4" name="KSOTemplateDocerSaveRecord">
    <vt:lpwstr>eyJoZGlkIjoiNmQ5YTlhOTI1MTIxMWQzZmNmMTc3YTIwMzNkYjU1MDciLCJ1c2VySWQiOiIyMDIwODMyODIifQ==</vt:lpwstr>
  </property>
</Properties>
</file>