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版本号：SZT2026-SN-XC-ZC-HW-030920260518002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传染病监测试剂与实验室预警专用设备采购项目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SZT2026-SN-XC-ZC-HW-0309</w:t>
      </w:r>
      <w:r>
        <w:br/>
      </w:r>
      <w:r>
        <w:br/>
      </w:r>
      <w:r>
        <w:br/>
      </w:r>
    </w:p>
    <w:p>
      <w:pPr>
        <w:pStyle w:val="null3"/>
        <w:jc w:val="center"/>
        <w:outlineLvl w:val="2"/>
      </w:pPr>
      <w:r>
        <w:rPr>
          <w:rFonts w:ascii="仿宋_GB2312" w:hAnsi="仿宋_GB2312" w:cs="仿宋_GB2312" w:eastAsia="仿宋_GB2312"/>
          <w:sz w:val="28"/>
          <w:b/>
        </w:rPr>
        <w:t>西安市疾病预防控制中心</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西安市疾病预防控制中心</w:t>
      </w:r>
      <w:r>
        <w:rPr>
          <w:rFonts w:ascii="仿宋_GB2312" w:hAnsi="仿宋_GB2312" w:cs="仿宋_GB2312" w:eastAsia="仿宋_GB2312"/>
        </w:rPr>
        <w:t>委托，拟对</w:t>
      </w:r>
      <w:r>
        <w:rPr>
          <w:rFonts w:ascii="仿宋_GB2312" w:hAnsi="仿宋_GB2312" w:cs="仿宋_GB2312" w:eastAsia="仿宋_GB2312"/>
        </w:rPr>
        <w:t>传染病监测试剂与实验室预警专用设备采购项目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SZT2026-SN-XC-ZC-HW-0309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传染病监测试剂与实验室预警专用设备采购项目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传染病监测试剂与实验室预警专用设备采购，其中包1采购实验室监测预警专用设备；包2采购不明原因肺炎监测试剂；包3采购6种呼吸道传染病综合监测试剂。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采购包1（实验室监测预警专用设备采购）：属于专门面向中小企业采购。</w:t>
      </w:r>
    </w:p>
    <w:p>
      <w:pPr>
        <w:pStyle w:val="null3"/>
      </w:pPr>
      <w:r>
        <w:rPr>
          <w:rFonts w:ascii="仿宋_GB2312" w:hAnsi="仿宋_GB2312" w:cs="仿宋_GB2312" w:eastAsia="仿宋_GB2312"/>
        </w:rPr>
        <w:t>采购包2（不明原因肺炎监测试剂采购）：属于专门面向中小企业采购。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供应商应授权合法的人员参加磋商，其中法定代表人直接参加的，须出具法定代表人身份证，并与营业执照上信息一致。法定代表人授权代表参加的，须出具法定代表人授权书，同时提供授权代表由供应商缴纳的磋商日期前连续3个月的社保记录；</w:t>
      </w:r>
    </w:p>
    <w:p>
      <w:pPr>
        <w:pStyle w:val="null3"/>
      </w:pPr>
      <w:r>
        <w:rPr>
          <w:rFonts w:ascii="仿宋_GB2312" w:hAnsi="仿宋_GB2312" w:cs="仿宋_GB2312" w:eastAsia="仿宋_GB2312"/>
        </w:rPr>
        <w:t>2、承诺要求：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3、供应商与采购人关联关系：本项目不接受由西安市疾病预防控制中心职工及其亲属投资开办的企业参加本单位的政府采购活动；（提供承诺函）</w:t>
      </w:r>
    </w:p>
    <w:p>
      <w:pPr>
        <w:pStyle w:val="null3"/>
      </w:pPr>
      <w:r>
        <w:rPr>
          <w:rFonts w:ascii="仿宋_GB2312" w:hAnsi="仿宋_GB2312" w:cs="仿宋_GB2312" w:eastAsia="仿宋_GB2312"/>
        </w:rPr>
        <w:t>4、本项目不接受联合体参与：本项目不接受联合体参与，单位负责人为同一人或者存在直接控股、管理关系的不同单位，不得参加同一合同项下的政府采购活动。对列入失信被执行人、政府采购严重违法失信行为记录名单的供应商，拒绝参与本项目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委托书：供应商应授权合法的人员参加磋商，其中法定代表人直接参加的，须出具法定代表人身份证，并与营业执照上信息一致。法定代表人授权代表参加的，须出具法定代表人授权书，同时提供授权代表由供应商缴纳的磋商日期前连续3个月的社保记录；</w:t>
      </w:r>
    </w:p>
    <w:p>
      <w:pPr>
        <w:pStyle w:val="null3"/>
      </w:pPr>
      <w:r>
        <w:rPr>
          <w:rFonts w:ascii="仿宋_GB2312" w:hAnsi="仿宋_GB2312" w:cs="仿宋_GB2312" w:eastAsia="仿宋_GB2312"/>
        </w:rPr>
        <w:t>2、承诺要求：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3、供应商与采购人关联关系：本项目不接受由西安市疾病预防控制中心职工及其亲属投资开办的企业参加本单位的政府采购活动；（提供承诺函）</w:t>
      </w:r>
    </w:p>
    <w:p>
      <w:pPr>
        <w:pStyle w:val="null3"/>
      </w:pPr>
      <w:r>
        <w:rPr>
          <w:rFonts w:ascii="仿宋_GB2312" w:hAnsi="仿宋_GB2312" w:cs="仿宋_GB2312" w:eastAsia="仿宋_GB2312"/>
        </w:rPr>
        <w:t>4、本项目不接受联合体参与：本项目不接受联合体参与，单位负责人为同一人或者存在直接控股、管理关系的不同单位，不得参加同一合同项下的政府采购活动。对列入失信被执行人、政府采购严重违法失信行为记录名单的供应商，拒绝参与本项目政府采购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授权委托书：供应商应授权合法的人员参加磋商，其中法定代表人直接参加的，须出具法定代表人身份证，并与营业执照上信息一致。法定代表人授权代表参加的，须出具法定代表人授权书，同时提供授权代表由供应商缴纳的磋商日期前连续3个月的社保记录；</w:t>
      </w:r>
    </w:p>
    <w:p>
      <w:pPr>
        <w:pStyle w:val="null3"/>
      </w:pPr>
      <w:r>
        <w:rPr>
          <w:rFonts w:ascii="仿宋_GB2312" w:hAnsi="仿宋_GB2312" w:cs="仿宋_GB2312" w:eastAsia="仿宋_GB2312"/>
        </w:rPr>
        <w:t>2、承诺要求：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3、供应商与采购人关联关系：本项目不接受由西安市疾病预防控制中心职工及其亲属投资开办的企业参加本单位的政府采购活动；（提供承诺函）</w:t>
      </w:r>
    </w:p>
    <w:p>
      <w:pPr>
        <w:pStyle w:val="null3"/>
      </w:pPr>
      <w:r>
        <w:rPr>
          <w:rFonts w:ascii="仿宋_GB2312" w:hAnsi="仿宋_GB2312" w:cs="仿宋_GB2312" w:eastAsia="仿宋_GB2312"/>
        </w:rPr>
        <w:t>4、本项目不接受联合体参与：本项目不接受联合体参与，单位负责人为同一人或者存在直接控股、管理关系的不同单位，不得参加同一合同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西安市西影路599号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029-85535673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肖娇娇、王馨、毛冠奇、李文俊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029-87304306-848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采购包2：350,000.00元</w:t>
            </w:r>
          </w:p>
          <w:p>
            <w:pPr>
              <w:pStyle w:val="null3"/>
            </w:pPr>
            <w:r>
              <w:rPr>
                <w:rFonts w:ascii="仿宋_GB2312" w:hAnsi="仿宋_GB2312" w:cs="仿宋_GB2312" w:eastAsia="仿宋_GB2312"/>
              </w:rPr>
              <w:t>采购包3：332,000.00元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规定按包向中标（成交）供应商收取代理服务费。 2、成交单位的代理服务费交纳信息 银行户名：陕西中技招标有限公司 开户银行：招商银行西安分行营业部 账 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西安市疾病预防控制中心</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西安市疾病预防控制中心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1、合同文本： 2、国家和行业制定的相应的标准和规范。 3、验收清单（注明品名、数量、价格、规格型号、产地和生产厂家）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1、合同文本： 2、国家和行业制定的相应的标准和规范。 3、验收清单（注明品名、数量、价格、规格型号、产地和生产厂家）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1、合同文本： 2、国家和行业制定的相应的标准和规范。 3、验收清单（注明品名、数量、价格、规格型号、产地和生产厂家）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传染病监测试剂与实验室预警专用设备采购，其中包1采购实验室监测预警专用设备；包2采购不明原因肺炎监测试剂；包3采购6种呼吸道传染病综合监测试剂。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纳米孔基因测序平台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探针捕获法病原宏基因组测序试剂盒</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332,000.00</w:t>
      </w:r>
    </w:p>
    <w:p>
      <w:pPr>
        <w:pStyle w:val="null3"/>
      </w:pPr>
      <w:r>
        <w:rPr>
          <w:rFonts w:ascii="仿宋_GB2312" w:hAnsi="仿宋_GB2312" w:cs="仿宋_GB2312" w:eastAsia="仿宋_GB2312"/>
        </w:rPr>
        <w:t>采购包最高限价（元）: 332,000.00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6 种呼吸道病原体核酸多重实时荧光PCR检测试剂盒等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332,000.00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采购包3：</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标的名称：纳米孔基因测序平台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纳米孔基因测序平台</w:t>
            </w:r>
          </w:p>
          <w:p>
            <w:pPr>
              <w:pStyle w:val="null3"/>
            </w:pPr>
            <w:r>
              <w:rPr>
                <w:rFonts w:ascii="仿宋_GB2312" w:hAnsi="仿宋_GB2312" w:cs="仿宋_GB2312" w:eastAsia="仿宋_GB2312"/>
                <w:sz w:val="24"/>
                <w:b/>
                <w:color w:val="000000"/>
              </w:rPr>
              <w:t>一、主要功能：实现</w:t>
            </w:r>
            <w:r>
              <w:rPr>
                <w:rFonts w:ascii="仿宋_GB2312" w:hAnsi="仿宋_GB2312" w:cs="仿宋_GB2312" w:eastAsia="仿宋_GB2312"/>
                <w:sz w:val="24"/>
                <w:b/>
                <w:color w:val="000000"/>
              </w:rPr>
              <w:t>DNA或RNA的高通量单分子实时测序。</w:t>
            </w:r>
          </w:p>
          <w:p>
            <w:pPr>
              <w:pStyle w:val="null3"/>
            </w:pPr>
            <w:r>
              <w:rPr>
                <w:rFonts w:ascii="仿宋_GB2312" w:hAnsi="仿宋_GB2312" w:cs="仿宋_GB2312" w:eastAsia="仿宋_GB2312"/>
                <w:sz w:val="24"/>
                <w:b/>
                <w:color w:val="000000"/>
              </w:rPr>
              <w:t>二、技术指标：</w:t>
            </w:r>
          </w:p>
          <w:p>
            <w:pPr>
              <w:pStyle w:val="null3"/>
            </w:pPr>
            <w:r>
              <w:rPr>
                <w:rFonts w:ascii="仿宋_GB2312" w:hAnsi="仿宋_GB2312" w:cs="仿宋_GB2312" w:eastAsia="仿宋_GB2312"/>
                <w:sz w:val="24"/>
              </w:rPr>
              <w:t>1.</w:t>
            </w:r>
            <w:r>
              <w:rPr>
                <w:rFonts w:ascii="仿宋_GB2312" w:hAnsi="仿宋_GB2312" w:cs="仿宋_GB2312" w:eastAsia="仿宋_GB2312"/>
                <w:sz w:val="24"/>
              </w:rPr>
              <w:t>可满足在实验室、野外、现场及移动车等环境的检测要求，设备运输移动后无需校准。</w:t>
            </w:r>
          </w:p>
          <w:p>
            <w:pPr>
              <w:pStyle w:val="null3"/>
            </w:pPr>
            <w:r>
              <w:rPr>
                <w:rFonts w:ascii="仿宋_GB2312" w:hAnsi="仿宋_GB2312" w:cs="仿宋_GB2312" w:eastAsia="仿宋_GB2312"/>
                <w:sz w:val="24"/>
              </w:rPr>
              <w:t>2.利用纳米级蛋白孔（纳米孔）实现对RNA和DNA直接测序，支持甲基化表观组和全长转录组。</w:t>
            </w:r>
          </w:p>
          <w:p>
            <w:pPr>
              <w:pStyle w:val="null3"/>
            </w:pPr>
            <w:r>
              <w:rPr>
                <w:rFonts w:ascii="仿宋_GB2312" w:hAnsi="仿宋_GB2312" w:cs="仿宋_GB2312" w:eastAsia="仿宋_GB2312"/>
                <w:sz w:val="24"/>
              </w:rPr>
              <w:t>3.文库构建过程无需PCR扩增模板即可完成建库和上机前准备。</w:t>
            </w:r>
          </w:p>
          <w:p>
            <w:pPr>
              <w:pStyle w:val="null3"/>
            </w:pPr>
            <w:r>
              <w:rPr>
                <w:rFonts w:ascii="仿宋_GB2312" w:hAnsi="仿宋_GB2312" w:cs="仿宋_GB2312" w:eastAsia="仿宋_GB2312"/>
                <w:sz w:val="24"/>
              </w:rPr>
              <w:t>4.多种文库制备路线，常规文库制备时间≤2小时，快速流程≤10min。</w:t>
            </w:r>
          </w:p>
          <w:p>
            <w:pPr>
              <w:pStyle w:val="null3"/>
            </w:pPr>
            <w:r>
              <w:rPr>
                <w:rFonts w:ascii="仿宋_GB2312" w:hAnsi="仿宋_GB2312" w:cs="仿宋_GB2312" w:eastAsia="仿宋_GB2312"/>
                <w:sz w:val="24"/>
              </w:rPr>
              <w:t>5.可提供多种标签序列试剂盒满足不同的混样测序方案（barcode≥96），提供货号，试剂盒照片。</w:t>
            </w:r>
          </w:p>
          <w:p>
            <w:pPr>
              <w:pStyle w:val="null3"/>
            </w:pPr>
            <w:r>
              <w:rPr>
                <w:rFonts w:ascii="仿宋_GB2312" w:hAnsi="仿宋_GB2312" w:cs="仿宋_GB2312" w:eastAsia="仿宋_GB2312"/>
                <w:sz w:val="24"/>
              </w:rPr>
              <w:t>6.DNA样本最低起始量pg级。</w:t>
            </w:r>
          </w:p>
          <w:p>
            <w:pPr>
              <w:pStyle w:val="null3"/>
            </w:pPr>
            <w:r>
              <w:rPr>
                <w:rFonts w:ascii="仿宋_GB2312" w:hAnsi="仿宋_GB2312" w:cs="仿宋_GB2312" w:eastAsia="仿宋_GB2312"/>
                <w:sz w:val="24"/>
              </w:rPr>
              <w:t>▲</w:t>
            </w:r>
            <w:r>
              <w:rPr>
                <w:rFonts w:ascii="仿宋_GB2312" w:hAnsi="仿宋_GB2312" w:cs="仿宋_GB2312" w:eastAsia="仿宋_GB2312"/>
                <w:sz w:val="24"/>
              </w:rPr>
              <w:t>7.可同时运行≥2张独立的芯片，每张芯片单独控制，在一张芯片运行时可增加测序芯片，无干扰。</w:t>
            </w:r>
          </w:p>
          <w:p>
            <w:pPr>
              <w:pStyle w:val="null3"/>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总通量</w:t>
            </w:r>
            <w:r>
              <w:rPr>
                <w:rFonts w:ascii="仿宋_GB2312" w:hAnsi="仿宋_GB2312" w:cs="仿宋_GB2312" w:eastAsia="仿宋_GB2312"/>
                <w:sz w:val="24"/>
              </w:rPr>
              <w:t>≥800Gb，适配芯片单张理论通量≥400Gb。单张芯片纳米孔数 ≥15000个。</w:t>
            </w:r>
          </w:p>
          <w:p>
            <w:pPr>
              <w:pStyle w:val="null3"/>
            </w:pPr>
            <w:r>
              <w:rPr>
                <w:rFonts w:ascii="仿宋_GB2312" w:hAnsi="仿宋_GB2312" w:cs="仿宋_GB2312" w:eastAsia="仿宋_GB2312"/>
                <w:sz w:val="24"/>
              </w:rPr>
              <w:t>9.获取序列时间：加完文库，点击启动测序后，无需孵育，≤5min即可获取核酸序列数据。</w:t>
            </w:r>
          </w:p>
          <w:p>
            <w:pPr>
              <w:pStyle w:val="null3"/>
            </w:pPr>
            <w:r>
              <w:rPr>
                <w:rFonts w:ascii="仿宋_GB2312" w:hAnsi="仿宋_GB2312" w:cs="仿宋_GB2312" w:eastAsia="仿宋_GB2312"/>
                <w:sz w:val="24"/>
              </w:rPr>
              <w:t>10.测序读长≥1Mb。</w:t>
            </w:r>
          </w:p>
          <w:p>
            <w:pPr>
              <w:pStyle w:val="null3"/>
            </w:pPr>
            <w:r>
              <w:rPr>
                <w:rFonts w:ascii="仿宋_GB2312" w:hAnsi="仿宋_GB2312" w:cs="仿宋_GB2312" w:eastAsia="仿宋_GB2312"/>
                <w:sz w:val="24"/>
              </w:rPr>
              <w:t>11.测序速度≥400bp/s。</w:t>
            </w:r>
          </w:p>
          <w:p>
            <w:pPr>
              <w:pStyle w:val="null3"/>
            </w:pPr>
            <w:r>
              <w:rPr>
                <w:rFonts w:ascii="仿宋_GB2312" w:hAnsi="仿宋_GB2312" w:cs="仿宋_GB2312" w:eastAsia="仿宋_GB2312"/>
                <w:sz w:val="24"/>
              </w:rPr>
              <w:t>12.运行时间为1分钟至72小时可选，最长测序时间≥140小时。中途可中止测序或自主选择开启/关闭选定的纳米孔通道。</w:t>
            </w:r>
          </w:p>
          <w:p>
            <w:pPr>
              <w:pStyle w:val="null3"/>
            </w:pPr>
            <w:r>
              <w:rPr>
                <w:rFonts w:ascii="仿宋_GB2312" w:hAnsi="仿宋_GB2312" w:cs="仿宋_GB2312" w:eastAsia="仿宋_GB2312"/>
                <w:sz w:val="24"/>
              </w:rPr>
              <w:t>13.测序原始准确度≥99%，一致性准确度（50x）≥99.99%。</w:t>
            </w:r>
          </w:p>
          <w:p>
            <w:pPr>
              <w:pStyle w:val="null3"/>
            </w:pPr>
            <w:r>
              <w:rPr>
                <w:rFonts w:ascii="仿宋_GB2312" w:hAnsi="仿宋_GB2312" w:cs="仿宋_GB2312" w:eastAsia="仿宋_GB2312"/>
                <w:sz w:val="24"/>
              </w:rPr>
              <w:t>14.芯片可清洗反复使用≥5次。</w:t>
            </w:r>
          </w:p>
          <w:p>
            <w:pPr>
              <w:pStyle w:val="null3"/>
            </w:pPr>
            <w:r>
              <w:rPr>
                <w:rFonts w:ascii="仿宋_GB2312" w:hAnsi="仿宋_GB2312" w:cs="仿宋_GB2312" w:eastAsia="仿宋_GB2312"/>
                <w:sz w:val="24"/>
              </w:rPr>
              <w:t>15.测序反应结果不受样本GC/AT含量影响，均匀覆盖整个样本基因组。</w:t>
            </w:r>
          </w:p>
          <w:p>
            <w:pPr>
              <w:pStyle w:val="null3"/>
            </w:pPr>
            <w:r>
              <w:rPr>
                <w:rFonts w:ascii="仿宋_GB2312" w:hAnsi="仿宋_GB2312" w:cs="仿宋_GB2312" w:eastAsia="仿宋_GB2312"/>
                <w:sz w:val="24"/>
              </w:rPr>
              <w:t>16.系统可直接存储测序原始数据，并且具备用于分析测序数据的常用工具，包括原始电信号碱基读取、数据质量控制、标签序列拆分、序列比对、碱基修饰等。</w:t>
            </w:r>
          </w:p>
          <w:p>
            <w:pPr>
              <w:pStyle w:val="null3"/>
            </w:pPr>
            <w:r>
              <w:rPr>
                <w:rFonts w:ascii="仿宋_GB2312" w:hAnsi="仿宋_GB2312" w:cs="仿宋_GB2312" w:eastAsia="仿宋_GB2312"/>
                <w:sz w:val="24"/>
              </w:rPr>
              <w:t>17.</w:t>
            </w:r>
            <w:r>
              <w:rPr>
                <w:rFonts w:ascii="仿宋_GB2312" w:hAnsi="仿宋_GB2312" w:cs="仿宋_GB2312" w:eastAsia="仿宋_GB2312"/>
                <w:sz w:val="24"/>
              </w:rPr>
              <w:t>服务器配置不低于以下参数：</w:t>
            </w:r>
            <w:r>
              <w:rPr>
                <w:rFonts w:ascii="仿宋_GB2312" w:hAnsi="仿宋_GB2312" w:cs="仿宋_GB2312" w:eastAsia="仿宋_GB2312"/>
                <w:sz w:val="24"/>
              </w:rPr>
              <w:t>Intel Ultra 9 285K 或以上 CPU；128G内存；1TB SSD+16TB 机械硬盘；NVIDIA GeForce RTX 4090*2或以上 GPU。</w:t>
            </w:r>
          </w:p>
          <w:p>
            <w:pPr>
              <w:pStyle w:val="null3"/>
            </w:pPr>
            <w:r>
              <w:rPr>
                <w:rFonts w:ascii="仿宋_GB2312" w:hAnsi="仿宋_GB2312" w:cs="仿宋_GB2312" w:eastAsia="仿宋_GB2312"/>
                <w:sz w:val="24"/>
              </w:rPr>
              <w:t>18.测序可完全本地化，无需联网。</w:t>
            </w:r>
          </w:p>
          <w:p>
            <w:pPr>
              <w:pStyle w:val="null3"/>
            </w:pPr>
            <w:r>
              <w:rPr>
                <w:rFonts w:ascii="仿宋_GB2312" w:hAnsi="仿宋_GB2312" w:cs="仿宋_GB2312" w:eastAsia="仿宋_GB2312"/>
                <w:sz w:val="24"/>
              </w:rPr>
              <w:t>19.建库及测序试剂盒无需额外购买其它酶，国内有试剂及耗材生产工厂。试剂盒及芯片供货周期≤14工作日。</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.设备完全国产，并具有中国自主知识产权（</w:t>
            </w:r>
            <w:r>
              <w:rPr>
                <w:rFonts w:ascii="仿宋_GB2312" w:hAnsi="仿宋_GB2312" w:cs="仿宋_GB2312" w:eastAsia="仿宋_GB2312"/>
                <w:sz w:val="24"/>
              </w:rPr>
              <w:t>提供产权证书</w:t>
            </w:r>
            <w:r>
              <w:rPr>
                <w:rFonts w:ascii="仿宋_GB2312" w:hAnsi="仿宋_GB2312" w:cs="仿宋_GB2312" w:eastAsia="仿宋_GB2312"/>
                <w:sz w:val="24"/>
              </w:rPr>
              <w:t>）。</w:t>
            </w:r>
          </w:p>
          <w:p>
            <w:pPr>
              <w:pStyle w:val="null3"/>
            </w:pPr>
            <w:r>
              <w:rPr>
                <w:rFonts w:ascii="仿宋_GB2312" w:hAnsi="仿宋_GB2312" w:cs="仿宋_GB2312" w:eastAsia="仿宋_GB2312"/>
                <w:sz w:val="24"/>
                <w:color w:val="000000"/>
              </w:rPr>
              <w:t>三、</w:t>
            </w:r>
            <w:r>
              <w:rPr>
                <w:rFonts w:ascii="仿宋_GB2312" w:hAnsi="仿宋_GB2312" w:cs="仿宋_GB2312" w:eastAsia="仿宋_GB2312"/>
                <w:sz w:val="24"/>
                <w:b/>
              </w:rPr>
              <w:t>配</w:t>
            </w:r>
            <w:r>
              <w:rPr>
                <w:rFonts w:ascii="仿宋_GB2312" w:hAnsi="仿宋_GB2312" w:cs="仿宋_GB2312" w:eastAsia="仿宋_GB2312"/>
                <w:sz w:val="24"/>
                <w:b/>
              </w:rPr>
              <w:t>置要求</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测序仪</w:t>
            </w:r>
            <w:r>
              <w:rPr>
                <w:rFonts w:ascii="仿宋_GB2312" w:hAnsi="仿宋_GB2312" w:cs="仿宋_GB2312" w:eastAsia="仿宋_GB2312"/>
                <w:sz w:val="24"/>
                <w:color w:val="000000"/>
              </w:rPr>
              <w:t>1台</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测序数据分析软件</w:t>
            </w:r>
            <w:r>
              <w:rPr>
                <w:rFonts w:ascii="仿宋_GB2312" w:hAnsi="仿宋_GB2312" w:cs="仿宋_GB2312" w:eastAsia="仿宋_GB2312"/>
                <w:sz w:val="24"/>
                <w:color w:val="000000"/>
              </w:rPr>
              <w:t>1套</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服务器</w:t>
            </w:r>
            <w:r>
              <w:rPr>
                <w:rFonts w:ascii="仿宋_GB2312" w:hAnsi="仿宋_GB2312" w:cs="仿宋_GB2312" w:eastAsia="仿宋_GB2312"/>
                <w:sz w:val="24"/>
                <w:color w:val="000000"/>
              </w:rPr>
              <w:t>1台：服务器配置不低于以下参数：Intel Ultra 9 285K 或以上 CPU；128G内存；1TB SSD+16TB 机械硬盘；NVIDIA GeForce RTX 4090*2或以上 GPU。</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UPS电源一套（配置不低于以下参数：12V；15A；180W)</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标的名称：探针捕获法病原宏基因组测序试剂盒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4"/>
              <w:gridCol w:w="1097"/>
              <w:gridCol w:w="349"/>
              <w:gridCol w:w="308"/>
              <w:gridCol w:w="250"/>
              <w:gridCol w:w="168"/>
              <w:gridCol w:w="115"/>
            </w:tblGrid>
            <w:tr>
              <w:tc>
                <w:tcPr>
                  <w:tcW w:type="dxa" w:w="2386"/>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b/>
                      <w:color w:val="000000"/>
                    </w:rPr>
                    <w:t>西安市疾病预防控制中心不明原因肺炎监测试剂采购项目</w:t>
                  </w:r>
                </w:p>
              </w:tc>
            </w:tr>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序号</w:t>
                  </w:r>
                </w:p>
              </w:tc>
              <w:tc>
                <w:tcPr>
                  <w:tcW w:type="dxa" w:w="1097"/>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名称</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规格</w:t>
                  </w:r>
                </w:p>
              </w:tc>
              <w:tc>
                <w:tcPr>
                  <w:tcW w:type="dxa" w:w="308"/>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数量</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单价</w:t>
                  </w:r>
                </w:p>
              </w:tc>
              <w:tc>
                <w:tcPr>
                  <w:tcW w:type="dxa" w:w="28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总价</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探针捕获法病原宏基因组测序试剂盒</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48T/盒</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5</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70000</w:t>
                  </w: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350000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05" w:after="105"/>
              <w:jc w:val="center"/>
            </w:pPr>
            <w:r>
              <w:rPr>
                <w:rFonts w:ascii="仿宋_GB2312" w:hAnsi="仿宋_GB2312" w:cs="仿宋_GB2312" w:eastAsia="仿宋_GB2312"/>
                <w:sz w:val="24"/>
              </w:rPr>
              <w:t>探针</w:t>
            </w:r>
            <w:r>
              <w:rPr>
                <w:rFonts w:ascii="仿宋_GB2312" w:hAnsi="仿宋_GB2312" w:cs="仿宋_GB2312" w:eastAsia="仿宋_GB2312"/>
                <w:sz w:val="24"/>
              </w:rPr>
              <w:t>捕获</w:t>
            </w:r>
            <w:r>
              <w:rPr>
                <w:rFonts w:ascii="仿宋_GB2312" w:hAnsi="仿宋_GB2312" w:cs="仿宋_GB2312" w:eastAsia="仿宋_GB2312"/>
                <w:sz w:val="24"/>
              </w:rPr>
              <w:t>法</w:t>
            </w:r>
            <w:r>
              <w:rPr>
                <w:rFonts w:ascii="仿宋_GB2312" w:hAnsi="仿宋_GB2312" w:cs="仿宋_GB2312" w:eastAsia="仿宋_GB2312"/>
                <w:sz w:val="24"/>
              </w:rPr>
              <w:t>病原宏基因组</w:t>
            </w:r>
            <w:r>
              <w:rPr>
                <w:rFonts w:ascii="仿宋_GB2312" w:hAnsi="仿宋_GB2312" w:cs="仿宋_GB2312" w:eastAsia="仿宋_GB2312"/>
                <w:sz w:val="24"/>
              </w:rPr>
              <w:t>测序</w:t>
            </w:r>
            <w:r>
              <w:rPr>
                <w:rFonts w:ascii="仿宋_GB2312" w:hAnsi="仿宋_GB2312" w:cs="仿宋_GB2312" w:eastAsia="仿宋_GB2312"/>
                <w:sz w:val="24"/>
              </w:rPr>
              <w:t>试剂盒参数</w:t>
            </w:r>
          </w:p>
          <w:p>
            <w:pPr>
              <w:pStyle w:val="null3"/>
              <w:ind w:firstLine="560"/>
            </w:pPr>
            <w:r>
              <w:rPr>
                <w:rFonts w:ascii="仿宋_GB2312" w:hAnsi="仿宋_GB2312" w:cs="仿宋_GB2312" w:eastAsia="仿宋_GB2312"/>
                <w:sz w:val="24"/>
                <w:color w:val="000000"/>
              </w:rPr>
              <w:t>1、功能用途：采用液相探针捕获技术方法，针对常见临床样本类型（咽拭子、痰液、血液、脑脊液、尿液等），一次性捕获临床标本中的细菌、真菌、病毒、寄生虫等多种病原微生物基因组和关键耐药基因，构建测序文库，用于后续高通量测序。</w:t>
            </w:r>
          </w:p>
          <w:p>
            <w:pPr>
              <w:pStyle w:val="null3"/>
              <w:ind w:firstLine="560"/>
            </w:pPr>
            <w:r>
              <w:rPr>
                <w:rFonts w:ascii="仿宋_GB2312" w:hAnsi="仿宋_GB2312" w:cs="仿宋_GB2312" w:eastAsia="仿宋_GB2312"/>
                <w:sz w:val="24"/>
                <w:color w:val="000000"/>
              </w:rPr>
              <w:t>▲2、病原谱：能够覆盖≥1200种病原微生物，其中细菌≥800种，病毒≥300种，真菌≥300种，涵盖常见的寄生虫、支原体病原等。</w:t>
            </w:r>
          </w:p>
          <w:p>
            <w:pPr>
              <w:pStyle w:val="null3"/>
              <w:ind w:firstLine="560"/>
            </w:pPr>
            <w:r>
              <w:rPr>
                <w:rFonts w:ascii="仿宋_GB2312" w:hAnsi="仿宋_GB2312" w:cs="仿宋_GB2312" w:eastAsia="仿宋_GB2312"/>
                <w:sz w:val="24"/>
                <w:color w:val="000000"/>
              </w:rPr>
              <w:t>3、探针能够覆盖不同病原体的各类基因型，能够实现常见病原体基因组级别和基因亚型的精准分型。</w:t>
            </w:r>
          </w:p>
          <w:p>
            <w:pPr>
              <w:pStyle w:val="null3"/>
              <w:ind w:firstLine="560"/>
            </w:pPr>
            <w:r>
              <w:rPr>
                <w:rFonts w:ascii="仿宋_GB2312" w:hAnsi="仿宋_GB2312" w:cs="仿宋_GB2312" w:eastAsia="仿宋_GB2312"/>
                <w:sz w:val="24"/>
                <w:color w:val="000000"/>
              </w:rPr>
              <w:t>4、可对常见病原体，如冠状病毒、鼻病毒、流感病毒、腺病毒、肠道病毒、呼吸道合胞病毒、副流感病毒、偏肺病毒等实现全基因组探针覆盖，能够获得上述病原体全基因组序列，并能进行基因亚型鉴别。</w:t>
            </w:r>
          </w:p>
          <w:p>
            <w:pPr>
              <w:pStyle w:val="null3"/>
              <w:ind w:firstLine="560"/>
            </w:pPr>
            <w:r>
              <w:rPr>
                <w:rFonts w:ascii="仿宋_GB2312" w:hAnsi="仿宋_GB2312" w:cs="仿宋_GB2312" w:eastAsia="仿宋_GB2312"/>
                <w:sz w:val="24"/>
                <w:color w:val="000000"/>
              </w:rPr>
              <w:t>5检测限：病毒检测限100 copies/mL，细菌和真菌检测限10 CFU/ mL。</w:t>
            </w:r>
          </w:p>
          <w:p>
            <w:pPr>
              <w:pStyle w:val="null3"/>
              <w:ind w:firstLine="560"/>
            </w:pPr>
            <w:r>
              <w:rPr>
                <w:rFonts w:ascii="仿宋_GB2312" w:hAnsi="仿宋_GB2312" w:cs="仿宋_GB2312" w:eastAsia="仿宋_GB2312"/>
                <w:sz w:val="24"/>
                <w:color w:val="000000"/>
              </w:rPr>
              <w:t>▲6、可同步检测DNA和RNA，一个流程即可检测DNA病原和RNA病原，检测合二为一，无需针对DNA和RNA分别建库。</w:t>
            </w:r>
          </w:p>
          <w:p>
            <w:pPr>
              <w:pStyle w:val="null3"/>
              <w:ind w:firstLine="560"/>
            </w:pPr>
            <w:r>
              <w:rPr>
                <w:rFonts w:ascii="仿宋_GB2312" w:hAnsi="仿宋_GB2312" w:cs="仿宋_GB2312" w:eastAsia="仿宋_GB2312"/>
                <w:sz w:val="24"/>
                <w:color w:val="000000"/>
              </w:rPr>
              <w:t>7、试剂组成：能够提供文库构建和探针捕获过程中所需的所有试剂组分，无需额外准备相应试剂。</w:t>
            </w:r>
          </w:p>
          <w:p>
            <w:pPr>
              <w:pStyle w:val="null3"/>
              <w:ind w:firstLine="560"/>
            </w:pPr>
            <w:r>
              <w:rPr>
                <w:rFonts w:ascii="仿宋_GB2312" w:hAnsi="仿宋_GB2312" w:cs="仿宋_GB2312" w:eastAsia="仿宋_GB2312"/>
                <w:sz w:val="24"/>
                <w:color w:val="000000"/>
              </w:rPr>
              <w:t>8、时效性：建库全流程≤16小时。</w:t>
            </w:r>
          </w:p>
          <w:p>
            <w:pPr>
              <w:pStyle w:val="null3"/>
              <w:ind w:firstLine="560"/>
            </w:pPr>
            <w:r>
              <w:rPr>
                <w:rFonts w:ascii="仿宋_GB2312" w:hAnsi="仿宋_GB2312" w:cs="仿宋_GB2312" w:eastAsia="仿宋_GB2312"/>
                <w:sz w:val="24"/>
                <w:color w:val="000000"/>
              </w:rPr>
              <w:t>▲9、试剂适配性：适配采购人现有测序平台,至少包括华大，因美纳测序平台。</w:t>
            </w:r>
          </w:p>
          <w:p>
            <w:pPr>
              <w:pStyle w:val="null3"/>
            </w:pPr>
            <w:r>
              <w:rPr>
                <w:rFonts w:ascii="仿宋_GB2312" w:hAnsi="仿宋_GB2312" w:cs="仿宋_GB2312" w:eastAsia="仿宋_GB2312"/>
                <w:sz w:val="24"/>
              </w:rPr>
              <w:t xml:space="preserve">     10、数据分析：提供集成病原数据库、生信分析流程、病原捕获宏基因组分析数据库。能够本地化部署，无需联网云平台分析，并能够出具报告。</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标的名称：6 种呼吸道病原体核酸多重实时荧光PCR检测试剂盒等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93"/>
              <w:gridCol w:w="1558"/>
              <w:gridCol w:w="285"/>
              <w:gridCol w:w="225"/>
              <w:gridCol w:w="293"/>
            </w:tblGrid>
            <w:tr>
              <w:tc>
                <w:tcPr>
                  <w:tcW w:type="dxa" w:w="2554"/>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西安市疾病预防控制中心</w:t>
                  </w:r>
                  <w:r>
                    <w:rPr>
                      <w:rFonts w:ascii="仿宋_GB2312" w:hAnsi="仿宋_GB2312" w:cs="仿宋_GB2312" w:eastAsia="仿宋_GB2312"/>
                      <w:sz w:val="24"/>
                      <w:b/>
                      <w:color w:val="000000"/>
                    </w:rPr>
                    <w:t>6种呼吸道传染病综合监测试剂采购项目</w:t>
                  </w:r>
                </w:p>
              </w:tc>
            </w:tr>
            <w:tr>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预算（万元）</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 种呼吸道病原体核酸多重实时荧光PCR检测试剂盒</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人份</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2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33.2</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呼吸道传染病多病原核酸检测试剂盒</w:t>
                  </w:r>
                  <w:r>
                    <w:rPr>
                      <w:rFonts w:ascii="仿宋_GB2312" w:hAnsi="仿宋_GB2312" w:cs="仿宋_GB2312" w:eastAsia="仿宋_GB2312"/>
                      <w:sz w:val="24"/>
                      <w:color w:val="000000"/>
                    </w:rPr>
                    <w:t>（核心产品）</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人份</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c>
                <w:tcPr>
                  <w:tcW w:type="dxa" w:w="293"/>
                  <w:vMerge/>
                  <w:tcBorders>
                    <w:top w:val="none" w:color="000000" w:sz="4"/>
                    <w:left w:val="none" w:color="000000" w:sz="4"/>
                    <w:bottom w:val="single" w:color="000000" w:sz="4"/>
                    <w:right w:val="single" w:color="000000" w:sz="4"/>
                  </w:tcBorders>
                </w:tc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24"/>
                <w:b/>
                <w:color w:val="000000"/>
              </w:rPr>
              <w:t>6种呼吸道病原体核酸多重实时荧光PCR检测试剂盒</w:t>
            </w:r>
          </w:p>
          <w:p>
            <w:pPr>
              <w:pStyle w:val="null3"/>
            </w:pPr>
            <w:r>
              <w:rPr>
                <w:rFonts w:ascii="仿宋_GB2312" w:hAnsi="仿宋_GB2312" w:cs="仿宋_GB2312" w:eastAsia="仿宋_GB2312"/>
                <w:sz w:val="24"/>
                <w:color w:val="000000"/>
              </w:rPr>
              <w:t>1.开放型平台，可适用于各种多通道校正的全自动荧光PCR检测仪。</w:t>
            </w:r>
          </w:p>
          <w:p>
            <w:pPr>
              <w:pStyle w:val="null3"/>
            </w:pPr>
            <w:r>
              <w:rPr>
                <w:rFonts w:ascii="仿宋_GB2312" w:hAnsi="仿宋_GB2312" w:cs="仿宋_GB2312" w:eastAsia="仿宋_GB2312"/>
                <w:sz w:val="24"/>
                <w:color w:val="000000"/>
              </w:rPr>
              <w:t>2.适用范围：适用于定性检测从咽拭子、痰液和培养物等样本中提取的军团菌、肺炎衣原体、鹦鹉热衣原体、曲霉菌属、隐球菌、肺炎克雷伯菌的核酸。</w:t>
            </w:r>
          </w:p>
          <w:p>
            <w:pPr>
              <w:pStyle w:val="null3"/>
            </w:pPr>
            <w:r>
              <w:rPr>
                <w:rFonts w:ascii="仿宋_GB2312" w:hAnsi="仿宋_GB2312" w:cs="仿宋_GB2312" w:eastAsia="仿宋_GB2312"/>
                <w:sz w:val="24"/>
                <w:color w:val="000000"/>
              </w:rPr>
              <w:t>3、检测技术：多重实时荧光PCR技术，TaqMan探针法，PCR扩增不设预循环，从第一个循环数开始读取荧光值，反应时间≤90分钟。</w:t>
            </w:r>
          </w:p>
          <w:p>
            <w:pPr>
              <w:pStyle w:val="null3"/>
            </w:pPr>
            <w:r>
              <w:rPr>
                <w:rFonts w:ascii="仿宋_GB2312" w:hAnsi="仿宋_GB2312" w:cs="仿宋_GB2312" w:eastAsia="仿宋_GB2312"/>
                <w:sz w:val="24"/>
                <w:color w:val="000000"/>
              </w:rPr>
              <w:t>4、试剂组成及规格：采用预分装的引物探针混合液，可提供8联管或可拆分96孔板包装，每个反应孔核酸使用体积≤5</w:t>
            </w:r>
            <w:r>
              <w:rPr>
                <w:rFonts w:ascii="仿宋_GB2312" w:hAnsi="仿宋_GB2312" w:cs="仿宋_GB2312" w:eastAsia="仿宋_GB2312"/>
                <w:sz w:val="24"/>
                <w:color w:val="000000"/>
              </w:rPr>
              <w:t>μ</w:t>
            </w:r>
            <w:r>
              <w:rPr>
                <w:rFonts w:ascii="仿宋_GB2312" w:hAnsi="仿宋_GB2312" w:cs="仿宋_GB2312" w:eastAsia="仿宋_GB2312"/>
                <w:sz w:val="24"/>
                <w:color w:val="000000"/>
              </w:rPr>
              <w:t>L，每孔反应体系≤25µL。含有阴性及阳性对照。</w:t>
            </w:r>
          </w:p>
          <w:p>
            <w:pPr>
              <w:pStyle w:val="null3"/>
            </w:pPr>
            <w:r>
              <w:rPr>
                <w:rFonts w:ascii="仿宋_GB2312" w:hAnsi="仿宋_GB2312" w:cs="仿宋_GB2312" w:eastAsia="仿宋_GB2312"/>
                <w:sz w:val="24"/>
                <w:color w:val="000000"/>
              </w:rPr>
              <w:t>5、最低检出限：≤500copies/mL，与其他病原菌均无交叉反应。</w:t>
            </w:r>
          </w:p>
          <w:p>
            <w:pPr>
              <w:pStyle w:val="null3"/>
            </w:pPr>
            <w:r>
              <w:rPr>
                <w:rFonts w:ascii="仿宋_GB2312" w:hAnsi="仿宋_GB2312" w:cs="仿宋_GB2312" w:eastAsia="仿宋_GB2312"/>
                <w:sz w:val="24"/>
                <w:color w:val="000000"/>
              </w:rPr>
              <w:t>6、储存及效期：试剂盒在-20℃温度下保存，试剂盒有效期≥12个月，到货后有效期≥10个月。</w:t>
            </w:r>
          </w:p>
          <w:p>
            <w:pPr>
              <w:pStyle w:val="null3"/>
            </w:pPr>
            <w:r>
              <w:rPr>
                <w:rFonts w:ascii="仿宋_GB2312" w:hAnsi="仿宋_GB2312" w:cs="仿宋_GB2312" w:eastAsia="仿宋_GB2312"/>
                <w:sz w:val="24"/>
              </w:rPr>
              <w:t>7、试剂盒配有UNG-dUTP防产物污染系统。</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sz w:val="24"/>
                <w:b/>
                <w:color w:val="000000"/>
              </w:rPr>
              <w:t>呼吸道传染病多病原核酸检测试剂盒</w:t>
            </w:r>
            <w:r>
              <w:rPr>
                <w:rFonts w:ascii="仿宋_GB2312" w:hAnsi="仿宋_GB2312" w:cs="仿宋_GB2312" w:eastAsia="仿宋_GB2312"/>
                <w:sz w:val="24"/>
                <w:color w:val="000000"/>
              </w:rPr>
              <w:t>（核心产品）</w:t>
            </w:r>
          </w:p>
          <w:p>
            <w:pPr>
              <w:pStyle w:val="null3"/>
            </w:pPr>
            <w:r>
              <w:rPr>
                <w:rFonts w:ascii="仿宋_GB2312" w:hAnsi="仿宋_GB2312" w:cs="仿宋_GB2312" w:eastAsia="仿宋_GB2312"/>
                <w:sz w:val="24"/>
                <w:color w:val="000000"/>
              </w:rPr>
              <w:t>1、适用范围和功能：适用于定性检测咽拭子、痰液和培养物等样本中的常见呼吸道病原体，应至少包括以下病原：甲型流感病毒通用型、甲型流感病毒H1N1分型、甲型流感病毒H3分型，乙型流感病毒通用型、乙型流感病毒Victoria型、乙型流感病毒Yamagata型、新型冠状病毒、腺病毒、呼吸道合胞病毒、副流感病毒、人偏肺病毒、鼻病毒、冠状病毒、博卡病毒、肠道病毒、肺炎支原体、肺炎链球菌、A族链球菌、流感嗜血杆菌、百日咳杆菌。</w:t>
            </w:r>
          </w:p>
          <w:p>
            <w:pPr>
              <w:pStyle w:val="null3"/>
            </w:pPr>
            <w:r>
              <w:rPr>
                <w:rFonts w:ascii="仿宋_GB2312" w:hAnsi="仿宋_GB2312" w:cs="仿宋_GB2312" w:eastAsia="仿宋_GB2312"/>
                <w:sz w:val="24"/>
                <w:color w:val="000000"/>
              </w:rPr>
              <w:t>2、检测技术：多重实时荧光PCR技术，TaqMan探针法，PCR扩增不设预循环，从第一个循环数开始读取荧光值。</w:t>
            </w:r>
          </w:p>
          <w:p>
            <w:pPr>
              <w:pStyle w:val="null3"/>
            </w:pPr>
            <w:r>
              <w:rPr>
                <w:rFonts w:ascii="仿宋_GB2312" w:hAnsi="仿宋_GB2312" w:cs="仿宋_GB2312" w:eastAsia="仿宋_GB2312"/>
                <w:sz w:val="24"/>
                <w:color w:val="000000"/>
              </w:rPr>
              <w:t>3、试剂组成及规格：采用预分装的引物探针混合液，无需配置体系，只需一步加入核酸，即可完成多种病原体基因型的定性检测。使用8联管或可拆分96孔板，反应体系≤25µL。含有阴性及阳性对照。</w:t>
            </w:r>
          </w:p>
          <w:p>
            <w:pPr>
              <w:pStyle w:val="null3"/>
            </w:pPr>
            <w:r>
              <w:rPr>
                <w:rFonts w:ascii="仿宋_GB2312" w:hAnsi="仿宋_GB2312" w:cs="仿宋_GB2312" w:eastAsia="仿宋_GB2312"/>
                <w:sz w:val="24"/>
                <w:color w:val="000000"/>
              </w:rPr>
              <w:t>4、最低检出限：≤500copies/mL，与其他病原菌均无交叉反应。</w:t>
            </w:r>
          </w:p>
          <w:p>
            <w:pPr>
              <w:pStyle w:val="null3"/>
            </w:pPr>
            <w:r>
              <w:rPr>
                <w:rFonts w:ascii="仿宋_GB2312" w:hAnsi="仿宋_GB2312" w:cs="仿宋_GB2312" w:eastAsia="仿宋_GB2312"/>
                <w:sz w:val="24"/>
                <w:color w:val="000000"/>
              </w:rPr>
              <w:t>5、储存及效期：试剂盒在-20℃温度下保存，有效期≥12个月，到货后有效期≥10个月。</w:t>
            </w:r>
          </w:p>
          <w:p>
            <w:pPr>
              <w:pStyle w:val="null3"/>
            </w:pPr>
            <w:r>
              <w:rPr>
                <w:rFonts w:ascii="仿宋_GB2312" w:hAnsi="仿宋_GB2312" w:cs="仿宋_GB2312" w:eastAsia="仿宋_GB2312"/>
                <w:sz w:val="24"/>
                <w:color w:val="000000"/>
              </w:rPr>
              <w:t>6、试剂盒配有UNG-dUTP防产物污染系统。</w:t>
            </w:r>
          </w:p>
          <w:p>
            <w:pPr>
              <w:pStyle w:val="null3"/>
            </w:pPr>
            <w:r>
              <w:rPr>
                <w:rFonts w:ascii="仿宋_GB2312" w:hAnsi="仿宋_GB2312" w:cs="仿宋_GB2312" w:eastAsia="仿宋_GB2312"/>
                <w:sz w:val="24"/>
              </w:rPr>
              <w:t>7、开放型平台，可适用于各种多通道校正的全自动荧光PCR检测仪。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合同签订完毕，采购人下达供货通知后30天内完成供货及验收。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合同签订完毕，采购人下达供货通知后30天内完成供货及验收。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合同签订完毕，采购人下达供货通知后30天内完成供货及验收。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西安市疾病预防控制中心指定地点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西安市疾病预防控制中心指定地点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西安市疾病预防控制中心指定地点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合同签订后，乙方须按其投标文件中响应的供货期按时交货并提供全额合规发票，保证“货票同行”。货物到达甲方指定地点，验收合格后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合同签订后，乙方须按其投标文件中响应的供货期按时交货并提供全额合规发票，保证“货票同行”。货物到达甲方指定地点，验收合格后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合同签订后，乙方须按其投标文件中响应的供货期按时交货并提供全额合规发票，保证“货票同行”。货物到达甲方指定地点，验收合格后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由甲方和乙方共同对货物进行验收。其内容包括确认货物的包装、产地、规格、型号和数量，对其货物技术指标、性能参数进行逐项核验。 1.验收货物的指标、性能参数通过验收达到合同要求，或出现甲方不能正常使用的情况，将视为验收不合格，乙方应及时更换或退货。 2.若发现乙方有弄虚作假的，故意或随意夸大货物技术性能，甲方除要求退货外，有权要求乙方赔偿甲方相应的损失。 3.验收标准：按合同文件及澄清等技术指标进行验收。货物的各项指标均应符合验收标准及要求。 4.验收合格后，填写验收单，甲方签字后生效。 5.验收依据： 5.1本合同文本： 5.2国家和行业制定的相应的标准和规范。 5.3验收清单（注明品名、数量、价格、规格型号、产地和生产厂家）。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由甲方和乙方共同对货物进行验收。其内容包括确认货物的包装、产地、规格、型号和数量，对其货物技术指标、性能参数进行逐项核验。 1.验收货物的指标、性能参数通过验收达到合同要求，或出现甲方不能正常使用的情况，将视为验收不合格，乙方应及时更换或退货。 2.若发现乙方有弄虚作假的，故意或随意夸大货物技术性能，甲方除要求退货外，有权要求乙方赔偿甲方相应的损失。 3.验收标准：按合同文件及澄清等技术指标进行验收。货物的各项指标均应符合验收标准及要求。 4.验收合格后，填写验收单，甲方签字后生效。 5.验收依据： 5.1本合同文本： 5.2国家和行业制定的相应的标准和规范。 5.3验收清单（注明品名、数量、价格、规格型号、产地和生产厂家）。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由甲方和乙方共同对货物进行验收。其内容包括确认货物的包装、产地、规格、型号和数量，对其货物技术指标、性能参数进行逐项核验。 1.验收货物的指标、性能参数通过验收达到合同要求，或出现甲方不能正常使用的情况，将视为验收不合格，乙方应及时更换或退货。 2.若发现乙方有弄虚作假的，故意或随意夸大货物技术性能，甲方除要求退货外，有权要求乙方赔偿甲方相应的损失。 3.验收标准：按合同文件及澄清等技术指标进行验收。货物的各项指标均应符合验收标准及要求。 4.验收合格后，填写验收单，甲方签字后生效。 5.验收依据： 5.1本合同文本： 5.2国家和行业制定的相应的标准和规范。 5.3验收清单（注明品名、数量、价格、规格型号、产地和生产厂家）。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自货物验收合格之日起计算,质保不少于24个月。使用过程中，如有任何问题，保证2小时内答复，4小时内到达用户现场解决问题，直至保证产品能够正常使用。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货物验收合格之日起计算,质保不少于12个月。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试剂盒有效期≥12个月，到货后有效期≥10个月。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（一）按《民法典》中的相关条款执行。 （二）未按合同要求提供货物或质量不能满足磋商文件技术要求，在约定的条件下，乙方必须无条件更换，提高技术，完善质量，否则，甲方有权解除合同，解除合同书面通知书到达乙方之日视为合同已解除，并按以下两种方式追究乙方的违约责任： 1.乙方赔偿甲方解除合同的全部损失（包括但不限于重新采购产生的费用、合同未履行导致货物不能按规划交付使用可能产生的由此造成的甲方对第三方的违约损失）； 2.乙方支付甲方违约金，违约金计算方法：以合同总价为基数，支付甲方合同总价的30%为违约金。同时对乙方的违约行为报监管机构进行相应的处罚。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（一）按《民法典》中的相关条款执行。 （二）未按合同要求提供货物或质量不能满足磋商文件技术要求，在约定的条件下，乙方必须无条件更换，提高技术，完善质量，否则，甲方有权解除合同，解除合同书面通知书到达乙方之日视为合同已解除，并按以下两种方式追究乙方的违约责任： 1.乙方赔偿甲方解除合同的全部损失（包括但不限于重新采购产生的费用、合同未履行导致货物不能按规划交付使用可能产生的由此造成的甲方对第三方的违约损失）； 2.乙方支付甲方违约金，违约金计算方法：以合同总价为基数，支付甲方合同总价的30%为违约金。同时对乙方的违约行为报监管机构进行相应的处罚。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（一）按《民法典》中的相关条款执行。 （二）未按合同要求提供货物或质量不能满足磋商文件技术要求，在约定的条件下，乙方必须无条件更换，提高技术，完善质量，否则，甲方有权解除合同，解除合同书面通知书到达乙方之日视为合同已解除，并按以下两种方式追究乙方的违约责任： 1.乙方赔偿甲方解除合同的全部损失（包括但不限于重新采购产生的费用、合同未履行导致货物不能按规划交付使用可能产生的由此造成的甲方对第三方的违约损失）； 2.乙方支付甲方违约金，违约金计算方法：以合同总价为基数，支付甲方合同总价的30%为违约金。同时对乙方的违约行为报监管机构进行相应的处罚。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1、根据采购人档案管理要求，供应商需要在线提交所有通过电子化交易平台实施的政府采购项目的投标文件，同时，线下提交投标文件正本 壹 份、副本 贰 套、电子版壹 套（U盘一套标明供应商名称，随正本密封）。若系统电子投标文件与纸质投标文件不一致的，以系统电子投标文件为准。 2、落实政府采购政策《国务院办公厅关于在政府采购中实施本国产品标准及相关政策的通知国办发〔2025〕34号》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3、定标环节采购人有权对响应文件承诺响应的内容进行复核，如有虚假响应，一经发现，取消成交资格并上报财政主管部门，列入政府采购黑名单。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1、供应商为合法注册的法人、其他组织或自然人，具有独立承担民事责任的能力，提供具有统一社会信用代码证的营业执照（或事业单位法人证），供应商为自然人的提供身份证 2、2025年度经审计的财务报告或在开标日期前12个月内任意时段银行出具的资信证明； 3、提供具有履行本合同所必需专业技术能力的说明及承诺； 4、社会保障资金缴纳记录证明文件和依法缴纳税收记录证明文件（同时提供开标截止时间前12个月内缴存的任意时段的社保及税收缴纳证明；依法不需要缴纳的应提供相关证明文件)；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资格响应表.docx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1、供应商为合法注册的法人、其他组织或自然人，具有独立承担民事责任的能力，提供具有统一社会信用代码证的营业执照（或事业单位法人证），供应商为自然人的提供身份证 2、2025年度经审计的财务报告或在开标日期前12个月内任意时段银行出具的资信证明； 3、提供具有履行本合同所必需专业技术能力的说明及承诺； 4、社会保障资金缴纳记录证明文件和依法缴纳税收记录证明文件（同时提供开标截止时间前12个月内缴存的任意时段的社保及税收缴纳证明；依法不需要缴纳的应提供相关证明文件)；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资格响应表.docx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1、供应商为合法注册的法人、其他组织或自然人，具有独立承担民事责任的能力，提供具有统一社会信用代码证的营业执照（或事业单位法人证），供应商为自然人的提供身份证 2、2025年度经审计的财务报告或在开标日期前12个月内任意时段银行出具的资信证明； 3、提供具有履行本合同所必需专业技术能力的说明及承诺； 4、社会保障资金缴纳记录证明文件和依法缴纳税收记录证明文件（同时提供开标截止时间前12个月内缴存的任意时段的社保及税收缴纳证明；依法不需要缴纳的应提供相关证明文件)；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资格响应表.docx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身份证，并与营业执照上信息一致。法定代表人授权代表参加的，须出具法定代表人授权书，同时提供授权代表由供应商缴纳的磋商日期前连续3个月的社保记录；</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承诺要求</w:t>
            </w:r>
          </w:p>
        </w:tc>
        <w:tc>
          <w:tcPr>
            <w:tcW w:type="dxa" w:w="3322"/>
          </w:tcPr>
          <w:p>
            <w:pPr>
              <w:pStyle w:val="null3"/>
            </w:pPr>
            <w:r>
              <w:rPr>
                <w:rFonts w:ascii="仿宋_GB2312" w:hAnsi="仿宋_GB2312" w:cs="仿宋_GB2312" w:eastAsia="仿宋_GB2312"/>
              </w:rPr>
              <w:t>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供应商与采购人关联关系</w:t>
            </w:r>
          </w:p>
        </w:tc>
        <w:tc>
          <w:tcPr>
            <w:tcW w:type="dxa" w:w="3322"/>
          </w:tcPr>
          <w:p>
            <w:pPr>
              <w:pStyle w:val="null3"/>
            </w:pPr>
            <w:r>
              <w:rPr>
                <w:rFonts w:ascii="仿宋_GB2312" w:hAnsi="仿宋_GB2312" w:cs="仿宋_GB2312" w:eastAsia="仿宋_GB2312"/>
              </w:rPr>
              <w:t>本项目不接受由西安市疾病预防控制中心职工及其亲属投资开办的企业参加本单位的政府采购活动；（提供承诺函）</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本项目不接受联合体参与</w:t>
            </w:r>
          </w:p>
        </w:tc>
        <w:tc>
          <w:tcPr>
            <w:tcW w:type="dxa" w:w="3322"/>
          </w:tcPr>
          <w:p>
            <w:pPr>
              <w:pStyle w:val="null3"/>
            </w:pPr>
            <w:r>
              <w:rPr>
                <w:rFonts w:ascii="仿宋_GB2312" w:hAnsi="仿宋_GB2312" w:cs="仿宋_GB2312" w:eastAsia="仿宋_GB2312"/>
              </w:rPr>
              <w:t>本项目不接受联合体参与，单位负责人为同一人或者存在直接控股、管理关系的不同单位，不得参加同一合同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身份证，并与营业执照上信息一致。法定代表人授权代表参加的，须出具法定代表人授权书，同时提供授权代表由供应商缴纳的磋商日期前连续3个月的社保记录；</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承诺要求</w:t>
            </w:r>
          </w:p>
        </w:tc>
        <w:tc>
          <w:tcPr>
            <w:tcW w:type="dxa" w:w="3322"/>
          </w:tcPr>
          <w:p>
            <w:pPr>
              <w:pStyle w:val="null3"/>
            </w:pPr>
            <w:r>
              <w:rPr>
                <w:rFonts w:ascii="仿宋_GB2312" w:hAnsi="仿宋_GB2312" w:cs="仿宋_GB2312" w:eastAsia="仿宋_GB2312"/>
              </w:rPr>
              <w:t>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供应商与采购人关联关系</w:t>
            </w:r>
          </w:p>
        </w:tc>
        <w:tc>
          <w:tcPr>
            <w:tcW w:type="dxa" w:w="3322"/>
          </w:tcPr>
          <w:p>
            <w:pPr>
              <w:pStyle w:val="null3"/>
            </w:pPr>
            <w:r>
              <w:rPr>
                <w:rFonts w:ascii="仿宋_GB2312" w:hAnsi="仿宋_GB2312" w:cs="仿宋_GB2312" w:eastAsia="仿宋_GB2312"/>
              </w:rPr>
              <w:t>本项目不接受由西安市疾病预防控制中心职工及其亲属投资开办的企业参加本单位的政府采购活动；（提供承诺函）</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本项目不接受联合体参与</w:t>
            </w:r>
          </w:p>
        </w:tc>
        <w:tc>
          <w:tcPr>
            <w:tcW w:type="dxa" w:w="3322"/>
          </w:tcPr>
          <w:p>
            <w:pPr>
              <w:pStyle w:val="null3"/>
            </w:pPr>
            <w:r>
              <w:rPr>
                <w:rFonts w:ascii="仿宋_GB2312" w:hAnsi="仿宋_GB2312" w:cs="仿宋_GB2312" w:eastAsia="仿宋_GB2312"/>
              </w:rPr>
              <w:t>本项目不接受联合体参与，单位负责人为同一人或者存在直接控股、管理关系的不同单位，不得参加同一合同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身份证，并与营业执照上信息一致。法定代表人授权代表参加的，须出具法定代表人授权书，同时提供授权代表由供应商缴纳的磋商日期前连续3个月的社保记录；</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承诺要求</w:t>
            </w:r>
          </w:p>
        </w:tc>
        <w:tc>
          <w:tcPr>
            <w:tcW w:type="dxa" w:w="3322"/>
          </w:tcPr>
          <w:p>
            <w:pPr>
              <w:pStyle w:val="null3"/>
            </w:pPr>
            <w:r>
              <w:rPr>
                <w:rFonts w:ascii="仿宋_GB2312" w:hAnsi="仿宋_GB2312" w:cs="仿宋_GB2312" w:eastAsia="仿宋_GB2312"/>
              </w:rPr>
              <w:t>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供应商与采购人关联关系</w:t>
            </w:r>
          </w:p>
        </w:tc>
        <w:tc>
          <w:tcPr>
            <w:tcW w:type="dxa" w:w="3322"/>
          </w:tcPr>
          <w:p>
            <w:pPr>
              <w:pStyle w:val="null3"/>
            </w:pPr>
            <w:r>
              <w:rPr>
                <w:rFonts w:ascii="仿宋_GB2312" w:hAnsi="仿宋_GB2312" w:cs="仿宋_GB2312" w:eastAsia="仿宋_GB2312"/>
              </w:rPr>
              <w:t>本项目不接受由西安市疾病预防控制中心职工及其亲属投资开办的企业参加本单位的政府采购活动；（提供承诺函）</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本项目不接受联合体参与</w:t>
            </w:r>
          </w:p>
        </w:tc>
        <w:tc>
          <w:tcPr>
            <w:tcW w:type="dxa" w:w="3322"/>
          </w:tcPr>
          <w:p>
            <w:pPr>
              <w:pStyle w:val="null3"/>
            </w:pPr>
            <w:r>
              <w:rPr>
                <w:rFonts w:ascii="仿宋_GB2312" w:hAnsi="仿宋_GB2312" w:cs="仿宋_GB2312" w:eastAsia="仿宋_GB2312"/>
              </w:rPr>
              <w:t>本项目不接受联合体参与，单位负责人为同一人或者存在直接控股、管理关系的不同单位，不得参加同一合同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3、强化政府采购异常低价审查 （一）政府采购评审中出现下列情形之一的，磋商小组应当启动异常低价响应审查程序：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二）磋商小组启动异常低价响应审查后，相关供应商在评审现场合理的时间内（30分钟）对响应价格作出解释，提供项目具体成本测算等与报价合理性相关的书面说明及必要的证明材料，包括但不限于原材料成本、人工成本、制造费用等。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标的清单 报价表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合同签订完毕，采购人下达供货通知后30天内完成供货及验收。</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合同签订后，乙方须按其投标文件中响应的供货期按时交货并提供全额合规发票，保证“货票同行”。货物到达甲方指定地点，验收合格后 ，达到付款条件起 30 日内，支付合同总金额的 100.00%。</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自货物验收合格之日起计算,质保不少于24个月。使用过程中，如有任何问题，保证2小时内答复，4小时内到达用户现场解决问题，直至保证产品能够正常使用。</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1661"/>
          </w:tcPr>
          <w:p>
            <w:pPr>
              <w:pStyle w:val="null3"/>
            </w:pPr>
            <w:r>
              <w:rPr>
                <w:rFonts w:ascii="仿宋_GB2312" w:hAnsi="仿宋_GB2312" w:cs="仿宋_GB2312" w:eastAsia="仿宋_GB2312"/>
              </w:rPr>
              <w:t>响应文件封面 商务偏离表.docx 报价表及分项报价表.docx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3、强化政府采购异常低价审查 （一）政府采购评审中出现下列情形之一的，磋商小组应当启动异常低价响应审查程序：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二）磋商小组启动异常低价响应审查后，相关供应商在评审现场合理的时间内（30分钟）对响应价格作出解释，提供项目具体成本测算等与报价合理性相关的书面说明及必要的证明材料，包括但不限于原材料成本、人工成本、制造费用等。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标的清单 报价表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合同签订完毕，采购人下达供货通知后30天内完成供货及验收。</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合同签订后，乙方须按其投标文件中响应的供货期按时交货并提供全额合规发票，保证“货票同行”。货物到达甲方指定地点，验收合格后 ，达到付款条件起 30 日内，支付合同总金额的 100.00%。</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自货物验收合格之日起计算,质保不少于12个月。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1661"/>
          </w:tcPr>
          <w:p>
            <w:pPr>
              <w:pStyle w:val="null3"/>
            </w:pPr>
            <w:r>
              <w:rPr>
                <w:rFonts w:ascii="仿宋_GB2312" w:hAnsi="仿宋_GB2312" w:cs="仿宋_GB2312" w:eastAsia="仿宋_GB2312"/>
              </w:rPr>
              <w:t>响应文件封面 商务偏离表.docx 报价表及分项报价表.docx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3、强化政府采购异常低价审查 （一）政府采购评审中出现下列情形之一的，磋商小组应当启动异常低价响应审查程序：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二）磋商小组启动异常低价响应审查后，相关供应商在评审现场合理的时间内（30分钟）对响应价格作出解释，提供项目具体成本测算等与报价合理性相关的书面说明及必要的证明材料，包括但不限于原材料成本、人工成本、制造费用等。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标的清单 报价表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合同签订完毕，采购人下达供货通知后30天内完成供货及验收。</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合同签订后，乙方须按其投标文件中响应的供货期按时交货并提供全额合规发票，保证“货票同行”。货物到达甲方指定地点，验收合格后 ，达到付款条件起 30 日内，支付合同总金额的 100.00%。</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试剂盒有效期≥12个月，到货后有效期≥10个月。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1661"/>
          </w:tcPr>
          <w:p>
            <w:pPr>
              <w:pStyle w:val="null3"/>
            </w:pPr>
            <w:r>
              <w:rPr>
                <w:rFonts w:ascii="仿宋_GB2312" w:hAnsi="仿宋_GB2312" w:cs="仿宋_GB2312" w:eastAsia="仿宋_GB2312"/>
              </w:rPr>
              <w:t>响应文件封面 商务偏离表.docx 报价表及分项报价表.docx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完全符合、响应磋商文件的每一项要求，没有负偏离计23分；▲参数每负偏离一项扣2分，非▲参数每负偏离一项扣1分，扣完为止。▲参数需提供佐证材料 (产品彩页、官网截图、检测报告、技术白皮书等)</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所投产品技术响应的规范性</w:t>
            </w:r>
          </w:p>
        </w:tc>
        <w:tc>
          <w:tcPr>
            <w:tcW w:type="dxa" w:w="2492"/>
          </w:tcPr>
          <w:p>
            <w:pPr>
              <w:pStyle w:val="null3"/>
            </w:pPr>
            <w:r>
              <w:rPr>
                <w:rFonts w:ascii="仿宋_GB2312" w:hAnsi="仿宋_GB2312" w:cs="仿宋_GB2312" w:eastAsia="仿宋_GB2312"/>
              </w:rPr>
              <w:t>所投产品的响应的规范性： （1）技术参数逐条明确响应，完整详细、科学规范、可行度高的得3分； （2）技术响应完整、规范、基本可行的得2分； （3）技术响应内容有3处以上缺陷或完全拷贝参数要求未进行细化响应的得1分； （4）未响应不得分。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所投产品质量保证方案，至少包含1.投标产品精度、性能能满足相应使用的要求；为市场较新或最新产品；2、投标产品的操作便利，使用适宜度高，经培训后易上手；3、投标产品备品备件、消耗品储备齐全，维修及更换频次较低；4、投标产品操纵和控制系统功能完整，界面布局简洁，清楚，逻辑明确；5、设备的安全防护措施完善，安全可靠性高。。 方案各项内容全面详细、阐述条理清晰、技术先进、配置合理，每有一项缺项扣2分，每有一处内容存在缺陷，扣0.5分。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针对本项目的实施方案，包括但不限于1、供货组织安排、安装、检测措施；2、仓储、设施设备及完整的储运系统，运输的安全保证；3、组织机构人员配置、协调能力；4、验收方案等。方案各项内容全面详细、阐述条理清晰详尽、符合本项目采购需求、平台技术先进，功能配置合理，每有一个缺项扣3分，每有一处内容存在缺陷，扣0.5分，扣完为止。 备注：缺陷是指内容不合理、虽有内容但不完善、内容表述前后不一致、套用其他项目方案、可实施性差或与项目需求不匹配及其他不利于项目实施的等任意一种情形。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提供质量控制措施及产品来源渠道证明资料。 1、质量控制方法和措施、流程，控制重点思路清晰明确，利于项目高效实施，产品来源渠道证明材料齐全得3分； 2、质量控制方法和措施、流程，控制重点存在可优化空间，产品来源渠道证明材料齐全得2分； 3、质量控制措施内容无针对性，缺陷较多得1分；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详细的售后服务方案及售后服务承诺，具有明确的承诺且符合实际需求，包含1、售后服务机构健全，能够提供高效服务的，具有相应的物力、人力保障；2、在产品使用过程中出现问题响应时间、到达现场时间、解决问题时间承诺函；3、退/调换货方案；4、应急补救措施或方案。 方案各项内容全面详细、阐述条理清晰详尽、符合本项目采购需求、能有效保障本项目实施，每有一个缺项扣2分，每有一处内容存在缺陷，扣0.5分，扣完为止。 备注：缺陷是指内容不合理、虽有内容但不完善、内容表述前后不一致、套用其他项目方案、可实施性差或与项目需求不匹配及其他不利于项目实施的等任意一种情形。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针对本项目具有详细可行的技术培训方案，培训采购人指定的技术人员和管理人员，制定培训课程计划表。方案详细、科学完善计 3 分；方案简单但基本可行计 2 分；方案有缺项、可实施性较差计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提供针对本项目的合理化建议， 1、提供的合理化建议内容全面，有针对性，有利于项目后期实施得3分； 2、合理化建议内容简单但基本可行得2分； 3、合理化建议可实施性较差计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提供供应商自2022年1月1日以来同类项目业绩，每提供1份完整有效的合同得1分，共5分。（以合同签订时间为准）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采用低价优先法计算，即实质性满足磋商文件要求且最后报价最低的报价为评审基准价，其价格分为满分30分。 报价得分＝（评审基准价/最后报价）×30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技术参数规格明确，满足采购人应用的需求，完全满足得16分。▲号参数指标有一项不满足扣3分，非▲号参数指标有一项不满足扣1分。▲号参数须提供原厂试剂说明书及操作流程。</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所投产品技术响应的规范性</w:t>
            </w:r>
          </w:p>
        </w:tc>
        <w:tc>
          <w:tcPr>
            <w:tcW w:type="dxa" w:w="2492"/>
          </w:tcPr>
          <w:p>
            <w:pPr>
              <w:pStyle w:val="null3"/>
            </w:pPr>
            <w:r>
              <w:rPr>
                <w:rFonts w:ascii="仿宋_GB2312" w:hAnsi="仿宋_GB2312" w:cs="仿宋_GB2312" w:eastAsia="仿宋_GB2312"/>
              </w:rPr>
              <w:t>所投产品的响应的规范性： （1）技术参数逐条明确响应，完整详细、科学规范、可行度高的得3分； （2）技术响应完整、规范、基本可行的得2分； （3）技术响应内容有3处以上缺陷或完全拷贝参数要求未进行细化响应的得1分； （4）未响应不得分。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所投产品质量保证方案，至少包含1、性能稳定性说明（从产品成分、功效等进行说明）；2、质量稳定可靠，符合国家级行业相关标准的说明；3、产品技术、工艺先进性说明：4、产品使用安全性及与采购人使用适配性说明。 方案各项内容全面详细、阐述条理清晰、技术先进、配置合理，每有一项缺项扣3分，每有一处内容存在缺陷，扣0.5分。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针对本项目的实施方案，包括但不限于1、供货组织安排、安装、检测措施；2、仓储、设施设备及完整的储运系统，运输的安全保证；3、组织机构人员配置、协调能力；4、验收方案等。方案各项内容全面详细、阐述条理清晰详尽、符合本项目采购需求、平台技术先进，功能配置合理，每有一个缺项扣3分，每有一处内容存在缺陷，扣0.5分，扣完为止。 备注：缺陷是指内容不合理、虽有内容但不完善、内容表述前后不一致、套用其他项目方案、可实施性差或与项目需求不匹配及其他不利于项目实施的等任意一种情形。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提供质量控制措施及产品来源渠道证明资料。 1、质量控制方法和措施、流程，控制重点思路清晰明确，利于项目高效实施，产品来源渠道证明材料齐全得6分； 2、质量控制方法和措施、流程，控制重点存在可优化空间，产品来源渠道证明材料齐全得4分； 3、质量控制措施内容无针对性或有缺陷，产品来源渠道证明材料不齐的得2分； 4、质量控制措施内容无针对性，缺陷较多得1分；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详细的售后服务方案及售后服务承诺，具有明确的承诺且符合实际需求，包含1、售后服务机构健全，能够提供高效服务的，具有相应的物力、人力保障；2、在产品使用过程中出现问题响应时间、到达现场时间、解决问题时间承诺函；3、退/调换货方案；4、应急补救措施或方案。 方案各项内容全面详细、阐述条理清晰详尽、符合本项目采购需求、能有效保障本项目实施，每有一个缺项扣2分，每有一处内容存在缺陷，扣0.5分，扣完为止。 备注：缺陷是指内容不合理、虽有内容但不完善、内容表述前后不一致、套用其他项目方案、可实施性差或与项目需求不匹配及其他不利于项目实施的等任意一种情形。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针对本项目具有详细可行的技术培训方案，培训采购人指定的技术人员和管理人员，制定培训课程计划表。方案详细、科学完善计5分；方案简单但基本可行计 3 分；方案有缺项、可实施性较差计 1 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提供针对本项目的合理化建议， 1、提供的合理化建议内容全面，有针对性，有利于项目后期实施得3分； 2、合理化建议内容简单但基本可行得2分； 3、合理化建议可实施性较差计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提供供应商自2022年1月1日以来同类项目业绩，每提供1份完整有效的合同得1分，共5分。（以合同签订时间为准）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采用低价优先法计算，即实质性满足磋商文件要求且最后报价最低的报价为评审基准价，其价格分为满分30分。 报价得分＝（评审基准价/最后报价）×30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完全符合、响应磋商文件的每一项要求，没有负偏离计21分；参数每负偏离一项扣1.5分，扣完为止。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所投产品技术响应的规范性</w:t>
            </w:r>
          </w:p>
        </w:tc>
        <w:tc>
          <w:tcPr>
            <w:tcW w:type="dxa" w:w="2492"/>
          </w:tcPr>
          <w:p>
            <w:pPr>
              <w:pStyle w:val="null3"/>
            </w:pPr>
            <w:r>
              <w:rPr>
                <w:rFonts w:ascii="仿宋_GB2312" w:hAnsi="仿宋_GB2312" w:cs="仿宋_GB2312" w:eastAsia="仿宋_GB2312"/>
              </w:rPr>
              <w:t>所投产品的响应的规范性： （1）技术参数逐条明确响应，完整详细、科学规范、可行度高的得3分； （2）技术响应完整、规范、基本可行的得2分； （3）技术响应内容有3处以上缺陷或完全拷贝参数要求未进行细化响应的得1分； （4）未响应不得分。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所投产品质量保证方案，至少包含1、性能稳定性说明（从产品成分、功效等进行说明）；2、质量稳定可靠，符合国家级行业相关标准的说明；3、产品技术、工艺先进性说明：4、产品使用安全性及与采购人使用适配性说明。 方案各项内容全面详细、阐述条理清晰、技术先进、配置合理，每有一项缺项扣3分，每有一处内容存在缺陷，扣0.5分。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针对本项目的实施方案，包括但不限于1、供货组织安排、安装、检测措施；2、仓储、设施设备及完整的储运系统，运输的安全保证；3、组织机构人员配置、协调能力；4、验收方案等。方案各项内容全面详细、阐述条理清晰详尽、符合本项目采购需求、平台技术先进，功能配置合理，每有一个缺项扣3分，每有一处内容存在缺陷，扣0.5分，扣完为止。 备注：缺陷是指内容不合理、虽有内容但不完善、内容表述前后不一致、套用其他项目方案、可实施性差或与项目需求不匹配及其他不利于项目实施的等任意一种情形。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提供质量控制措施及产品来源渠道证明资料。 1、质量控制方法和措施、流程，控制重点思路清晰明确，利于项目高效实施，产品来源渠道证明材料齐全得3分； 2、质量控制方法和措施、流程，控制重点存在可优化空间，产品来源渠道证明材料齐全得2分； 3、质量控制措施内容无针对性，缺陷较多得1分；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详细的售后服务方案及售后服务承诺，具有明确的承诺且符合实际需求，包含1、售后服务机构健全，能够提供高效服务的，具有相应的物力、人力保障；2、在产品使用过程中出现问题响应时间、到达现场时间、解决问题时间承诺函；3、退/调换货方案；4、应急补救措施或方案。 方案各项内容全面详细、阐述条理清晰详尽、符合本项目采购需求、能有效保障本项目实施，每有一个缺项扣2分，每有一处内容存在缺陷，扣0.5分，扣完为止。 备注：缺陷是指内容不合理、虽有内容但不完善、内容表述前后不一致、套用其他项目方案、可实施性差或与项目需求不匹配及其他不利于项目实施的等任意一种情形。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针对本项目具有详细可行的技术培训方案，培训采购人指定的技术人员和管理人员，制定培训课程计划表。方案详细、科学完善计 3 分；方案简单但基本可行计 2 分；方案有缺项、可实施性较差计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提供针对本项目的合理化建议， 1、提供的合理化建议内容全面，有针对性，有利于项目后期实施得3分； 2、合理化建议内容简单但基本可行得2分； 3、合理化建议可实施性较差计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提供供应商自2022年1月1日以来同类项目业绩，每提供1份完整有效的合同得1分，共5分。（以合同签订时间为准）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采用低价优先法计算，即实质性满足磋商文件要求且最后报价最低的报价为评审基准价，其价格分为满分30分。 报价得分＝（评审基准价/最后报价）×30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详见附件：技术方案，履约能力，售后及培训.docx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详见附件：报价表及分项报价表.docx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详见附件：技术方案，履约能力，售后及培训.docx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详见附件：报价表及分项报价表.docx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详见附件：技术方案，履约能力，售后及培训.docx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详见附件：合同格式及主要条款.docx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