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版本号：SDZC2026-04920260520001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江口镇传统古村落文化开发项目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SDZC2026-049</w:t>
      </w:r>
      <w:r>
        <w:br/>
      </w:r>
      <w:r>
        <w:br/>
      </w:r>
      <w:r>
        <w:br/>
      </w:r>
    </w:p>
    <w:p>
      <w:pPr>
        <w:pStyle w:val="null3"/>
        <w:jc w:val="center"/>
        <w:outlineLvl w:val="2"/>
      </w:pPr>
      <w:r>
        <w:rPr>
          <w:rFonts w:ascii="仿宋_GB2312" w:hAnsi="仿宋_GB2312" w:cs="仿宋_GB2312" w:eastAsia="仿宋_GB2312"/>
          <w:sz w:val="28"/>
          <w:b/>
        </w:rPr>
        <w:t>留坝县江口镇人民政府</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留坝县江口镇人民政府</w:t>
      </w:r>
      <w:r>
        <w:rPr>
          <w:rFonts w:ascii="仿宋_GB2312" w:hAnsi="仿宋_GB2312" w:cs="仿宋_GB2312" w:eastAsia="仿宋_GB2312"/>
        </w:rPr>
        <w:t>委托，拟对</w:t>
      </w:r>
      <w:r>
        <w:rPr>
          <w:rFonts w:ascii="仿宋_GB2312" w:hAnsi="仿宋_GB2312" w:cs="仿宋_GB2312" w:eastAsia="仿宋_GB2312"/>
        </w:rPr>
        <w:t>江口镇传统古村落文化开发项目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江口镇传统古村落文化开发项目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江口镇传统古村落文化开发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采购包1（江口镇传统古村落文化开发项目）：属于专门面向中小企业采购。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p>
      <w:pPr>
        <w:pStyle w:val="null3"/>
      </w:pPr>
      <w:r>
        <w:rPr>
          <w:rFonts w:ascii="仿宋_GB2312" w:hAnsi="仿宋_GB2312" w:cs="仿宋_GB2312" w:eastAsia="仿宋_GB2312"/>
        </w:rPr>
        <w:t>3、法定代表人授权委托书：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4、控股关系：单位负责人为同一人或者存在直接控股、管理关系的不同供应商，不得参加同一合同项下的政府采购活动。（此项在谈判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留坝县江口镇人民政府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留坝县江口镇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0916-3988271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陕西省西安市未央区陕西省西安市经开区张家堡转盘东南角正尚国际金融广场1幢1单元10703室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葛晓辉（12号工位）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 汇款账户： 1.开户行名称：陕西上德招标有限公司 2.开户行：西安银行股份有限公司文景路支行 3.帐 号：707011510000013522 财务部联系方式：029-86673953、86518381、89299829、89293231 转814或813 备注：投标人在汇款时须注明项目编号+项目简称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留坝县江口镇人民政府</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留坝县江口镇人民政府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留坝县江口镇人民政府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陕西上德招标有限公司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联系人：葛晓辉（12号工位）</w:t>
      </w:r>
    </w:p>
    <w:p>
      <w:pPr>
        <w:pStyle w:val="null3"/>
      </w:pPr>
      <w:r>
        <w:rPr>
          <w:rFonts w:ascii="仿宋_GB2312" w:hAnsi="仿宋_GB2312" w:cs="仿宋_GB2312" w:eastAsia="仿宋_GB2312"/>
        </w:rPr>
        <w:t>联系电话：029-86673953转812</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江口镇传统古村落文化开发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94"/>
              <w:gridCol w:w="386"/>
              <w:gridCol w:w="768"/>
              <w:gridCol w:w="765"/>
              <w:gridCol w:w="217"/>
              <w:gridCol w:w="209"/>
            </w:tblGrid>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编号</w:t>
                  </w:r>
                </w:p>
              </w:tc>
              <w:tc>
                <w:tcPr>
                  <w:tcW w:type="dxa" w:w="386"/>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7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材料</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规格</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38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“有才华”</w:t>
                  </w:r>
                  <w:r>
                    <w:br/>
                  </w:r>
                  <w:r>
                    <w:rPr>
                      <w:rFonts w:ascii="仿宋_GB2312" w:hAnsi="仿宋_GB2312" w:cs="仿宋_GB2312" w:eastAsia="仿宋_GB2312"/>
                      <w:sz w:val="19"/>
                      <w:color w:val="000000"/>
                    </w:rPr>
                    <w:t xml:space="preserve"> 打卡点</w:t>
                  </w:r>
                </w:p>
              </w:tc>
              <w:tc>
                <w:tcPr>
                  <w:tcW w:type="dxa" w:w="7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镀锌板切割烤漆</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宽240*高340*厚40cm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8.16 </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38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“财位”椅子</w:t>
                  </w:r>
                </w:p>
              </w:tc>
              <w:tc>
                <w:tcPr>
                  <w:tcW w:type="dxa" w:w="7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塑料长排椅子贴雕刻字</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2人位尺寸：约左右100*前后50*坐高43*背高76cm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 </w:t>
                  </w:r>
                </w:p>
              </w:tc>
              <w:tc>
                <w:tcPr>
                  <w:tcW w:type="dxa" w:w="38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高脚椅+桌子</w:t>
                  </w:r>
                </w:p>
              </w:tc>
              <w:tc>
                <w:tcPr>
                  <w:tcW w:type="dxa" w:w="7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镀锌板切割烤漆</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桌子：长240*宽40*高100cm</w:t>
                  </w:r>
                  <w:r>
                    <w:br/>
                  </w:r>
                  <w:r>
                    <w:rPr>
                      <w:rFonts w:ascii="仿宋_GB2312" w:hAnsi="仿宋_GB2312" w:cs="仿宋_GB2312" w:eastAsia="仿宋_GB2312"/>
                      <w:sz w:val="19"/>
                      <w:color w:val="004E6B"/>
                    </w:rPr>
                    <w:t xml:space="preserve"> 凳子：凳面40*40cm，高68cm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 </w:t>
                  </w:r>
                </w:p>
              </w:tc>
              <w:tc>
                <w:tcPr>
                  <w:tcW w:type="dxa" w:w="38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导览图</w:t>
                  </w:r>
                </w:p>
              </w:tc>
              <w:tc>
                <w:tcPr>
                  <w:tcW w:type="dxa" w:w="7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镀锌板切割烤漆</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长280*宽8*高180cm*2个</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10.08 </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38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秋千1</w:t>
                  </w:r>
                </w:p>
              </w:tc>
              <w:tc>
                <w:tcPr>
                  <w:tcW w:type="dxa" w:w="7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镀锌板切割烤漆+麻绳</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秋千架：高180cm*宽125cm</w:t>
                  </w:r>
                  <w:r>
                    <w:br/>
                  </w:r>
                  <w:r>
                    <w:rPr>
                      <w:rFonts w:ascii="仿宋_GB2312" w:hAnsi="仿宋_GB2312" w:cs="仿宋_GB2312" w:eastAsia="仿宋_GB2312"/>
                      <w:sz w:val="19"/>
                      <w:color w:val="004E6B"/>
                    </w:rPr>
                    <w:t xml:space="preserve"> 座位：20*70cm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秋千2</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仿实木</w:t>
                  </w:r>
                </w:p>
              </w:tc>
              <w:tc>
                <w:tcPr>
                  <w:tcW w:type="dxa" w:w="7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秋千架：高200cm*宽150cm</w:t>
                  </w:r>
                  <w:r>
                    <w:br/>
                  </w:r>
                  <w:r>
                    <w:rPr>
                      <w:rFonts w:ascii="仿宋_GB2312" w:hAnsi="仿宋_GB2312" w:cs="仿宋_GB2312" w:eastAsia="仿宋_GB2312"/>
                      <w:sz w:val="19"/>
                      <w:color w:val="004E6B"/>
                    </w:rPr>
                    <w:t xml:space="preserve"> 座位：30*80cm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打卡相框</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镀锌板切割烤漆</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相框：高260cm*宽280cm*厚10cm</w:t>
                  </w:r>
                  <w:r>
                    <w:br/>
                  </w:r>
                  <w:r>
                    <w:rPr>
                      <w:rFonts w:ascii="仿宋_GB2312" w:hAnsi="仿宋_GB2312" w:cs="仿宋_GB2312" w:eastAsia="仿宋_GB2312"/>
                      <w:sz w:val="19"/>
                      <w:color w:val="004E6B"/>
                    </w:rPr>
                    <w:t xml:space="preserve"> 底座：高15cm*宽280cm*深80cm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7.28</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打卡 门</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成品门烤漆</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门1：200*85cm</w:t>
                  </w:r>
                  <w:r>
                    <w:br/>
                  </w:r>
                  <w:r>
                    <w:rPr>
                      <w:rFonts w:ascii="仿宋_GB2312" w:hAnsi="仿宋_GB2312" w:cs="仿宋_GB2312" w:eastAsia="仿宋_GB2312"/>
                      <w:sz w:val="19"/>
                      <w:color w:val="004E6B"/>
                    </w:rPr>
                    <w:t xml:space="preserve"> 门2：210*90cm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樘</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种植园宣传栏</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镀锌板切割烤漆+木板</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宣传栏：宽300*高220*厚40cm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种植园拱门</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镀锌钢架+木纹铁皮+仿真瓜果</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460*280cm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斗笠装饰</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竹编斗笠+仿真花卉</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斗笠直径50cm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蔬菜长廊</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25镀锌圆管</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高200cm*宽120cm*长4000cm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360</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打卡造型板</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木板雕刻上漆</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高180cm*长300cm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14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发光葵花瓶</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轮胎+塑料瓶焊接发光+立柱</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直径90cm*高110cm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大树之眼</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发光造型电动自转</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90cm*90cm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古村落标识牌</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仿实木标牌</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高200cm*宽40cm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17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仿真冬瓜屋</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玻璃钢造型</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高2600cm*宽5000cm*深2000cm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18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鲜花绿植</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90cm*1000cm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19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天幕帐篷</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三峰云顶</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1900cm*800cm*450cm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实木草帽帐篷</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实木+白色帆布</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直径8500cm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21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实木帐篷</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实木+防水防晒</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600cm*350cm*350cm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顶</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22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天幕帐篷</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防水防晒</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顶</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23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折叠桌椅</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葵花步道模具</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75cm*75cm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打卡背景造型</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实木+帆布</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220cm*330cm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26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木质牌楼</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实木+木板字+木框架</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250cm*320cm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27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宣传牌</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pvc+亚克力立体雕刻造型</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130cm*470cm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28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木质地台</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防腐木+钢构</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29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木质异形地台</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防腐木+钢构</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木质花箱</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防腐木</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110cm*40cm*40cm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31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木质花箱</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防腐木</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170cm*40cm*40cm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32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石板步道</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石板+石子</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33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拍照造型墙</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实木造型</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400cm*400cm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34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石头水槽</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原石雕刻</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一大两小最长1.4米</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35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拱门+蜜蜂装饰</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镀锌圆管烤漆立柱+钢架仿真油菜花+120cm高玻璃钢蜜蜂造型</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270cm*400cm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36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草街子来历手绘画1</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防水丙烯颜料+人工</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160cm*3000cm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37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传统美德立体浮雕图</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玻璃钢喷砂</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120cm*120cm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38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悬空打卡背景</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丝绢布彩印+木架</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90cm*600cm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39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实木打卡造型</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实木雕刻立体</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300cm*900cm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40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醒狮造型</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玻璃钢</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80cm*60cm</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41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导览图</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相框+木条+造型</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42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水管</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高密度聚乙烯</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直径30毫米</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r>
            <w:tr>
              <w:tc>
                <w:tcPr>
                  <w:tcW w:type="dxa" w:w="1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43 </w:t>
                  </w:r>
                </w:p>
              </w:tc>
              <w:tc>
                <w:tcPr>
                  <w:tcW w:type="dxa" w:w="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人工、机械、辅材</w:t>
                  </w:r>
                </w:p>
              </w:tc>
              <w:tc>
                <w:tcPr>
                  <w:tcW w:type="dxa" w:w="76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765"/>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4E6B"/>
                    </w:rPr>
                    <w:t>/</w:t>
                  </w:r>
                </w:p>
              </w:tc>
              <w:tc>
                <w:tcPr>
                  <w:tcW w:type="dxa" w:w="2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留坝县江口镇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预付款，签订合同后，卖方持等额发票在买方处办理百分之五十（50%）预付款的支付手续，达到付款条件起3个工作日内，支付合同总金额的50.0%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运到采购人指定地方，安装完毕并经终验合格后，卖方持《终验合格单》原件和全额发票在买方处办理百分之四十七（47%）货款的支付手续，达到付款条件起30个工作日内，支付合同总金额的47.0%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进度款，自终验结束之日起至1年后，在无索赔争议的情况下，在买方处办理百分之三（3%）货款的支付手续，达到付款条件起30个工作日内，支付合同总金额的3.0%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3.2产品的合法来源渠道证明文件、响应功能证明材料； 3.3竞争性谈判文件； 3.4竞争性谈判响应文件； 3.5合同货物清单；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1.所有产品的质保期为终验合格后不少于12个月，成交人承诺的质保时间超过竞争性谈判文件要求的，按其承诺时间质保。 2.成交单位承诺的质保期起始时间为终验合格之日。 3.所有产品质量必须符合国家有关规范和相关政策。所有产品及辅材必须是未使用过的新产品，质量优良、渠道正当，配置合理。 4.质保期出现的质量问题由成交单位负责解决并承担所有费用。质保期后如需更换零部件，成交应以优惠价提供。</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1.成交人在领取成交通知书时提供一正两副纸质谈判响应文件。纸质响应文件采用书籍（胶装）方式装订成册，与电子投标文件一致的签字、盖章的完整版本。2.退还保证金： 2.1在截止时间前撤回已提交谈判文件的供应商的投标保证金，将在采购代理机构收到供应商书面撤回通知之日起5个工作日内退还。 2.2所有未成交人的保证金，将在成交通知书发出后5个工作日内退还。 2.3成交人的保证金，将在签订合同后5个工作日内执合同予以退还。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号）文件要求，提供资格承诺函。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被授权人承诺书.docx 授权委托书.docx 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谈判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谈判报价未超过采购预算</w:t>
            </w:r>
          </w:p>
        </w:tc>
        <w:tc>
          <w:tcPr>
            <w:tcW w:type="dxa" w:w="1661"/>
          </w:tcPr>
          <w:p>
            <w:pPr>
              <w:pStyle w:val="null3"/>
            </w:pPr>
            <w:r>
              <w:rPr>
                <w:rFonts w:ascii="仿宋_GB2312" w:hAnsi="仿宋_GB2312" w:cs="仿宋_GB2312" w:eastAsia="仿宋_GB2312"/>
              </w:rPr>
              <w:t>标的清单 报价表 分项报价.docx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谈判响应文件按照谈判文件的要求盖章、签字</w:t>
            </w:r>
          </w:p>
        </w:tc>
        <w:tc>
          <w:tcPr>
            <w:tcW w:type="dxa" w:w="1661"/>
          </w:tcPr>
          <w:p>
            <w:pPr>
              <w:pStyle w:val="null3"/>
            </w:pPr>
            <w:r>
              <w:rPr>
                <w:rFonts w:ascii="仿宋_GB2312" w:hAnsi="仿宋_GB2312" w:cs="仿宋_GB2312" w:eastAsia="仿宋_GB2312"/>
              </w:rPr>
              <w:t>被授权人承诺书.docx 货物、商务响应偏离表.docx 中小企业声明函 授权委托书.docx 报价表 分项报价.docx 响应文件封面 售后服务承诺.docx 残疾人福利性单位声明函 拒绝政府采购领域商业贿赂承诺书.docx 供应商参与政府采购活动的承诺函.docx 标的清单 质量保证承诺.docx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谈判有效期符合谈判文件的要求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对谈判文件商务要求、技术要求作出明确响应</w:t>
            </w:r>
          </w:p>
        </w:tc>
        <w:tc>
          <w:tcPr>
            <w:tcW w:type="dxa" w:w="3322"/>
          </w:tcPr>
          <w:p>
            <w:pPr>
              <w:pStyle w:val="null3"/>
            </w:pPr>
            <w:r>
              <w:rPr>
                <w:rFonts w:ascii="仿宋_GB2312" w:hAnsi="仿宋_GB2312" w:cs="仿宋_GB2312" w:eastAsia="仿宋_GB2312"/>
              </w:rPr>
              <w:t>对谈判文件商务要求作出明确响应；对谈判文件技术要求作出明确响应，对不得偏离的要求作了实质性响应</w:t>
            </w:r>
          </w:p>
        </w:tc>
        <w:tc>
          <w:tcPr>
            <w:tcW w:type="dxa" w:w="1661"/>
          </w:tcPr>
          <w:p>
            <w:pPr>
              <w:pStyle w:val="null3"/>
            </w:pPr>
            <w:r>
              <w:rPr>
                <w:rFonts w:ascii="仿宋_GB2312" w:hAnsi="仿宋_GB2312" w:cs="仿宋_GB2312" w:eastAsia="仿宋_GB2312"/>
              </w:rPr>
              <w:t>货物、商务响应偏离表.docx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谈判响应文件未有采购人不能接受的附加条件</w:t>
            </w:r>
          </w:p>
        </w:tc>
        <w:tc>
          <w:tcPr>
            <w:tcW w:type="dxa" w:w="3322"/>
          </w:tcPr>
          <w:p>
            <w:pPr>
              <w:pStyle w:val="null3"/>
            </w:pPr>
            <w:r>
              <w:rPr>
                <w:rFonts w:ascii="仿宋_GB2312" w:hAnsi="仿宋_GB2312" w:cs="仿宋_GB2312" w:eastAsia="仿宋_GB2312"/>
              </w:rPr>
              <w:t>谈判响应文件未有采购人不能接受的附加条件</w:t>
            </w:r>
          </w:p>
        </w:tc>
        <w:tc>
          <w:tcPr>
            <w:tcW w:type="dxa" w:w="1661"/>
          </w:tcPr>
          <w:p>
            <w:pPr>
              <w:pStyle w:val="null3"/>
            </w:pPr>
            <w:r>
              <w:rPr>
                <w:rFonts w:ascii="仿宋_GB2312" w:hAnsi="仿宋_GB2312" w:cs="仿宋_GB2312" w:eastAsia="仿宋_GB2312"/>
              </w:rPr>
              <w:t>被授权人承诺书.docx 售后服务承诺.docx 中小企业声明函 残疾人福利性单位声明函 拒绝政府采购领域商业贿赂承诺书.docx 授权委托书.docx 供应商参与政府采购活动的承诺函.docx 质量保证承诺.docx 实施方案.docx 分项报价.docx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法律、法规和谈判文件规定的其他无效响应情形</w:t>
            </w:r>
          </w:p>
        </w:tc>
        <w:tc>
          <w:tcPr>
            <w:tcW w:type="dxa" w:w="1661"/>
          </w:tcPr>
          <w:p>
            <w:pPr>
              <w:pStyle w:val="null3"/>
            </w:pPr>
            <w:r>
              <w:rPr>
                <w:rFonts w:ascii="仿宋_GB2312" w:hAnsi="仿宋_GB2312" w:cs="仿宋_GB2312" w:eastAsia="仿宋_GB2312"/>
              </w:rPr>
              <w:t>被授权人承诺书.docx 售后服务承诺.docx 中小企业声明函 残疾人福利性单位声明函 拒绝政府采购领域商业贿赂承诺书.docx 供应商参与政府采购活动的承诺函.docx 质量保证承诺.docx 实施方案.docx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投标保证金缴纳凭证（银行凭证及基本账户证明资料）或担保函（财政部门认可的政府采购信用担保机构出具的担保函）</w:t>
            </w:r>
          </w:p>
        </w:tc>
        <w:tc>
          <w:tcPr>
            <w:tcW w:type="dxa" w:w="1661"/>
          </w:tcPr>
          <w:p>
            <w:pPr>
              <w:pStyle w:val="null3"/>
            </w:pPr>
            <w:r>
              <w:rPr>
                <w:rFonts w:ascii="仿宋_GB2312" w:hAnsi="仿宋_GB2312" w:cs="仿宋_GB2312" w:eastAsia="仿宋_GB2312"/>
              </w:rPr>
              <w:t>投标保证金或投标担保.docx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详见附件：售后服务承诺.docx</w:t>
      </w:r>
    </w:p>
    <w:p>
      <w:pPr>
        <w:pStyle w:val="null3"/>
        <w:ind w:firstLine="960"/>
      </w:pPr>
      <w:r>
        <w:rPr>
          <w:rFonts w:ascii="仿宋_GB2312" w:hAnsi="仿宋_GB2312" w:cs="仿宋_GB2312" w:eastAsia="仿宋_GB2312"/>
        </w:rPr>
        <w:t>详见附件：质量保证承诺.docx</w:t>
      </w:r>
    </w:p>
    <w:p>
      <w:pPr>
        <w:pStyle w:val="null3"/>
        <w:ind w:firstLine="960"/>
      </w:pPr>
      <w:r>
        <w:rPr>
          <w:rFonts w:ascii="仿宋_GB2312" w:hAnsi="仿宋_GB2312" w:cs="仿宋_GB2312" w:eastAsia="仿宋_GB2312"/>
        </w:rPr>
        <w:t>详见附件：投标保证金或投标担保.docx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详见附件：货物、商务响应偏离表.docx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