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1CCD04">
      <w:pPr>
        <w:shd w:val="clear" w:color="auto" w:fill="FFFFFF"/>
        <w:spacing w:line="360" w:lineRule="auto"/>
        <w:jc w:val="right"/>
        <w:rPr>
          <w:rFonts w:hint="eastAsia" w:ascii="宋体" w:hAnsi="宋体"/>
          <w:b w:val="0"/>
          <w:bCs/>
          <w:color w:val="000000" w:themeColor="text1"/>
          <w:sz w:val="21"/>
          <w:szCs w:val="21"/>
          <w:highlight w:val="none"/>
          <w14:textFill>
            <w14:solidFill>
              <w14:schemeClr w14:val="tx1"/>
            </w14:solidFill>
          </w14:textFill>
        </w:rPr>
      </w:pPr>
    </w:p>
    <w:p w14:paraId="7E4257C3">
      <w:pPr>
        <w:shd w:val="clear" w:color="auto" w:fill="FFFFFF"/>
        <w:spacing w:line="360" w:lineRule="auto"/>
        <w:jc w:val="right"/>
        <w:rPr>
          <w:rFonts w:hint="eastAsia" w:ascii="宋体" w:eastAsia="宋体" w:cs="宋体"/>
          <w:b/>
          <w:color w:val="000000" w:themeColor="text1"/>
          <w:sz w:val="21"/>
          <w:szCs w:val="21"/>
          <w:highlight w:val="none"/>
          <w:shd w:val="clear" w:color="auto" w:fill="FFFFFF"/>
          <w:lang w:val="en-US" w:eastAsia="zh-CN"/>
          <w14:textFill>
            <w14:solidFill>
              <w14:schemeClr w14:val="tx1"/>
            </w14:solidFill>
          </w14:textFill>
        </w:rPr>
      </w:pPr>
      <w:r>
        <w:rPr>
          <w:rFonts w:hint="eastAsia" w:ascii="宋体" w:hAnsi="宋体"/>
          <w:b w:val="0"/>
          <w:bCs/>
          <w:color w:val="000000" w:themeColor="text1"/>
          <w:sz w:val="21"/>
          <w:szCs w:val="21"/>
          <w:highlight w:val="none"/>
          <w14:textFill>
            <w14:solidFill>
              <w14:schemeClr w14:val="tx1"/>
            </w14:solidFill>
          </w14:textFill>
        </w:rPr>
        <w:t>合同编号：</w:t>
      </w:r>
      <w:r>
        <w:rPr>
          <w:rFonts w:hint="eastAsia" w:ascii="宋体" w:hAnsi="宋体"/>
          <w:b w:val="0"/>
          <w:bCs/>
          <w:color w:val="000000" w:themeColor="text1"/>
          <w:sz w:val="21"/>
          <w:szCs w:val="21"/>
          <w:highlight w:val="none"/>
          <w:u w:val="single"/>
          <w14:textFill>
            <w14:solidFill>
              <w14:schemeClr w14:val="tx1"/>
            </w14:solidFill>
          </w14:textFill>
        </w:rPr>
        <w:t>后管处20   【0  】</w:t>
      </w:r>
      <w:r>
        <w:rPr>
          <w:rFonts w:hint="eastAsia" w:ascii="宋体" w:cs="宋体"/>
          <w:b/>
          <w:color w:val="000000" w:themeColor="text1"/>
          <w:sz w:val="21"/>
          <w:szCs w:val="21"/>
          <w:highlight w:val="none"/>
          <w:u w:val="single"/>
          <w:shd w:val="clear" w:color="auto" w:fill="FFFFFF"/>
          <w:lang w:val="en-US" w:eastAsia="zh-CN"/>
          <w14:textFill>
            <w14:solidFill>
              <w14:schemeClr w14:val="tx1"/>
            </w14:solidFill>
          </w14:textFill>
        </w:rPr>
        <w:t xml:space="preserve">           </w:t>
      </w:r>
    </w:p>
    <w:p w14:paraId="402494DC">
      <w:pPr>
        <w:shd w:val="clear" w:color="auto" w:fill="FFFFFF"/>
        <w:spacing w:line="360" w:lineRule="auto"/>
        <w:jc w:val="center"/>
        <w:rPr>
          <w:rFonts w:hint="eastAsia" w:ascii="宋体" w:hAnsi="宋体" w:cs="宋体"/>
          <w:b/>
          <w:color w:val="000000" w:themeColor="text1"/>
          <w:sz w:val="48"/>
          <w:szCs w:val="48"/>
          <w:highlight w:val="none"/>
          <w:shd w:val="clear" w:color="auto" w:fill="FFFFFF"/>
          <w14:textFill>
            <w14:solidFill>
              <w14:schemeClr w14:val="tx1"/>
            </w14:solidFill>
          </w14:textFill>
        </w:rPr>
      </w:pPr>
    </w:p>
    <w:p w14:paraId="3F6663EE">
      <w:pPr>
        <w:shd w:val="clear" w:color="auto" w:fill="FFFFFF"/>
        <w:spacing w:line="360" w:lineRule="auto"/>
        <w:jc w:val="center"/>
        <w:rPr>
          <w:rFonts w:hint="eastAsia" w:ascii="宋体" w:hAnsi="宋体" w:cs="宋体"/>
          <w:b/>
          <w:color w:val="000000" w:themeColor="text1"/>
          <w:sz w:val="48"/>
          <w:szCs w:val="48"/>
          <w:highlight w:val="none"/>
          <w:shd w:val="clear" w:color="auto" w:fill="FFFFFF"/>
          <w14:textFill>
            <w14:solidFill>
              <w14:schemeClr w14:val="tx1"/>
            </w14:solidFill>
          </w14:textFill>
        </w:rPr>
      </w:pPr>
    </w:p>
    <w:p w14:paraId="3AF95797">
      <w:pPr>
        <w:shd w:val="clear" w:color="auto" w:fill="FFFFFF"/>
        <w:spacing w:line="360" w:lineRule="auto"/>
        <w:jc w:val="center"/>
        <w:rPr>
          <w:rFonts w:ascii="宋体" w:cs="宋体"/>
          <w:b/>
          <w:color w:val="000000" w:themeColor="text1"/>
          <w:sz w:val="48"/>
          <w:szCs w:val="48"/>
          <w:highlight w:val="none"/>
          <w:shd w:val="clear" w:color="auto" w:fill="FFFFFF"/>
          <w14:textFill>
            <w14:solidFill>
              <w14:schemeClr w14:val="tx1"/>
            </w14:solidFill>
          </w14:textFill>
        </w:rPr>
      </w:pPr>
      <w:r>
        <w:rPr>
          <w:rFonts w:hint="eastAsia" w:ascii="宋体" w:hAnsi="宋体" w:cs="宋体"/>
          <w:b/>
          <w:color w:val="000000" w:themeColor="text1"/>
          <w:sz w:val="48"/>
          <w:szCs w:val="48"/>
          <w:highlight w:val="none"/>
          <w:shd w:val="clear" w:color="auto" w:fill="FFFFFF"/>
          <w14:textFill>
            <w14:solidFill>
              <w14:schemeClr w14:val="tx1"/>
            </w14:solidFill>
          </w14:textFill>
        </w:rPr>
        <w:t>西安外国语大学</w:t>
      </w:r>
      <w:r>
        <w:rPr>
          <w:rFonts w:ascii="宋体" w:hAnsi="宋体" w:cs="宋体"/>
          <w:b/>
          <w:color w:val="000000" w:themeColor="text1"/>
          <w:sz w:val="48"/>
          <w:szCs w:val="48"/>
          <w:highlight w:val="none"/>
          <w:u w:val="single"/>
          <w:shd w:val="clear" w:color="auto" w:fill="FFFFFF"/>
          <w14:textFill>
            <w14:solidFill>
              <w14:schemeClr w14:val="tx1"/>
            </w14:solidFill>
          </w14:textFill>
        </w:rPr>
        <w:t xml:space="preserve">     </w:t>
      </w:r>
      <w:r>
        <w:rPr>
          <w:rFonts w:hint="eastAsia" w:ascii="宋体" w:hAnsi="宋体" w:cs="宋体"/>
          <w:b/>
          <w:color w:val="000000" w:themeColor="text1"/>
          <w:sz w:val="48"/>
          <w:szCs w:val="48"/>
          <w:highlight w:val="none"/>
          <w:shd w:val="clear" w:color="auto" w:fill="FFFFFF"/>
          <w14:textFill>
            <w14:solidFill>
              <w14:schemeClr w14:val="tx1"/>
            </w14:solidFill>
          </w14:textFill>
        </w:rPr>
        <w:t>项目施工合同</w:t>
      </w:r>
    </w:p>
    <w:p w14:paraId="63CB3021">
      <w:pPr>
        <w:shd w:val="clear" w:color="auto" w:fill="FFFFFF"/>
        <w:spacing w:line="360" w:lineRule="auto"/>
        <w:jc w:val="center"/>
        <w:rPr>
          <w:rFonts w:ascii="宋体" w:cs="宋体"/>
          <w:b/>
          <w:color w:val="000000" w:themeColor="text1"/>
          <w:highlight w:val="none"/>
          <w:shd w:val="clear" w:color="auto" w:fill="FFFFFF"/>
          <w14:textFill>
            <w14:solidFill>
              <w14:schemeClr w14:val="tx1"/>
            </w14:solidFill>
          </w14:textFill>
        </w:rPr>
      </w:pPr>
    </w:p>
    <w:p w14:paraId="5412D673">
      <w:pPr>
        <w:shd w:val="clear" w:color="auto" w:fill="FFFFFF"/>
        <w:spacing w:line="360" w:lineRule="auto"/>
        <w:jc w:val="center"/>
        <w:rPr>
          <w:rFonts w:ascii="宋体" w:cs="宋体"/>
          <w:b/>
          <w:color w:val="000000" w:themeColor="text1"/>
          <w:highlight w:val="none"/>
          <w14:textFill>
            <w14:solidFill>
              <w14:schemeClr w14:val="tx1"/>
            </w14:solidFill>
          </w14:textFill>
        </w:rPr>
      </w:pPr>
    </w:p>
    <w:p w14:paraId="4A4F0EA1">
      <w:pPr>
        <w:shd w:val="clear" w:color="auto" w:fill="FFFFFF"/>
        <w:spacing w:line="360" w:lineRule="auto"/>
        <w:jc w:val="center"/>
        <w:rPr>
          <w:rFonts w:ascii="宋体" w:cs="宋体"/>
          <w:b/>
          <w:color w:val="000000" w:themeColor="text1"/>
          <w:highlight w:val="none"/>
          <w14:textFill>
            <w14:solidFill>
              <w14:schemeClr w14:val="tx1"/>
            </w14:solidFill>
          </w14:textFill>
        </w:rPr>
      </w:pPr>
    </w:p>
    <w:p w14:paraId="2FC7BE09">
      <w:pPr>
        <w:pStyle w:val="2"/>
        <w:rPr>
          <w:rFonts w:ascii="宋体" w:cs="宋体"/>
          <w:b/>
          <w:color w:val="000000" w:themeColor="text1"/>
          <w:highlight w:val="none"/>
          <w14:textFill>
            <w14:solidFill>
              <w14:schemeClr w14:val="tx1"/>
            </w14:solidFill>
          </w14:textFill>
        </w:rPr>
      </w:pPr>
    </w:p>
    <w:p w14:paraId="2D719E58">
      <w:pPr>
        <w:pStyle w:val="2"/>
        <w:rPr>
          <w:rFonts w:ascii="宋体" w:cs="宋体"/>
          <w:b/>
          <w:color w:val="000000" w:themeColor="text1"/>
          <w:highlight w:val="none"/>
          <w14:textFill>
            <w14:solidFill>
              <w14:schemeClr w14:val="tx1"/>
            </w14:solidFill>
          </w14:textFill>
        </w:rPr>
      </w:pPr>
    </w:p>
    <w:p w14:paraId="53248541">
      <w:pPr>
        <w:pStyle w:val="2"/>
        <w:rPr>
          <w:rFonts w:ascii="宋体" w:cs="宋体"/>
          <w:b/>
          <w:color w:val="000000" w:themeColor="text1"/>
          <w:highlight w:val="none"/>
          <w14:textFill>
            <w14:solidFill>
              <w14:schemeClr w14:val="tx1"/>
            </w14:solidFill>
          </w14:textFill>
        </w:rPr>
      </w:pPr>
    </w:p>
    <w:p w14:paraId="5BDB3F9D">
      <w:pPr>
        <w:pStyle w:val="2"/>
        <w:rPr>
          <w:rFonts w:ascii="宋体" w:cs="宋体"/>
          <w:b/>
          <w:color w:val="000000" w:themeColor="text1"/>
          <w:highlight w:val="none"/>
          <w14:textFill>
            <w14:solidFill>
              <w14:schemeClr w14:val="tx1"/>
            </w14:solidFill>
          </w14:textFill>
        </w:rPr>
      </w:pPr>
    </w:p>
    <w:p w14:paraId="532A3A06">
      <w:pPr>
        <w:shd w:val="clear" w:color="auto" w:fill="FFFFFF"/>
        <w:spacing w:line="360" w:lineRule="auto"/>
        <w:jc w:val="center"/>
        <w:rPr>
          <w:rFonts w:ascii="宋体" w:cs="宋体"/>
          <w:b/>
          <w:bCs/>
          <w:color w:val="000000" w:themeColor="text1"/>
          <w:highlight w:val="none"/>
          <w:shd w:val="clear" w:color="auto" w:fill="FFFFFF"/>
          <w14:textFill>
            <w14:solidFill>
              <w14:schemeClr w14:val="tx1"/>
            </w14:solidFill>
          </w14:textFill>
        </w:rPr>
      </w:pPr>
    </w:p>
    <w:p w14:paraId="35D0AD5E">
      <w:pPr>
        <w:shd w:val="clear" w:color="auto" w:fill="FFFFFF"/>
        <w:spacing w:line="360" w:lineRule="auto"/>
        <w:jc w:val="center"/>
        <w:rPr>
          <w:rFonts w:ascii="宋体" w:cs="宋体"/>
          <w:b/>
          <w:bCs/>
          <w:color w:val="000000" w:themeColor="text1"/>
          <w:highlight w:val="none"/>
          <w:shd w:val="clear" w:color="auto" w:fill="FFFFFF"/>
          <w14:textFill>
            <w14:solidFill>
              <w14:schemeClr w14:val="tx1"/>
            </w14:solidFill>
          </w14:textFill>
        </w:rPr>
      </w:pPr>
    </w:p>
    <w:p w14:paraId="50844F07">
      <w:pPr>
        <w:pStyle w:val="2"/>
        <w:rPr>
          <w:rFonts w:ascii="宋体" w:cs="宋体"/>
          <w:b/>
          <w:bCs/>
          <w:color w:val="000000" w:themeColor="text1"/>
          <w:highlight w:val="none"/>
          <w:shd w:val="clear" w:color="auto" w:fill="FFFFFF"/>
          <w14:textFill>
            <w14:solidFill>
              <w14:schemeClr w14:val="tx1"/>
            </w14:solidFill>
          </w14:textFill>
        </w:rPr>
      </w:pPr>
    </w:p>
    <w:p w14:paraId="2544D6F3">
      <w:pPr>
        <w:pStyle w:val="2"/>
        <w:rPr>
          <w:rFonts w:ascii="宋体" w:cs="宋体"/>
          <w:b/>
          <w:bCs/>
          <w:color w:val="000000" w:themeColor="text1"/>
          <w:highlight w:val="none"/>
          <w:shd w:val="clear" w:color="auto" w:fill="FFFFFF"/>
          <w14:textFill>
            <w14:solidFill>
              <w14:schemeClr w14:val="tx1"/>
            </w14:solidFill>
          </w14:textFill>
        </w:rPr>
      </w:pPr>
    </w:p>
    <w:p w14:paraId="2B18EFB0">
      <w:pPr>
        <w:ind w:firstLine="2080" w:firstLineChars="650"/>
        <w:rPr>
          <w:rFonts w:hint="eastAsia" w:ascii="宋体" w:hAnsi="宋体"/>
          <w:color w:val="000000" w:themeColor="text1"/>
          <w:sz w:val="32"/>
          <w:szCs w:val="32"/>
          <w:highlight w:val="none"/>
          <w14:textFill>
            <w14:solidFill>
              <w14:schemeClr w14:val="tx1"/>
            </w14:solidFill>
          </w14:textFill>
        </w:rPr>
      </w:pPr>
    </w:p>
    <w:p w14:paraId="14AAB391">
      <w:pPr>
        <w:ind w:firstLine="2080" w:firstLineChars="650"/>
        <w:rPr>
          <w:rFonts w:ascii="宋体"/>
          <w:color w:val="000000" w:themeColor="text1"/>
          <w:sz w:val="32"/>
          <w:szCs w:val="32"/>
          <w:highlight w:val="none"/>
          <w14:textFill>
            <w14:solidFill>
              <w14:schemeClr w14:val="tx1"/>
            </w14:solidFill>
          </w14:textFill>
        </w:rPr>
      </w:pPr>
      <w:r>
        <w:rPr>
          <w:rFonts w:hint="eastAsia" w:ascii="宋体" w:hAnsi="宋体"/>
          <w:color w:val="000000" w:themeColor="text1"/>
          <w:sz w:val="32"/>
          <w:szCs w:val="32"/>
          <w:highlight w:val="none"/>
          <w14:textFill>
            <w14:solidFill>
              <w14:schemeClr w14:val="tx1"/>
            </w14:solidFill>
          </w14:textFill>
        </w:rPr>
        <w:t>甲</w:t>
      </w:r>
      <w:r>
        <w:rPr>
          <w:rFonts w:ascii="宋体" w:hAnsi="宋体"/>
          <w:color w:val="000000" w:themeColor="text1"/>
          <w:sz w:val="32"/>
          <w:szCs w:val="32"/>
          <w:highlight w:val="none"/>
          <w14:textFill>
            <w14:solidFill>
              <w14:schemeClr w14:val="tx1"/>
            </w14:solidFill>
          </w14:textFill>
        </w:rPr>
        <w:t xml:space="preserve">  </w:t>
      </w:r>
      <w:r>
        <w:rPr>
          <w:rFonts w:hint="eastAsia" w:ascii="宋体" w:hAnsi="宋体"/>
          <w:color w:val="000000" w:themeColor="text1"/>
          <w:sz w:val="32"/>
          <w:szCs w:val="32"/>
          <w:highlight w:val="none"/>
          <w14:textFill>
            <w14:solidFill>
              <w14:schemeClr w14:val="tx1"/>
            </w14:solidFill>
          </w14:textFill>
        </w:rPr>
        <w:t>方：西安外国语大学</w:t>
      </w:r>
    </w:p>
    <w:p w14:paraId="0EA8C036">
      <w:pPr>
        <w:tabs>
          <w:tab w:val="left" w:pos="480"/>
        </w:tabs>
        <w:ind w:firstLine="640" w:firstLineChars="200"/>
        <w:rPr>
          <w:color w:val="000000" w:themeColor="text1"/>
          <w:highlight w:val="none"/>
          <w14:textFill>
            <w14:solidFill>
              <w14:schemeClr w14:val="tx1"/>
            </w14:solidFill>
          </w14:textFill>
        </w:rPr>
      </w:pPr>
      <w:r>
        <w:rPr>
          <w:rFonts w:ascii="宋体" w:hAnsi="宋体"/>
          <w:color w:val="000000" w:themeColor="text1"/>
          <w:sz w:val="32"/>
          <w:szCs w:val="32"/>
          <w:highlight w:val="none"/>
          <w14:textFill>
            <w14:solidFill>
              <w14:schemeClr w14:val="tx1"/>
            </w14:solidFill>
          </w14:textFill>
        </w:rPr>
        <w:t xml:space="preserve">         </w:t>
      </w:r>
      <w:r>
        <w:rPr>
          <w:rFonts w:hint="eastAsia" w:ascii="宋体" w:hAnsi="宋体"/>
          <w:color w:val="000000" w:themeColor="text1"/>
          <w:sz w:val="32"/>
          <w:szCs w:val="32"/>
          <w:highlight w:val="none"/>
          <w14:textFill>
            <w14:solidFill>
              <w14:schemeClr w14:val="tx1"/>
            </w14:solidFill>
          </w14:textFill>
        </w:rPr>
        <w:t>乙</w:t>
      </w:r>
      <w:r>
        <w:rPr>
          <w:rFonts w:ascii="宋体" w:hAnsi="宋体"/>
          <w:color w:val="000000" w:themeColor="text1"/>
          <w:sz w:val="32"/>
          <w:szCs w:val="32"/>
          <w:highlight w:val="none"/>
          <w14:textFill>
            <w14:solidFill>
              <w14:schemeClr w14:val="tx1"/>
            </w14:solidFill>
          </w14:textFill>
        </w:rPr>
        <w:t xml:space="preserve">  </w:t>
      </w:r>
      <w:r>
        <w:rPr>
          <w:rFonts w:hint="eastAsia" w:ascii="宋体" w:hAnsi="宋体"/>
          <w:color w:val="000000" w:themeColor="text1"/>
          <w:sz w:val="32"/>
          <w:szCs w:val="32"/>
          <w:highlight w:val="none"/>
          <w14:textFill>
            <w14:solidFill>
              <w14:schemeClr w14:val="tx1"/>
            </w14:solidFill>
          </w14:textFill>
        </w:rPr>
        <w:t>方：</w:t>
      </w:r>
    </w:p>
    <w:p w14:paraId="378FC1F5">
      <w:pPr>
        <w:pStyle w:val="2"/>
        <w:ind w:firstLine="0"/>
        <w:rPr>
          <w:color w:val="000000" w:themeColor="text1"/>
          <w:highlight w:val="none"/>
          <w14:textFill>
            <w14:solidFill>
              <w14:schemeClr w14:val="tx1"/>
            </w14:solidFill>
          </w14:textFill>
        </w:rPr>
      </w:pPr>
    </w:p>
    <w:p w14:paraId="0345EE55">
      <w:pPr>
        <w:jc w:val="center"/>
        <w:outlineLvl w:val="0"/>
        <w:rPr>
          <w:rFonts w:ascii="黑体" w:eastAsia="黑体"/>
          <w:color w:val="000000" w:themeColor="text1"/>
          <w:sz w:val="32"/>
          <w:szCs w:val="32"/>
          <w:highlight w:val="none"/>
          <w14:textFill>
            <w14:solidFill>
              <w14:schemeClr w14:val="tx1"/>
            </w14:solidFill>
          </w14:textFill>
        </w:rPr>
      </w:pPr>
      <w:bookmarkStart w:id="0" w:name="_Toc7714"/>
      <w:bookmarkStart w:id="1" w:name="_Toc4189"/>
      <w:bookmarkStart w:id="2" w:name="_Toc29335"/>
      <w:bookmarkStart w:id="3" w:name="_Toc1075"/>
      <w:bookmarkStart w:id="4" w:name="_Toc21769"/>
      <w:bookmarkStart w:id="5" w:name="_Toc14444"/>
      <w:bookmarkStart w:id="6" w:name="_Toc13740"/>
      <w:bookmarkStart w:id="7" w:name="_Toc30907"/>
      <w:bookmarkStart w:id="8" w:name="_Toc25053"/>
      <w:bookmarkStart w:id="9" w:name="_Toc21875"/>
      <w:bookmarkStart w:id="10" w:name="_Toc15790"/>
      <w:bookmarkStart w:id="11" w:name="_Toc22798"/>
      <w:bookmarkStart w:id="12" w:name="_Toc16696"/>
      <w:bookmarkStart w:id="13" w:name="_Toc27214"/>
      <w:r>
        <w:rPr>
          <w:rFonts w:ascii="黑体" w:eastAsia="黑体"/>
          <w:color w:val="000000" w:themeColor="text1"/>
          <w:sz w:val="32"/>
          <w:szCs w:val="32"/>
          <w:highlight w:val="none"/>
          <w14:textFill>
            <w14:solidFill>
              <w14:schemeClr w14:val="tx1"/>
            </w14:solidFill>
          </w14:textFill>
        </w:rPr>
        <w:t>20</w:t>
      </w:r>
      <w:r>
        <w:rPr>
          <w:rFonts w:hint="eastAsia" w:ascii="黑体" w:eastAsia="黑体"/>
          <w:color w:val="000000" w:themeColor="text1"/>
          <w:sz w:val="32"/>
          <w:szCs w:val="32"/>
          <w:highlight w:val="none"/>
          <w:lang w:val="en-US" w:eastAsia="zh-CN"/>
          <w14:textFill>
            <w14:solidFill>
              <w14:schemeClr w14:val="tx1"/>
            </w14:solidFill>
          </w14:textFill>
        </w:rPr>
        <w:t>26</w:t>
      </w:r>
      <w:r>
        <w:rPr>
          <w:rFonts w:hint="eastAsia" w:ascii="黑体" w:eastAsia="黑体"/>
          <w:color w:val="000000" w:themeColor="text1"/>
          <w:sz w:val="32"/>
          <w:szCs w:val="32"/>
          <w:highlight w:val="none"/>
          <w14:textFill>
            <w14:solidFill>
              <w14:schemeClr w14:val="tx1"/>
            </w14:solidFill>
          </w14:textFill>
        </w:rPr>
        <w:t>年</w:t>
      </w:r>
      <w:r>
        <w:rPr>
          <w:rFonts w:ascii="黑体" w:eastAsia="黑体"/>
          <w:color w:val="000000" w:themeColor="text1"/>
          <w:sz w:val="32"/>
          <w:szCs w:val="32"/>
          <w:highlight w:val="none"/>
          <w14:textFill>
            <w14:solidFill>
              <w14:schemeClr w14:val="tx1"/>
            </w14:solidFill>
          </w14:textFill>
        </w:rPr>
        <w:t xml:space="preserve">  </w:t>
      </w:r>
      <w:bookmarkStart w:id="14" w:name="_GoBack"/>
      <w:bookmarkEnd w:id="14"/>
      <w:r>
        <w:rPr>
          <w:rFonts w:hint="eastAsia" w:ascii="黑体" w:eastAsia="黑体"/>
          <w:color w:val="000000" w:themeColor="text1"/>
          <w:sz w:val="32"/>
          <w:szCs w:val="32"/>
          <w:highlight w:val="none"/>
          <w14:textFill>
            <w14:solidFill>
              <w14:schemeClr w14:val="tx1"/>
            </w14:solidFill>
          </w14:textFill>
        </w:rPr>
        <w:t>月</w:t>
      </w:r>
      <w:bookmarkEnd w:id="0"/>
      <w:bookmarkEnd w:id="1"/>
      <w:bookmarkEnd w:id="2"/>
      <w:bookmarkEnd w:id="3"/>
      <w:bookmarkEnd w:id="4"/>
      <w:bookmarkEnd w:id="5"/>
      <w:bookmarkEnd w:id="6"/>
      <w:bookmarkEnd w:id="7"/>
      <w:bookmarkEnd w:id="8"/>
      <w:bookmarkEnd w:id="9"/>
      <w:bookmarkEnd w:id="10"/>
      <w:bookmarkEnd w:id="11"/>
      <w:bookmarkEnd w:id="12"/>
      <w:bookmarkEnd w:id="13"/>
    </w:p>
    <w:p w14:paraId="6A167145">
      <w:pPr>
        <w:jc w:val="center"/>
        <w:rPr>
          <w:rFonts w:hint="eastAsia" w:ascii="黑体" w:eastAsia="黑体"/>
          <w:color w:val="000000" w:themeColor="text1"/>
          <w:sz w:val="32"/>
          <w:szCs w:val="32"/>
          <w:highlight w:val="none"/>
          <w14:textFill>
            <w14:solidFill>
              <w14:schemeClr w14:val="tx1"/>
            </w14:solidFill>
          </w14:textFill>
        </w:rPr>
      </w:pPr>
      <w:r>
        <w:rPr>
          <w:rFonts w:hint="eastAsia" w:ascii="黑体" w:eastAsia="黑体"/>
          <w:color w:val="000000" w:themeColor="text1"/>
          <w:sz w:val="32"/>
          <w:szCs w:val="32"/>
          <w:highlight w:val="none"/>
          <w14:textFill>
            <w14:solidFill>
              <w14:schemeClr w14:val="tx1"/>
            </w14:solidFill>
          </w14:textFill>
        </w:rPr>
        <w:t>中国</w:t>
      </w:r>
      <w:r>
        <w:rPr>
          <w:rFonts w:ascii="黑体" w:eastAsia="黑体"/>
          <w:color w:val="000000" w:themeColor="text1"/>
          <w:sz w:val="32"/>
          <w:szCs w:val="32"/>
          <w:highlight w:val="none"/>
          <w14:textFill>
            <w14:solidFill>
              <w14:schemeClr w14:val="tx1"/>
            </w14:solidFill>
          </w14:textFill>
        </w:rPr>
        <w:t xml:space="preserve">  </w:t>
      </w:r>
      <w:r>
        <w:rPr>
          <w:rFonts w:hint="eastAsia" w:ascii="黑体" w:eastAsia="黑体"/>
          <w:color w:val="000000" w:themeColor="text1"/>
          <w:sz w:val="32"/>
          <w:szCs w:val="32"/>
          <w:highlight w:val="none"/>
          <w14:textFill>
            <w14:solidFill>
              <w14:schemeClr w14:val="tx1"/>
            </w14:solidFill>
          </w14:textFill>
        </w:rPr>
        <w:t>西安</w:t>
      </w:r>
    </w:p>
    <w:p w14:paraId="6A3F5C61">
      <w:pPr>
        <w:shd w:val="clear" w:color="auto" w:fill="FFFFFF"/>
        <w:spacing w:line="360" w:lineRule="auto"/>
        <w:jc w:val="center"/>
        <w:rPr>
          <w:rFonts w:ascii="宋体" w:cs="宋体"/>
          <w:b/>
          <w:bCs/>
          <w:color w:val="000000" w:themeColor="text1"/>
          <w:highlight w:val="none"/>
          <w:shd w:val="clear" w:color="auto" w:fill="FFFFFF"/>
          <w14:textFill>
            <w14:solidFill>
              <w14:schemeClr w14:val="tx1"/>
            </w14:solidFill>
          </w14:textFill>
        </w:rPr>
      </w:pPr>
    </w:p>
    <w:p w14:paraId="44670114">
      <w:pPr>
        <w:rPr>
          <w:color w:val="000000" w:themeColor="text1"/>
          <w:highlight w:val="none"/>
          <w14:textFill>
            <w14:solidFill>
              <w14:schemeClr w14:val="tx1"/>
            </w14:solidFill>
          </w14:textFill>
        </w:rPr>
      </w:pPr>
      <w:r>
        <w:rPr>
          <w:rFonts w:ascii="宋体" w:cs="宋体"/>
          <w:b/>
          <w:bCs/>
          <w:color w:val="000000" w:themeColor="text1"/>
          <w:highlight w:val="none"/>
          <w:shd w:val="clear" w:color="auto" w:fill="FFFFFF"/>
          <w14:textFill>
            <w14:solidFill>
              <w14:schemeClr w14:val="tx1"/>
            </w14:solidFill>
          </w14:textFill>
        </w:rPr>
        <w:br w:type="page"/>
      </w:r>
    </w:p>
    <w:p w14:paraId="195BBA55">
      <w:pPr>
        <w:spacing w:line="360" w:lineRule="auto"/>
        <w:rPr>
          <w:rFonts w:ascii="宋体" w:cs="宋体"/>
          <w:color w:val="000000" w:themeColor="text1"/>
          <w:highlight w:val="none"/>
          <w14:textFill>
            <w14:solidFill>
              <w14:schemeClr w14:val="tx1"/>
            </w14:solidFill>
          </w14:textFill>
        </w:rPr>
      </w:pPr>
      <w:r>
        <w:rPr>
          <w:rFonts w:hint="eastAsia" w:ascii="宋体" w:cs="宋体"/>
          <w:b/>
          <w:bCs/>
          <w:color w:val="000000" w:themeColor="text1"/>
          <w:sz w:val="52"/>
          <w:szCs w:val="52"/>
          <w:highlight w:val="none"/>
          <w:shd w:val="clear" w:color="auto" w:fill="FFFFFF"/>
          <w:lang w:eastAsia="zh-CN"/>
          <w14:textFill>
            <w14:solidFill>
              <w14:schemeClr w14:val="tx1"/>
            </w14:solidFill>
          </w14:textFill>
        </w:rPr>
        <w:t>西安外国语大学</w:t>
      </w:r>
      <w:r>
        <w:rPr>
          <w:rFonts w:ascii="宋体" w:hAnsi="宋体" w:cs="宋体"/>
          <w:b/>
          <w:color w:val="000000" w:themeColor="text1"/>
          <w:sz w:val="48"/>
          <w:szCs w:val="48"/>
          <w:highlight w:val="none"/>
          <w:u w:val="single"/>
          <w:shd w:val="clear" w:color="auto" w:fill="FFFFFF"/>
          <w14:textFill>
            <w14:solidFill>
              <w14:schemeClr w14:val="tx1"/>
            </w14:solidFill>
          </w14:textFill>
        </w:rPr>
        <w:t xml:space="preserve">     </w:t>
      </w:r>
      <w:r>
        <w:rPr>
          <w:rFonts w:hint="eastAsia" w:ascii="宋体" w:cs="宋体"/>
          <w:b/>
          <w:bCs/>
          <w:color w:val="000000" w:themeColor="text1"/>
          <w:sz w:val="52"/>
          <w:szCs w:val="52"/>
          <w:highlight w:val="none"/>
          <w:shd w:val="clear" w:color="auto" w:fill="FFFFFF"/>
          <w:lang w:val="en-US" w:eastAsia="zh-CN"/>
          <w14:textFill>
            <w14:solidFill>
              <w14:schemeClr w14:val="tx1"/>
            </w14:solidFill>
          </w14:textFill>
        </w:rPr>
        <w:t>项目施工合同</w:t>
      </w:r>
    </w:p>
    <w:p w14:paraId="6ABE4A50">
      <w:pPr>
        <w:spacing w:line="360" w:lineRule="auto"/>
        <w:rPr>
          <w:rFonts w:ascii="宋体" w:cs="宋体"/>
          <w:color w:val="000000" w:themeColor="text1"/>
          <w:highlight w:val="none"/>
          <w14:textFill>
            <w14:solidFill>
              <w14:schemeClr w14:val="tx1"/>
            </w14:solidFill>
          </w14:textFill>
        </w:rPr>
      </w:pPr>
    </w:p>
    <w:p w14:paraId="32698C8B">
      <w:pPr>
        <w:spacing w:line="360" w:lineRule="auto"/>
        <w:rPr>
          <w:rFonts w:ascii="宋体" w:cs="宋体"/>
          <w:color w:val="000000" w:themeColor="text1"/>
          <w:sz w:val="21"/>
          <w:szCs w:val="21"/>
          <w:highlight w:val="none"/>
          <w:u w:val="singl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发包方（甲方）：</w:t>
      </w:r>
      <w:r>
        <w:rPr>
          <w:rFonts w:hint="eastAsia" w:ascii="宋体" w:hAnsi="宋体" w:cs="宋体"/>
          <w:color w:val="000000" w:themeColor="text1"/>
          <w:sz w:val="21"/>
          <w:szCs w:val="21"/>
          <w:highlight w:val="none"/>
          <w:u w:val="single"/>
          <w14:textFill>
            <w14:solidFill>
              <w14:schemeClr w14:val="tx1"/>
            </w14:solidFill>
          </w14:textFill>
        </w:rPr>
        <w:t>西安外国语大学</w:t>
      </w:r>
    </w:p>
    <w:p w14:paraId="46800FE8">
      <w:pPr>
        <w:spacing w:line="360" w:lineRule="auto"/>
        <w:rPr>
          <w:rFonts w:asci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承包方（乙方）：</w:t>
      </w:r>
      <w:r>
        <w:rPr>
          <w:rFonts w:ascii="宋体" w:hAnsi="宋体" w:cs="宋体"/>
          <w:color w:val="000000" w:themeColor="text1"/>
          <w:sz w:val="21"/>
          <w:szCs w:val="21"/>
          <w:highlight w:val="none"/>
          <w:u w:val="single"/>
          <w14:textFill>
            <w14:solidFill>
              <w14:schemeClr w14:val="tx1"/>
            </w14:solidFill>
          </w14:textFill>
        </w:rPr>
        <w:t xml:space="preserve">             </w:t>
      </w:r>
    </w:p>
    <w:p w14:paraId="5A13BC8B">
      <w:pPr>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按照《中华人民共和国民法典》及相关法律法规，结合本工程具体情况，经甲、乙双方平等友好协商，双方自愿达成如下协议：</w:t>
      </w:r>
    </w:p>
    <w:p w14:paraId="48EB3455">
      <w:pPr>
        <w:numPr>
          <w:ilvl w:val="0"/>
          <w:numId w:val="0"/>
        </w:numPr>
        <w:spacing w:line="360" w:lineRule="auto"/>
        <w:ind w:left="720" w:leftChars="0" w:hanging="180" w:firstLineChars="0"/>
        <w:rPr>
          <w:rFonts w:ascii="宋体" w:cs="宋体"/>
          <w:b/>
          <w:color w:val="000000" w:themeColor="text1"/>
          <w:sz w:val="21"/>
          <w:szCs w:val="21"/>
          <w:highlight w:val="none"/>
          <w14:textFill>
            <w14:solidFill>
              <w14:schemeClr w14:val="tx1"/>
            </w14:solidFill>
          </w14:textFill>
        </w:rPr>
      </w:pPr>
      <w:r>
        <w:rPr>
          <w:rFonts w:hint="default" w:ascii="宋体" w:hAnsi="宋体" w:eastAsia="宋体" w:cs="Times New Roman"/>
          <w:b/>
          <w:color w:val="000000" w:themeColor="text1"/>
          <w:kern w:val="2"/>
          <w:sz w:val="21"/>
          <w:szCs w:val="21"/>
          <w:highlight w:val="none"/>
          <w:lang w:val="en-US" w:eastAsia="zh-CN" w:bidi="ar-SA"/>
          <w14:textFill>
            <w14:solidFill>
              <w14:schemeClr w14:val="tx1"/>
            </w14:solidFill>
          </w14:textFill>
        </w:rPr>
        <w:t>一、</w:t>
      </w:r>
      <w:r>
        <w:rPr>
          <w:rFonts w:hint="eastAsia" w:ascii="宋体" w:hAnsi="宋体" w:cs="宋体"/>
          <w:b/>
          <w:color w:val="000000" w:themeColor="text1"/>
          <w:sz w:val="21"/>
          <w:szCs w:val="21"/>
          <w:highlight w:val="none"/>
          <w14:textFill>
            <w14:solidFill>
              <w14:schemeClr w14:val="tx1"/>
            </w14:solidFill>
          </w14:textFill>
        </w:rPr>
        <w:t>工程概况</w:t>
      </w:r>
    </w:p>
    <w:p w14:paraId="3B20F93E">
      <w:pPr>
        <w:numPr>
          <w:ilvl w:val="0"/>
          <w:numId w:val="1"/>
          <w:numberingChange w:id="0" w:author="PMLAWYER" w:date="2017-10-16T09:07:00Z" w:original="%1:1:0:."/>
        </w:numPr>
        <w:tabs>
          <w:tab w:val="left" w:pos="855"/>
          <w:tab w:val="left" w:pos="1800"/>
        </w:tabs>
        <w:spacing w:line="360" w:lineRule="auto"/>
        <w:ind w:firstLine="420" w:firstLineChars="200"/>
        <w:rPr>
          <w:rFonts w:ascii="宋体" w:cs="宋体"/>
          <w:color w:val="000000" w:themeColor="text1"/>
          <w:sz w:val="21"/>
          <w:szCs w:val="21"/>
          <w:highlight w:val="none"/>
          <w:u w:val="singl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工程名称：</w:t>
      </w:r>
      <w:r>
        <w:rPr>
          <w:rFonts w:ascii="宋体" w:hAnsi="宋体" w:cs="宋体"/>
          <w:color w:val="000000" w:themeColor="text1"/>
          <w:sz w:val="21"/>
          <w:szCs w:val="21"/>
          <w:highlight w:val="none"/>
          <w:u w:val="single"/>
          <w14:textFill>
            <w14:solidFill>
              <w14:schemeClr w14:val="tx1"/>
            </w14:solidFill>
          </w14:textFill>
        </w:rPr>
        <w:t xml:space="preserve">      </w:t>
      </w:r>
    </w:p>
    <w:p w14:paraId="1C157AAE">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2.</w:t>
      </w:r>
      <w:r>
        <w:rPr>
          <w:rFonts w:hint="eastAsia" w:ascii="宋体" w:hAnsi="宋体" w:cs="宋体"/>
          <w:color w:val="000000" w:themeColor="text1"/>
          <w:sz w:val="21"/>
          <w:szCs w:val="21"/>
          <w:highlight w:val="none"/>
          <w14:textFill>
            <w14:solidFill>
              <w14:schemeClr w14:val="tx1"/>
            </w14:solidFill>
          </w14:textFill>
        </w:rPr>
        <w:t>工程地点：</w:t>
      </w:r>
      <w:r>
        <w:rPr>
          <w:rFonts w:ascii="宋体" w:hAnsi="宋体" w:cs="宋体"/>
          <w:color w:val="000000" w:themeColor="text1"/>
          <w:sz w:val="21"/>
          <w:szCs w:val="21"/>
          <w:highlight w:val="none"/>
          <w:u w:val="single"/>
          <w14:textFill>
            <w14:solidFill>
              <w14:schemeClr w14:val="tx1"/>
            </w14:solidFill>
          </w14:textFill>
        </w:rPr>
        <w:t xml:space="preserve">      </w:t>
      </w:r>
    </w:p>
    <w:p w14:paraId="1B85EB2F">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3.</w:t>
      </w:r>
      <w:r>
        <w:rPr>
          <w:rFonts w:hint="eastAsia" w:ascii="宋体" w:hAnsi="宋体" w:cs="宋体"/>
          <w:color w:val="000000" w:themeColor="text1"/>
          <w:sz w:val="21"/>
          <w:szCs w:val="21"/>
          <w:highlight w:val="none"/>
          <w14:textFill>
            <w14:solidFill>
              <w14:schemeClr w14:val="tx1"/>
            </w14:solidFill>
          </w14:textFill>
        </w:rPr>
        <w:t>承包范围：</w:t>
      </w:r>
      <w:r>
        <w:rPr>
          <w:rFonts w:ascii="宋体" w:hAnsi="宋体" w:cs="宋体"/>
          <w:color w:val="000000" w:themeColor="text1"/>
          <w:sz w:val="21"/>
          <w:szCs w:val="21"/>
          <w:highlight w:val="none"/>
          <w:u w:val="single"/>
          <w14:textFill>
            <w14:solidFill>
              <w14:schemeClr w14:val="tx1"/>
            </w14:solidFill>
          </w14:textFill>
        </w:rPr>
        <w:t xml:space="preserve">     </w:t>
      </w:r>
    </w:p>
    <w:p w14:paraId="79B1196B">
      <w:pPr>
        <w:tabs>
          <w:tab w:val="left" w:pos="855"/>
          <w:tab w:val="left" w:pos="1800"/>
        </w:tabs>
        <w:spacing w:line="360" w:lineRule="auto"/>
        <w:ind w:firstLine="420" w:firstLineChars="200"/>
        <w:rPr>
          <w:rFonts w:hint="eastAsia" w:ascii="宋体" w:eastAsia="宋体" w:cs="宋体"/>
          <w:color w:val="000000" w:themeColor="text1"/>
          <w:sz w:val="21"/>
          <w:szCs w:val="21"/>
          <w:highlight w:val="none"/>
          <w:lang w:val="en-US" w:eastAsia="zh-CN"/>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4.</w:t>
      </w:r>
      <w:r>
        <w:rPr>
          <w:rFonts w:hint="eastAsia" w:ascii="宋体" w:hAnsi="宋体" w:cs="宋体"/>
          <w:color w:val="000000" w:themeColor="text1"/>
          <w:sz w:val="21"/>
          <w:szCs w:val="21"/>
          <w:highlight w:val="none"/>
          <w14:textFill>
            <w14:solidFill>
              <w14:schemeClr w14:val="tx1"/>
            </w14:solidFill>
          </w14:textFill>
        </w:rPr>
        <w:t>承包方式：</w:t>
      </w:r>
      <w:r>
        <w:rPr>
          <w:rFonts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p>
    <w:p w14:paraId="64D54EE1">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5.</w:t>
      </w:r>
      <w:r>
        <w:rPr>
          <w:rFonts w:hint="eastAsia" w:ascii="宋体" w:hAnsi="宋体" w:cs="宋体"/>
          <w:color w:val="000000" w:themeColor="text1"/>
          <w:sz w:val="21"/>
          <w:szCs w:val="21"/>
          <w:highlight w:val="none"/>
          <w14:textFill>
            <w14:solidFill>
              <w14:schemeClr w14:val="tx1"/>
            </w14:solidFill>
          </w14:textFill>
        </w:rPr>
        <w:t>工　　期：</w:t>
      </w:r>
      <w:r>
        <w:rPr>
          <w:rFonts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天，</w:t>
      </w:r>
      <w:r>
        <w:rPr>
          <w:rFonts w:ascii="宋体" w:hAnsi="宋体" w:cs="宋体"/>
          <w:color w:val="000000" w:themeColor="text1"/>
          <w:sz w:val="21"/>
          <w:szCs w:val="21"/>
          <w:highlight w:val="none"/>
          <w14:textFill>
            <w14:solidFill>
              <w14:schemeClr w14:val="tx1"/>
            </w14:solidFill>
          </w14:textFill>
        </w:rPr>
        <w:t>20</w:t>
      </w:r>
      <w:r>
        <w:rPr>
          <w:rFonts w:hint="eastAsia" w:ascii="宋体" w:hAnsi="宋体" w:cs="宋体"/>
          <w:color w:val="000000" w:themeColor="text1"/>
          <w:sz w:val="21"/>
          <w:szCs w:val="21"/>
          <w:highlight w:val="none"/>
          <w:lang w:val="en-US" w:eastAsia="zh-CN"/>
          <w14:textFill>
            <w14:solidFill>
              <w14:schemeClr w14:val="tx1"/>
            </w14:solidFill>
          </w14:textFill>
        </w:rPr>
        <w:t>2</w:t>
      </w:r>
      <w:r>
        <w:rPr>
          <w:rFonts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年</w:t>
      </w:r>
      <w:r>
        <w:rPr>
          <w:rFonts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月</w:t>
      </w:r>
      <w:r>
        <w:rPr>
          <w:rFonts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日</w:t>
      </w:r>
      <w:r>
        <w:rPr>
          <w:rFonts w:ascii="宋体" w:hAnsi="宋体" w:cs="宋体"/>
          <w:color w:val="000000" w:themeColor="text1"/>
          <w:sz w:val="21"/>
          <w:szCs w:val="21"/>
          <w:highlight w:val="none"/>
          <w14:textFill>
            <w14:solidFill>
              <w14:schemeClr w14:val="tx1"/>
            </w14:solidFill>
          </w14:textFill>
        </w:rPr>
        <w:t>—20</w:t>
      </w:r>
      <w:r>
        <w:rPr>
          <w:rFonts w:hint="eastAsia" w:ascii="宋体" w:hAnsi="宋体" w:cs="宋体"/>
          <w:color w:val="000000" w:themeColor="text1"/>
          <w:sz w:val="21"/>
          <w:szCs w:val="21"/>
          <w:highlight w:val="none"/>
          <w:lang w:val="en-US" w:eastAsia="zh-CN"/>
          <w14:textFill>
            <w14:solidFill>
              <w14:schemeClr w14:val="tx1"/>
            </w14:solidFill>
          </w14:textFill>
        </w:rPr>
        <w:t>2</w:t>
      </w:r>
      <w:r>
        <w:rPr>
          <w:rFonts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年</w:t>
      </w:r>
      <w:r>
        <w:rPr>
          <w:rFonts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月</w:t>
      </w:r>
      <w:r>
        <w:rPr>
          <w:rFonts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日</w:t>
      </w:r>
    </w:p>
    <w:p w14:paraId="5F2560E0">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6.</w:t>
      </w:r>
      <w:r>
        <w:rPr>
          <w:rFonts w:hint="eastAsia" w:ascii="宋体" w:hAnsi="宋体" w:cs="宋体"/>
          <w:color w:val="000000" w:themeColor="text1"/>
          <w:sz w:val="21"/>
          <w:szCs w:val="21"/>
          <w:highlight w:val="none"/>
          <w14:textFill>
            <w14:solidFill>
              <w14:schemeClr w14:val="tx1"/>
            </w14:solidFill>
          </w14:textFill>
        </w:rPr>
        <w:t>工程质量：满足</w:t>
      </w:r>
      <w:r>
        <w:rPr>
          <w:rFonts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评定标准，</w:t>
      </w:r>
      <w:r>
        <w:rPr>
          <w:rFonts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工程质量等级合格</w:t>
      </w:r>
    </w:p>
    <w:p w14:paraId="3ED3510B">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7.</w:t>
      </w:r>
      <w:r>
        <w:rPr>
          <w:rFonts w:hint="eastAsia" w:ascii="宋体" w:hAnsi="宋体" w:cs="宋体"/>
          <w:color w:val="000000" w:themeColor="text1"/>
          <w:sz w:val="21"/>
          <w:szCs w:val="21"/>
          <w:highlight w:val="none"/>
          <w14:textFill>
            <w14:solidFill>
              <w14:schemeClr w14:val="tx1"/>
            </w14:solidFill>
          </w14:textFill>
        </w:rPr>
        <w:t>合同价款：</w:t>
      </w:r>
      <w:r>
        <w:rPr>
          <w:rFonts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元（含工程预留金</w:t>
      </w:r>
      <w:r>
        <w:rPr>
          <w:rFonts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元）；人民币大写：</w:t>
      </w:r>
      <w:r>
        <w:rPr>
          <w:rFonts w:ascii="宋体" w:hAnsi="宋体" w:cs="宋体"/>
          <w:color w:val="000000" w:themeColor="text1"/>
          <w:sz w:val="21"/>
          <w:szCs w:val="21"/>
          <w:highlight w:val="none"/>
          <w14:textFill>
            <w14:solidFill>
              <w14:schemeClr w14:val="tx1"/>
            </w14:solidFill>
          </w14:textFill>
        </w:rPr>
        <w:t xml:space="preserve"> </w:t>
      </w:r>
      <w:r>
        <w:rPr>
          <w:rFonts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（含工程预留金</w:t>
      </w:r>
      <w:r>
        <w:rPr>
          <w:rFonts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元整）。</w:t>
      </w:r>
      <w:r>
        <w:rPr>
          <w:rFonts w:ascii="宋体" w:hAnsi="宋体" w:cs="宋体"/>
          <w:color w:val="000000" w:themeColor="text1"/>
          <w:sz w:val="21"/>
          <w:szCs w:val="21"/>
          <w:highlight w:val="none"/>
          <w14:textFill>
            <w14:solidFill>
              <w14:schemeClr w14:val="tx1"/>
            </w14:solidFill>
          </w14:textFill>
        </w:rPr>
        <w:t>(</w:t>
      </w:r>
      <w:r>
        <w:rPr>
          <w:rFonts w:hint="eastAsia" w:ascii="宋体" w:hAnsi="宋体" w:cs="宋体"/>
          <w:color w:val="000000" w:themeColor="text1"/>
          <w:sz w:val="21"/>
          <w:szCs w:val="21"/>
          <w:highlight w:val="none"/>
          <w14:textFill>
            <w14:solidFill>
              <w14:schemeClr w14:val="tx1"/>
            </w14:solidFill>
          </w14:textFill>
        </w:rPr>
        <w:t>注：工程预留金是甲方用于支付</w:t>
      </w:r>
      <w:r>
        <w:rPr>
          <w:color w:val="000000" w:themeColor="text1"/>
          <w:sz w:val="21"/>
          <w:szCs w:val="21"/>
          <w:highlight w:val="none"/>
          <w14:textFill>
            <w14:solidFill>
              <w14:schemeClr w14:val="tx1"/>
            </w14:solidFill>
          </w14:textFill>
        </w:rPr>
        <w:fldChar w:fldCharType="begin"/>
      </w:r>
      <w:r>
        <w:rPr>
          <w:color w:val="000000" w:themeColor="text1"/>
          <w:sz w:val="21"/>
          <w:szCs w:val="21"/>
          <w:highlight w:val="none"/>
          <w14:textFill>
            <w14:solidFill>
              <w14:schemeClr w14:val="tx1"/>
            </w14:solidFill>
          </w14:textFill>
        </w:rPr>
        <w:instrText xml:space="preserve"> HYPERLINK "https://www.baidu.com/s?wd=%E8%AE%BE%E8%AE%A1%E5%8F%98%E6%9B%B4&amp;tn=44039180_cpr&amp;fenlei=mv6quAkxTZn0IZRqIHckPjm4nH00T1Yknjb3rymkuHc3nHfsPHnY0ZwV5Hcvrjm3rH6sPfKWUMw85HfYnjn4nH6sgvPsT6KdThsqpZwYTjCEQLGCpyw9Uz4Bmy-bIi4WUvYETgN-TLwGUv3EnWbzP1c1PHfd" \t "https://zhidao.baidu.com/question/_blank" </w:instrText>
      </w:r>
      <w:r>
        <w:rPr>
          <w:color w:val="000000" w:themeColor="text1"/>
          <w:sz w:val="21"/>
          <w:szCs w:val="21"/>
          <w:highlight w:val="none"/>
          <w14:textFill>
            <w14:solidFill>
              <w14:schemeClr w14:val="tx1"/>
            </w14:solidFill>
          </w14:textFill>
        </w:rPr>
        <w:fldChar w:fldCharType="separate"/>
      </w:r>
      <w:r>
        <w:rPr>
          <w:rFonts w:hint="eastAsia" w:ascii="宋体" w:hAnsi="宋体" w:cs="宋体"/>
          <w:color w:val="000000" w:themeColor="text1"/>
          <w:sz w:val="21"/>
          <w:szCs w:val="21"/>
          <w:highlight w:val="none"/>
          <w14:textFill>
            <w14:solidFill>
              <w14:schemeClr w14:val="tx1"/>
            </w14:solidFill>
          </w14:textFill>
        </w:rPr>
        <w:t>工程</w:t>
      </w:r>
      <w:r>
        <w:rPr>
          <w:rFonts w:hint="eastAsia" w:ascii="宋体" w:hAnsi="宋体"/>
          <w:color w:val="000000" w:themeColor="text1"/>
          <w:sz w:val="21"/>
          <w:szCs w:val="21"/>
          <w:highlight w:val="none"/>
          <w14:textFill>
            <w14:solidFill>
              <w14:schemeClr w14:val="tx1"/>
            </w14:solidFill>
          </w14:textFill>
        </w:rPr>
        <w:t>变更</w:t>
      </w:r>
      <w:r>
        <w:rPr>
          <w:rFonts w:hint="eastAsia" w:ascii="宋体" w:hAnsi="宋体"/>
          <w:color w:val="000000" w:themeColor="text1"/>
          <w:sz w:val="21"/>
          <w:szCs w:val="21"/>
          <w:highlight w:val="none"/>
          <w14:textFill>
            <w14:solidFill>
              <w14:schemeClr w14:val="tx1"/>
            </w14:solidFill>
          </w14:textFill>
        </w:rPr>
        <w:fldChar w:fldCharType="end"/>
      </w:r>
      <w:r>
        <w:rPr>
          <w:rFonts w:hint="eastAsia" w:ascii="宋体" w:hAnsi="宋体" w:cs="宋体"/>
          <w:color w:val="000000" w:themeColor="text1"/>
          <w:sz w:val="21"/>
          <w:szCs w:val="21"/>
          <w:highlight w:val="none"/>
          <w14:textFill>
            <w14:solidFill>
              <w14:schemeClr w14:val="tx1"/>
            </w14:solidFill>
          </w14:textFill>
        </w:rPr>
        <w:t>等不确定费用的，其所有权和动用权在甲方，工程完成后并没有变更增加的情况</w:t>
      </w:r>
      <w:r>
        <w:rPr>
          <w:rFonts w:ascii="宋体" w:cs="宋体"/>
          <w:color w:val="000000" w:themeColor="text1"/>
          <w:sz w:val="21"/>
          <w:szCs w:val="21"/>
          <w:highlight w:val="none"/>
          <w14:textFill>
            <w14:solidFill>
              <w14:schemeClr w14:val="tx1"/>
            </w14:solidFill>
          </w14:textFill>
        </w:rPr>
        <w:t>,</w:t>
      </w:r>
      <w:r>
        <w:rPr>
          <w:rFonts w:hint="eastAsia" w:ascii="宋体" w:hAnsi="宋体" w:cs="宋体"/>
          <w:color w:val="000000" w:themeColor="text1"/>
          <w:sz w:val="21"/>
          <w:szCs w:val="21"/>
          <w:highlight w:val="none"/>
          <w14:textFill>
            <w14:solidFill>
              <w14:schemeClr w14:val="tx1"/>
            </w14:solidFill>
          </w14:textFill>
        </w:rPr>
        <w:t>预留金不需要支付给乙方</w:t>
      </w:r>
      <w:r>
        <w:rPr>
          <w:rFonts w:hint="eastAsia" w:ascii="宋体" w:hAnsi="宋体" w:cs="宋体"/>
          <w:color w:val="000000" w:themeColor="text1"/>
          <w:sz w:val="21"/>
          <w:szCs w:val="21"/>
          <w:highlight w:val="none"/>
          <w:lang w:eastAsia="zh-CN"/>
          <w14:textFill>
            <w14:solidFill>
              <w14:schemeClr w14:val="tx1"/>
            </w14:solidFill>
          </w14:textFill>
        </w:rPr>
        <w:t>，</w:t>
      </w:r>
      <w:r>
        <w:rPr>
          <w:rFonts w:hint="eastAsia" w:ascii="宋体" w:hAnsi="宋体" w:cs="宋体"/>
          <w:color w:val="000000" w:themeColor="text1"/>
          <w:sz w:val="21"/>
          <w:szCs w:val="21"/>
          <w:highlight w:val="none"/>
          <w14:textFill>
            <w14:solidFill>
              <w14:schemeClr w14:val="tx1"/>
            </w14:solidFill>
          </w14:textFill>
        </w:rPr>
        <w:t>甲方给付乙方的合同价款为扣除预留金后的数额。</w:t>
      </w:r>
      <w:r>
        <w:rPr>
          <w:rFonts w:ascii="宋体" w:hAnsi="宋体" w:cs="宋体"/>
          <w:color w:val="000000" w:themeColor="text1"/>
          <w:sz w:val="21"/>
          <w:szCs w:val="21"/>
          <w:highlight w:val="none"/>
          <w14:textFill>
            <w14:solidFill>
              <w14:schemeClr w14:val="tx1"/>
            </w14:solidFill>
          </w14:textFill>
        </w:rPr>
        <w:t>)</w:t>
      </w:r>
    </w:p>
    <w:p w14:paraId="6BC77D5F">
      <w:pPr>
        <w:spacing w:line="360" w:lineRule="auto"/>
        <w:ind w:left="600"/>
        <w:rPr>
          <w:rFonts w:ascii="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二、甲方工作</w:t>
      </w:r>
    </w:p>
    <w:p w14:paraId="1708333F">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1.</w:t>
      </w:r>
      <w:r>
        <w:rPr>
          <w:rFonts w:hint="eastAsia" w:ascii="宋体" w:hAnsi="宋体" w:cs="宋体"/>
          <w:color w:val="000000" w:themeColor="text1"/>
          <w:sz w:val="21"/>
          <w:szCs w:val="21"/>
          <w:highlight w:val="none"/>
          <w14:textFill>
            <w14:solidFill>
              <w14:schemeClr w14:val="tx1"/>
            </w14:solidFill>
          </w14:textFill>
        </w:rPr>
        <w:t>开工前三天，向乙方提供经确认的施工图纸和作法说明，并向乙方进行现场交底</w:t>
      </w:r>
      <w:r>
        <w:rPr>
          <w:rFonts w:ascii="宋体" w:cs="宋体"/>
          <w:color w:val="000000" w:themeColor="text1"/>
          <w:sz w:val="21"/>
          <w:szCs w:val="21"/>
          <w:highlight w:val="none"/>
          <w14:textFill>
            <w14:solidFill>
              <w14:schemeClr w14:val="tx1"/>
            </w14:solidFill>
          </w14:textFill>
        </w:rPr>
        <w:t>,</w:t>
      </w:r>
      <w:r>
        <w:rPr>
          <w:rFonts w:hint="eastAsia" w:ascii="宋体" w:hAnsi="宋体" w:cs="宋体"/>
          <w:color w:val="000000" w:themeColor="text1"/>
          <w:sz w:val="21"/>
          <w:szCs w:val="21"/>
          <w:highlight w:val="none"/>
          <w14:textFill>
            <w14:solidFill>
              <w14:schemeClr w14:val="tx1"/>
            </w14:solidFill>
          </w14:textFill>
        </w:rPr>
        <w:t>向乙方有偿提供施工所需的水、电。</w:t>
      </w:r>
    </w:p>
    <w:p w14:paraId="4A769A79">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2.</w:t>
      </w:r>
      <w:r>
        <w:rPr>
          <w:rFonts w:hint="eastAsia" w:ascii="宋体" w:hAnsi="宋体" w:cs="宋体"/>
          <w:color w:val="000000" w:themeColor="text1"/>
          <w:sz w:val="21"/>
          <w:szCs w:val="21"/>
          <w:highlight w:val="none"/>
          <w14:textFill>
            <w14:solidFill>
              <w14:schemeClr w14:val="tx1"/>
            </w14:solidFill>
          </w14:textFill>
        </w:rPr>
        <w:t>如确实需要拆改原建筑物结构或设备管线，应依据设计部门提供的图纸或方案。</w:t>
      </w:r>
    </w:p>
    <w:p w14:paraId="2AD57A76">
      <w:pPr>
        <w:spacing w:line="360" w:lineRule="auto"/>
        <w:ind w:left="600"/>
        <w:rPr>
          <w:rFonts w:ascii="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三、乙方工作</w:t>
      </w:r>
    </w:p>
    <w:p w14:paraId="24707024">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1.</w:t>
      </w:r>
      <w:r>
        <w:rPr>
          <w:rFonts w:hint="eastAsia" w:ascii="宋体" w:hAnsi="宋体" w:cs="宋体"/>
          <w:color w:val="000000" w:themeColor="text1"/>
          <w:sz w:val="21"/>
          <w:szCs w:val="21"/>
          <w:highlight w:val="none"/>
          <w14:textFill>
            <w14:solidFill>
              <w14:schemeClr w14:val="tx1"/>
            </w14:solidFill>
          </w14:textFill>
        </w:rPr>
        <w:t>参加甲方组织的施工图纸或作法说明的现场交底，拟定施工方案和进度计划，于</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前交甲方审定，通过后方可实施。</w:t>
      </w:r>
    </w:p>
    <w:p w14:paraId="2ECED49C">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2.</w:t>
      </w:r>
      <w:r>
        <w:rPr>
          <w:rFonts w:hint="eastAsia" w:ascii="宋体" w:hAnsi="宋体" w:cs="宋体"/>
          <w:color w:val="000000" w:themeColor="text1"/>
          <w:sz w:val="21"/>
          <w:szCs w:val="21"/>
          <w:highlight w:val="none"/>
          <w14:textFill>
            <w14:solidFill>
              <w14:schemeClr w14:val="tx1"/>
            </w14:solidFill>
          </w14:textFill>
        </w:rPr>
        <w:t>指派</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为乙方驻工地代表，负责合同履行。乙方应按要求组织施工，保质、保量、按期完成施工任务，解决由乙方负责的各项事宜。</w:t>
      </w:r>
    </w:p>
    <w:p w14:paraId="3F88203B">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3.</w:t>
      </w:r>
      <w:r>
        <w:rPr>
          <w:rFonts w:hint="eastAsia" w:ascii="宋体" w:hAnsi="宋体" w:cs="宋体"/>
          <w:color w:val="000000" w:themeColor="text1"/>
          <w:sz w:val="21"/>
          <w:szCs w:val="21"/>
          <w:highlight w:val="none"/>
          <w14:textFill>
            <w14:solidFill>
              <w14:schemeClr w14:val="tx1"/>
            </w14:solidFill>
          </w14:textFill>
        </w:rPr>
        <w:t>严格执行施工规范、安全操作规程、防火安全规定、环境保护规定。严格按照图纸或作法说明进行施工，做好各项质量检查记录。参加竣工验收，编制工程结算。</w:t>
      </w:r>
    </w:p>
    <w:p w14:paraId="1322B25E">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4.</w:t>
      </w:r>
      <w:r>
        <w:rPr>
          <w:rFonts w:hint="eastAsia" w:ascii="宋体" w:hAnsi="宋体" w:cs="宋体"/>
          <w:color w:val="000000" w:themeColor="text1"/>
          <w:sz w:val="21"/>
          <w:szCs w:val="21"/>
          <w:highlight w:val="none"/>
          <w14:textFill>
            <w14:solidFill>
              <w14:schemeClr w14:val="tx1"/>
            </w14:solidFill>
          </w14:textFill>
        </w:rPr>
        <w:t>遵守国家或地方政府及有关部门对施工现场管理的规定，妥善保护好施工现场周围建筑物、设备管线、古树名木等不受损坏。做好施工现场保卫和垃圾消纳等工作。</w:t>
      </w:r>
    </w:p>
    <w:p w14:paraId="7559719A">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5.</w:t>
      </w:r>
      <w:r>
        <w:rPr>
          <w:rFonts w:hint="eastAsia" w:ascii="宋体" w:hAnsi="宋体" w:cs="宋体"/>
          <w:color w:val="000000" w:themeColor="text1"/>
          <w:sz w:val="21"/>
          <w:szCs w:val="21"/>
          <w:highlight w:val="none"/>
          <w14:textFill>
            <w14:solidFill>
              <w14:schemeClr w14:val="tx1"/>
            </w14:solidFill>
          </w14:textFill>
        </w:rPr>
        <w:t>施工中未经甲方书面同意或有关部门批准，不得随意拆改原建筑物结构及各种设备管线。</w:t>
      </w:r>
    </w:p>
    <w:p w14:paraId="3228D86D">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6.</w:t>
      </w:r>
      <w:r>
        <w:rPr>
          <w:rFonts w:hint="eastAsia" w:ascii="宋体" w:hAnsi="宋体" w:cs="宋体"/>
          <w:color w:val="000000" w:themeColor="text1"/>
          <w:sz w:val="21"/>
          <w:szCs w:val="21"/>
          <w:highlight w:val="none"/>
          <w14:textFill>
            <w14:solidFill>
              <w14:schemeClr w14:val="tx1"/>
            </w14:solidFill>
          </w14:textFill>
        </w:rPr>
        <w:t>工程竣工未移交甲方之前，负责对现场的一切设施和工程成品进行保护；工程竣工移交前，应彻底完成现场的清理工作。</w:t>
      </w:r>
    </w:p>
    <w:p w14:paraId="0876AA3F">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7.</w:t>
      </w:r>
      <w:r>
        <w:rPr>
          <w:rFonts w:hint="eastAsia" w:ascii="宋体" w:hAnsi="宋体" w:cs="宋体"/>
          <w:color w:val="000000" w:themeColor="text1"/>
          <w:sz w:val="21"/>
          <w:szCs w:val="21"/>
          <w:highlight w:val="none"/>
          <w14:textFill>
            <w14:solidFill>
              <w14:schemeClr w14:val="tx1"/>
            </w14:solidFill>
          </w14:textFill>
        </w:rPr>
        <w:t>施工过程中不得影响甲方的正常办公和教学，不得违反甲方的相关管理制度。</w:t>
      </w:r>
    </w:p>
    <w:p w14:paraId="7FA6C420">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8.</w:t>
      </w:r>
      <w:r>
        <w:rPr>
          <w:rFonts w:hint="eastAsia" w:ascii="宋体" w:hAnsi="宋体" w:cs="宋体"/>
          <w:color w:val="000000" w:themeColor="text1"/>
          <w:sz w:val="21"/>
          <w:szCs w:val="21"/>
          <w:highlight w:val="none"/>
          <w14:textFill>
            <w14:solidFill>
              <w14:schemeClr w14:val="tx1"/>
            </w14:solidFill>
          </w14:textFill>
        </w:rPr>
        <w:t>施工过程中如发生人身伤亡、财产毁损等安全事故的，乙方负责解决并独自承担全部责任。由此给甲方造成损失的，乙方应负责赔偿，赔偿款由甲方直接从应付合同价款中扣除。</w:t>
      </w:r>
    </w:p>
    <w:p w14:paraId="21A3E86B">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9.</w:t>
      </w:r>
      <w:r>
        <w:rPr>
          <w:rFonts w:hint="eastAsia" w:ascii="宋体" w:hAnsi="宋体" w:cs="宋体"/>
          <w:color w:val="000000" w:themeColor="text1"/>
          <w:sz w:val="21"/>
          <w:szCs w:val="21"/>
          <w:highlight w:val="none"/>
          <w14:textFill>
            <w14:solidFill>
              <w14:schemeClr w14:val="tx1"/>
            </w14:solidFill>
          </w14:textFill>
        </w:rPr>
        <w:t>施工单位在进场施工前应挂接水、电表，完工验收后根据水表、电表显示的用水、用电量按照甲方收费标准向甲方缴纳水、电费。</w:t>
      </w:r>
    </w:p>
    <w:p w14:paraId="5BFEB9C3">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10.</w:t>
      </w:r>
      <w:r>
        <w:rPr>
          <w:rFonts w:hint="eastAsia" w:ascii="宋体" w:hAnsi="宋体" w:cs="宋体"/>
          <w:color w:val="000000" w:themeColor="text1"/>
          <w:sz w:val="21"/>
          <w:szCs w:val="21"/>
          <w:highlight w:val="none"/>
          <w14:textFill>
            <w14:solidFill>
              <w14:schemeClr w14:val="tx1"/>
            </w14:solidFill>
          </w14:textFill>
        </w:rPr>
        <w:t>乙方自行解决与周边村民的关系协调问题。乙方在施工过程中与村民之间发生的任何纠纷，与甲方一概无关，因协调周边关系产生的一切费用由乙方自行承担。</w:t>
      </w:r>
    </w:p>
    <w:p w14:paraId="3043DD07">
      <w:pPr>
        <w:numPr>
          <w:ins w:id="1" w:author="PMLAWYER" w:date="2017-10-16T09:20:00Z"/>
        </w:numPr>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11.</w:t>
      </w:r>
      <w:r>
        <w:rPr>
          <w:rFonts w:hint="eastAsia" w:ascii="宋体" w:hAnsi="宋体" w:cs="宋体"/>
          <w:color w:val="000000" w:themeColor="text1"/>
          <w:sz w:val="21"/>
          <w:szCs w:val="21"/>
          <w:highlight w:val="none"/>
          <w14:textFill>
            <w14:solidFill>
              <w14:schemeClr w14:val="tx1"/>
            </w14:solidFill>
          </w14:textFill>
        </w:rPr>
        <w:t>未经甲方同意，乙方不得擅自更换甲方在招标时认定的本工程施工负责人（项目经理）及施工队伍，若出现此类情况，甲方有权终止合同。</w:t>
      </w:r>
    </w:p>
    <w:p w14:paraId="3A664375">
      <w:pPr>
        <w:numPr>
          <w:ins w:id="2" w:author="PMLAWYER" w:date="2017-10-16T09:20:00Z"/>
        </w:num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12.</w:t>
      </w:r>
      <w:r>
        <w:rPr>
          <w:rFonts w:hint="eastAsia" w:ascii="宋体" w:hAnsi="宋体" w:cs="宋体"/>
          <w:color w:val="000000" w:themeColor="text1"/>
          <w:sz w:val="21"/>
          <w:szCs w:val="21"/>
          <w:highlight w:val="none"/>
          <w14:textFill>
            <w14:solidFill>
              <w14:schemeClr w14:val="tx1"/>
            </w14:solidFill>
          </w14:textFill>
        </w:rPr>
        <w:t>乙方未能按投标文件中所列的施工方式、项目经理人选及其他承诺执行时，视为违约，甲方有权指正更正，直至终止合同。</w:t>
      </w:r>
    </w:p>
    <w:p w14:paraId="75159659">
      <w:pPr>
        <w:numPr>
          <w:ins w:id="3" w:author="PMLAWYER" w:date="2017-10-16T09:20:00Z"/>
        </w:num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13.</w:t>
      </w:r>
      <w:r>
        <w:rPr>
          <w:rFonts w:hint="eastAsia" w:ascii="宋体" w:hAnsi="宋体" w:cs="宋体"/>
          <w:color w:val="000000" w:themeColor="text1"/>
          <w:sz w:val="21"/>
          <w:szCs w:val="21"/>
          <w:highlight w:val="none"/>
          <w14:textFill>
            <w14:solidFill>
              <w14:schemeClr w14:val="tx1"/>
            </w14:solidFill>
          </w14:textFill>
        </w:rPr>
        <w:t>施工中或竣工后，如发生因乙方在本项目施工中拖欠工人工资、劳务分包商款项，而向甲方追讨欠款的情况时，均视为乙方违约，甲方有权采取终止合同，向乙方索赔的措施。</w:t>
      </w:r>
    </w:p>
    <w:p w14:paraId="725E79FE">
      <w:pPr>
        <w:numPr>
          <w:ilvl w:val="0"/>
          <w:numId w:val="0"/>
        </w:numPr>
        <w:spacing w:line="360" w:lineRule="auto"/>
        <w:ind w:left="1320" w:leftChars="0" w:hanging="720" w:firstLineChars="0"/>
        <w:rPr>
          <w:rFonts w:ascii="宋体" w:cs="宋体"/>
          <w:b/>
          <w:color w:val="000000" w:themeColor="text1"/>
          <w:sz w:val="21"/>
          <w:szCs w:val="21"/>
          <w:highlight w:val="none"/>
          <w14:textFill>
            <w14:solidFill>
              <w14:schemeClr w14:val="tx1"/>
            </w14:solidFill>
          </w14:textFill>
        </w:rPr>
      </w:pPr>
      <w:r>
        <w:rPr>
          <w:rFonts w:hint="default" w:ascii="宋体" w:hAnsi="宋体" w:eastAsia="宋体" w:cs="Times New Roman"/>
          <w:b/>
          <w:color w:val="000000" w:themeColor="text1"/>
          <w:kern w:val="2"/>
          <w:sz w:val="21"/>
          <w:szCs w:val="21"/>
          <w:highlight w:val="none"/>
          <w:lang w:val="en-US" w:eastAsia="zh-CN" w:bidi="ar-SA"/>
          <w14:textFill>
            <w14:solidFill>
              <w14:schemeClr w14:val="tx1"/>
            </w14:solidFill>
          </w14:textFill>
        </w:rPr>
        <w:t>四、</w:t>
      </w:r>
      <w:r>
        <w:rPr>
          <w:rFonts w:hint="eastAsia" w:ascii="宋体" w:hAnsi="宋体" w:cs="宋体"/>
          <w:b/>
          <w:color w:val="000000" w:themeColor="text1"/>
          <w:sz w:val="21"/>
          <w:szCs w:val="21"/>
          <w:highlight w:val="none"/>
          <w14:textFill>
            <w14:solidFill>
              <w14:schemeClr w14:val="tx1"/>
            </w14:solidFill>
          </w14:textFill>
        </w:rPr>
        <w:t>关于工期的约定</w:t>
      </w:r>
    </w:p>
    <w:p w14:paraId="6EA37D5A">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1.</w:t>
      </w:r>
      <w:r>
        <w:rPr>
          <w:rFonts w:hint="eastAsia" w:ascii="宋体" w:hAnsi="宋体" w:cs="宋体"/>
          <w:color w:val="000000" w:themeColor="text1"/>
          <w:sz w:val="21"/>
          <w:szCs w:val="21"/>
          <w:highlight w:val="none"/>
          <w14:textFill>
            <w14:solidFill>
              <w14:schemeClr w14:val="tx1"/>
            </w14:solidFill>
          </w14:textFill>
        </w:rPr>
        <w:t>甲方要求比合同约定的工期提前竣工时，应征得乙方同意，并支付乙方因赶工采取的措施费用。</w:t>
      </w:r>
    </w:p>
    <w:p w14:paraId="2B410FC3">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2.</w:t>
      </w:r>
      <w:r>
        <w:rPr>
          <w:rFonts w:hint="eastAsia" w:ascii="宋体" w:hAnsi="宋体" w:cs="宋体"/>
          <w:color w:val="000000" w:themeColor="text1"/>
          <w:sz w:val="21"/>
          <w:szCs w:val="21"/>
          <w:highlight w:val="none"/>
          <w14:textFill>
            <w14:solidFill>
              <w14:schemeClr w14:val="tx1"/>
            </w14:solidFill>
          </w14:textFill>
        </w:rPr>
        <w:t>因甲方未按约定完成工作且影响工期的，工期相应顺延。</w:t>
      </w:r>
    </w:p>
    <w:p w14:paraId="66109CF8">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3.</w:t>
      </w:r>
      <w:r>
        <w:rPr>
          <w:rFonts w:hint="eastAsia" w:ascii="宋体" w:hAnsi="宋体" w:cs="宋体"/>
          <w:color w:val="000000" w:themeColor="text1"/>
          <w:sz w:val="21"/>
          <w:szCs w:val="21"/>
          <w:highlight w:val="none"/>
          <w14:textFill>
            <w14:solidFill>
              <w14:schemeClr w14:val="tx1"/>
            </w14:solidFill>
          </w14:textFill>
        </w:rPr>
        <w:t>因乙方责任，不能按期开工或中途无故停工，影响工期，工期不顺延，由乙方承担逾期完工的违约责任。</w:t>
      </w:r>
    </w:p>
    <w:p w14:paraId="0A9CE1FE">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4.</w:t>
      </w:r>
      <w:r>
        <w:rPr>
          <w:rFonts w:hint="eastAsia" w:ascii="宋体" w:hAnsi="宋体" w:cs="宋体"/>
          <w:color w:val="000000" w:themeColor="text1"/>
          <w:sz w:val="21"/>
          <w:szCs w:val="21"/>
          <w:highlight w:val="none"/>
          <w14:textFill>
            <w14:solidFill>
              <w14:schemeClr w14:val="tx1"/>
            </w14:solidFill>
          </w14:textFill>
        </w:rPr>
        <w:t>因设计变更或非乙方原因造成的停电、停水、停气及不可抗力因素影响，导致停工</w:t>
      </w:r>
      <w:r>
        <w:rPr>
          <w:rFonts w:ascii="宋体" w:hAnsi="宋体" w:cs="宋体"/>
          <w:color w:val="000000" w:themeColor="text1"/>
          <w:sz w:val="21"/>
          <w:szCs w:val="21"/>
          <w:highlight w:val="none"/>
          <w14:textFill>
            <w14:solidFill>
              <w14:schemeClr w14:val="tx1"/>
            </w14:solidFill>
          </w14:textFill>
        </w:rPr>
        <w:t>8</w:t>
      </w:r>
      <w:r>
        <w:rPr>
          <w:rFonts w:hint="eastAsia" w:ascii="宋体" w:hAnsi="宋体" w:cs="宋体"/>
          <w:color w:val="000000" w:themeColor="text1"/>
          <w:sz w:val="21"/>
          <w:szCs w:val="21"/>
          <w:highlight w:val="none"/>
          <w14:textFill>
            <w14:solidFill>
              <w14:schemeClr w14:val="tx1"/>
            </w14:solidFill>
          </w14:textFill>
        </w:rPr>
        <w:t>小时以上（一周内累计计算），工期相应顺延。</w:t>
      </w:r>
    </w:p>
    <w:p w14:paraId="6100FFFF">
      <w:pPr>
        <w:numPr>
          <w:ilvl w:val="0"/>
          <w:numId w:val="0"/>
        </w:numPr>
        <w:spacing w:line="360" w:lineRule="auto"/>
        <w:ind w:left="1320" w:leftChars="0" w:hanging="720" w:firstLineChars="0"/>
        <w:rPr>
          <w:rFonts w:ascii="宋体" w:cs="宋体"/>
          <w:b/>
          <w:color w:val="000000" w:themeColor="text1"/>
          <w:sz w:val="21"/>
          <w:szCs w:val="21"/>
          <w:highlight w:val="none"/>
          <w14:textFill>
            <w14:solidFill>
              <w14:schemeClr w14:val="tx1"/>
            </w14:solidFill>
          </w14:textFill>
        </w:rPr>
      </w:pPr>
      <w:r>
        <w:rPr>
          <w:rFonts w:hint="default" w:ascii="宋体" w:hAnsi="宋体" w:eastAsia="宋体" w:cs="Times New Roman"/>
          <w:b/>
          <w:color w:val="000000" w:themeColor="text1"/>
          <w:kern w:val="2"/>
          <w:sz w:val="21"/>
          <w:szCs w:val="21"/>
          <w:highlight w:val="none"/>
          <w:lang w:val="en-US" w:eastAsia="zh-CN" w:bidi="ar-SA"/>
          <w14:textFill>
            <w14:solidFill>
              <w14:schemeClr w14:val="tx1"/>
            </w14:solidFill>
          </w14:textFill>
        </w:rPr>
        <w:t>五、</w:t>
      </w:r>
      <w:r>
        <w:rPr>
          <w:rFonts w:hint="eastAsia" w:ascii="宋体" w:hAnsi="宋体" w:cs="宋体"/>
          <w:b/>
          <w:color w:val="000000" w:themeColor="text1"/>
          <w:sz w:val="21"/>
          <w:szCs w:val="21"/>
          <w:highlight w:val="none"/>
          <w14:textFill>
            <w14:solidFill>
              <w14:schemeClr w14:val="tx1"/>
            </w14:solidFill>
          </w14:textFill>
        </w:rPr>
        <w:t>关于工程质量及验收的约定</w:t>
      </w:r>
    </w:p>
    <w:p w14:paraId="721DEF38">
      <w:pPr>
        <w:tabs>
          <w:tab w:val="left" w:pos="855"/>
          <w:tab w:val="left" w:pos="1800"/>
        </w:tabs>
        <w:spacing w:line="360" w:lineRule="auto"/>
        <w:ind w:firstLine="420" w:firstLineChars="200"/>
        <w:rPr>
          <w:rFonts w:ascii="宋体" w:hAns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1.</w:t>
      </w:r>
      <w:r>
        <w:rPr>
          <w:rFonts w:hint="eastAsia" w:ascii="宋体" w:hAnsi="宋体" w:cs="宋体"/>
          <w:color w:val="000000" w:themeColor="text1"/>
          <w:sz w:val="21"/>
          <w:szCs w:val="21"/>
          <w:highlight w:val="none"/>
          <w14:textFill>
            <w14:solidFill>
              <w14:schemeClr w14:val="tx1"/>
            </w14:solidFill>
          </w14:textFill>
        </w:rPr>
        <w:t>本工程以施工图纸、作法说明、设计变更和</w:t>
      </w:r>
      <w:r>
        <w:rPr>
          <w:rFonts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等国家制订的施工及验收规范为质量评定验收标准。</w:t>
      </w:r>
    </w:p>
    <w:p w14:paraId="41AA89F4">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2.</w:t>
      </w:r>
      <w:r>
        <w:rPr>
          <w:rFonts w:hint="eastAsia" w:ascii="宋体" w:hAnsi="宋体" w:cs="宋体"/>
          <w:color w:val="000000" w:themeColor="text1"/>
          <w:sz w:val="21"/>
          <w:szCs w:val="21"/>
          <w:highlight w:val="none"/>
          <w14:textFill>
            <w14:solidFill>
              <w14:schemeClr w14:val="tx1"/>
            </w14:solidFill>
          </w14:textFill>
        </w:rPr>
        <w:t>本工程质量应至少达到国家质量评定合格标准。甲方要求部分或全部工程项目达到优良标准时，应按乙方的实际支出向乙方支付由此增加费用。</w:t>
      </w:r>
    </w:p>
    <w:p w14:paraId="2DE7DEB3">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3.</w:t>
      </w:r>
      <w:r>
        <w:rPr>
          <w:rFonts w:hint="eastAsia" w:ascii="宋体" w:hAnsi="宋体" w:cs="宋体"/>
          <w:color w:val="000000" w:themeColor="text1"/>
          <w:sz w:val="21"/>
          <w:szCs w:val="21"/>
          <w:highlight w:val="none"/>
          <w14:textFill>
            <w14:solidFill>
              <w14:schemeClr w14:val="tx1"/>
            </w14:solidFill>
          </w14:textFill>
        </w:rPr>
        <w:t>甲、乙双方应及时办理隐蔽工程和中间工程的检查与验收手续。甲方因自身原因不按时参加隐蔽工程的中间工程验收，乙方可自行验收，甲方应予承认。若甲方要求复验时，乙方应按要求办理复验。若复验合格，甲方应承担复验费用，由此造成停工，工期顺延；若复验不合格，其复验及返工费用由乙方承担，但工期也予顺延。</w:t>
      </w:r>
    </w:p>
    <w:p w14:paraId="052C93FE">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4.</w:t>
      </w:r>
      <w:r>
        <w:rPr>
          <w:rFonts w:hint="eastAsia" w:ascii="宋体" w:hAnsi="宋体" w:cs="宋体"/>
          <w:color w:val="000000" w:themeColor="text1"/>
          <w:sz w:val="21"/>
          <w:szCs w:val="21"/>
          <w:highlight w:val="none"/>
          <w14:textFill>
            <w14:solidFill>
              <w14:schemeClr w14:val="tx1"/>
            </w14:solidFill>
          </w14:textFill>
        </w:rPr>
        <w:t>由于甲方提供的材料、设备质量不合格而影响工程质量，其返工费用由甲方承担，工期顺延。</w:t>
      </w:r>
    </w:p>
    <w:p w14:paraId="14D03AE0">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5.</w:t>
      </w:r>
      <w:r>
        <w:rPr>
          <w:rFonts w:hint="eastAsia" w:ascii="宋体" w:hAnsi="宋体" w:cs="宋体"/>
          <w:color w:val="000000" w:themeColor="text1"/>
          <w:sz w:val="21"/>
          <w:szCs w:val="21"/>
          <w:highlight w:val="none"/>
          <w14:textFill>
            <w14:solidFill>
              <w14:schemeClr w14:val="tx1"/>
            </w14:solidFill>
          </w14:textFill>
        </w:rPr>
        <w:t>由于乙方原因造成质量事故，其返工费用由乙方承担，工期不顺延。工程施工或交付甲方使用过程中，因工程材料质量或施工质量造成甲方或第三方人身损伤、财产损失的，由乙方负责解决并承担全部赔偿责任。</w:t>
      </w:r>
    </w:p>
    <w:p w14:paraId="0109C2F1">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6.</w:t>
      </w:r>
      <w:r>
        <w:rPr>
          <w:rFonts w:hint="eastAsia" w:ascii="宋体" w:hAnsi="宋体" w:cs="宋体"/>
          <w:color w:val="000000" w:themeColor="text1"/>
          <w:sz w:val="21"/>
          <w:szCs w:val="21"/>
          <w:highlight w:val="none"/>
          <w14:textFill>
            <w14:solidFill>
              <w14:schemeClr w14:val="tx1"/>
            </w14:solidFill>
          </w14:textFill>
        </w:rPr>
        <w:t>工程竣工后，乙方应通知甲方验收，甲方自接到验收通知</w:t>
      </w:r>
      <w:r>
        <w:rPr>
          <w:rFonts w:ascii="宋体" w:hAnsi="宋体" w:cs="宋体"/>
          <w:color w:val="000000" w:themeColor="text1"/>
          <w:sz w:val="21"/>
          <w:szCs w:val="21"/>
          <w:highlight w:val="none"/>
          <w14:textFill>
            <w14:solidFill>
              <w14:schemeClr w14:val="tx1"/>
            </w14:solidFill>
          </w14:textFill>
        </w:rPr>
        <w:t>15</w:t>
      </w:r>
      <w:r>
        <w:rPr>
          <w:rFonts w:hint="eastAsia" w:ascii="宋体" w:hAnsi="宋体" w:cs="宋体"/>
          <w:color w:val="000000" w:themeColor="text1"/>
          <w:sz w:val="21"/>
          <w:szCs w:val="21"/>
          <w:highlight w:val="none"/>
          <w14:textFill>
            <w14:solidFill>
              <w14:schemeClr w14:val="tx1"/>
            </w14:solidFill>
          </w14:textFill>
        </w:rPr>
        <w:t>日内组织验收，验收通过的办理验收、移交手续；验收不通过的，由乙方负责整改，工期不顺延。如甲方因自身原因在规定时间内未能组织验收，需及时通知乙方，另定验收日期，但甲方应承认竣工日期，并承担乙方的看管费用和相关费用。</w:t>
      </w:r>
    </w:p>
    <w:p w14:paraId="510F0058">
      <w:pPr>
        <w:spacing w:line="360" w:lineRule="auto"/>
        <w:ind w:left="600"/>
        <w:rPr>
          <w:rFonts w:ascii="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六、关于工程价款及结算的约定</w:t>
      </w:r>
    </w:p>
    <w:p w14:paraId="75769696">
      <w:pPr>
        <w:tabs>
          <w:tab w:val="left" w:pos="855"/>
          <w:tab w:val="left" w:pos="1800"/>
        </w:tabs>
        <w:spacing w:line="360" w:lineRule="auto"/>
        <w:ind w:firstLine="420" w:firstLineChars="200"/>
        <w:rPr>
          <w:rFonts w:hint="eastAsia"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w:t>
      </w:r>
      <w:r>
        <w:rPr>
          <w:rFonts w:hint="default" w:ascii="宋体" w:hAnsi="宋体" w:cs="宋体"/>
          <w:color w:val="000000" w:themeColor="text1"/>
          <w:sz w:val="21"/>
          <w:szCs w:val="21"/>
          <w:highlight w:val="none"/>
          <w14:textFill>
            <w14:solidFill>
              <w14:schemeClr w14:val="tx1"/>
            </w14:solidFill>
          </w14:textFill>
        </w:rPr>
        <w:t>付款方式：按照工程进度进行付款，合同签订生效后，支付合同金额的30%；竣工验收合格后，支付至合同金额的50%；经学校审计并出具审计报告后分两期累计付至审定金额的97%，第一期累计支付至审定金额的70%，第二期累计支付至审定金额的97%；剩余审定金额的3%作为质量保证金，缺陷责任期为2年，自工程竣工验收合格之日起计算，缺陷责任期满且无质量问题后一次性无息退还。</w:t>
      </w:r>
    </w:p>
    <w:p w14:paraId="2C94D7AE">
      <w:pPr>
        <w:tabs>
          <w:tab w:val="left" w:pos="855"/>
          <w:tab w:val="left" w:pos="1800"/>
        </w:tabs>
        <w:spacing w:line="360" w:lineRule="auto"/>
        <w:ind w:firstLine="420" w:firstLineChars="200"/>
        <w:rPr>
          <w:rFonts w:hint="eastAsia"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w:t>
      </w:r>
      <w:r>
        <w:rPr>
          <w:rFonts w:hint="eastAsia" w:ascii="宋体" w:hAnsi="宋体" w:cs="宋体"/>
          <w:color w:val="000000" w:themeColor="text1"/>
          <w:sz w:val="21"/>
          <w:szCs w:val="21"/>
          <w:highlight w:val="none"/>
          <w14:textFill>
            <w14:solidFill>
              <w14:schemeClr w14:val="tx1"/>
            </w14:solidFill>
          </w14:textFill>
        </w:rPr>
        <w:t>质保金在缺陷责任期满无质量及服务问题且双方无争议时，一次无息付清。</w:t>
      </w:r>
    </w:p>
    <w:p w14:paraId="41C8A481">
      <w:pPr>
        <w:tabs>
          <w:tab w:val="left" w:pos="855"/>
          <w:tab w:val="left" w:pos="1800"/>
        </w:tabs>
        <w:spacing w:line="360" w:lineRule="auto"/>
        <w:ind w:firstLine="420" w:firstLineChars="200"/>
        <w:rPr>
          <w:rFonts w:hint="default"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3.工程施工中，若非因乙方原因导致变更，变更部分的增减金额在本合同总价的±5%以内时，合同总价不予调整；超出±5%的部分，按甲方批准的变更签证及投标时对应的综合单价结算。如因乙方人员变更或其他原因，不能及时按照甲方相关要求完整报送工程项目结算资料，由此造成款项支付延误由乙方负责。</w:t>
      </w:r>
    </w:p>
    <w:p w14:paraId="020540ED">
      <w:pPr>
        <w:numPr>
          <w:ins w:id="4" w:author="PMLAWYER" w:date="2017-10-16T09:27:00Z"/>
        </w:num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w:t>
      </w:r>
      <w:r>
        <w:rPr>
          <w:rFonts w:ascii="宋体" w:hAnsi="宋体" w:cs="宋体"/>
          <w:color w:val="000000" w:themeColor="text1"/>
          <w:sz w:val="21"/>
          <w:szCs w:val="21"/>
          <w:highlight w:val="none"/>
          <w14:textFill>
            <w14:solidFill>
              <w14:schemeClr w14:val="tx1"/>
            </w14:solidFill>
          </w14:textFill>
        </w:rPr>
        <w:t>.</w:t>
      </w:r>
      <w:r>
        <w:rPr>
          <w:rFonts w:hint="eastAsia" w:ascii="宋体" w:hAnsi="宋体" w:cs="宋体"/>
          <w:color w:val="000000" w:themeColor="text1"/>
          <w:sz w:val="21"/>
          <w:szCs w:val="21"/>
          <w:highlight w:val="none"/>
          <w14:textFill>
            <w14:solidFill>
              <w14:schemeClr w14:val="tx1"/>
            </w14:solidFill>
          </w14:textFill>
        </w:rPr>
        <w:t>工程竣工结算，应按合同约定和实际履约事项，出具的竣工结算报告经发包人、承包人双方签字后生效。</w:t>
      </w:r>
    </w:p>
    <w:p w14:paraId="09CCED35">
      <w:pPr>
        <w:numPr>
          <w:ins w:id="5" w:author="PMLAWYER" w:date="2017-10-16T09:27:00Z"/>
        </w:num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5</w:t>
      </w:r>
      <w:r>
        <w:rPr>
          <w:rFonts w:ascii="宋体" w:hAnsi="宋体" w:cs="宋体"/>
          <w:color w:val="000000" w:themeColor="text1"/>
          <w:sz w:val="21"/>
          <w:szCs w:val="21"/>
          <w:highlight w:val="none"/>
          <w14:textFill>
            <w14:solidFill>
              <w14:schemeClr w14:val="tx1"/>
            </w14:solidFill>
          </w14:textFill>
        </w:rPr>
        <w:t>.</w:t>
      </w:r>
      <w:r>
        <w:rPr>
          <w:rFonts w:hint="eastAsia" w:ascii="宋体" w:hAnsi="宋体" w:cs="宋体"/>
          <w:color w:val="000000" w:themeColor="text1"/>
          <w:sz w:val="21"/>
          <w:szCs w:val="21"/>
          <w:highlight w:val="none"/>
          <w14:textFill>
            <w14:solidFill>
              <w14:schemeClr w14:val="tx1"/>
            </w14:solidFill>
          </w14:textFill>
        </w:rPr>
        <w:t>乙方报送结算造价，经甲方指定的审计单位审定后，总审减额在报送造价的</w:t>
      </w:r>
      <w:r>
        <w:rPr>
          <w:rFonts w:ascii="宋体" w:hAnsi="宋体" w:cs="宋体"/>
          <w:color w:val="000000" w:themeColor="text1"/>
          <w:sz w:val="21"/>
          <w:szCs w:val="21"/>
          <w:highlight w:val="none"/>
          <w14:textFill>
            <w14:solidFill>
              <w14:schemeClr w14:val="tx1"/>
            </w14:solidFill>
          </w14:textFill>
        </w:rPr>
        <w:t>5%</w:t>
      </w:r>
      <w:r>
        <w:rPr>
          <w:rFonts w:hint="eastAsia" w:ascii="宋体" w:hAnsi="宋体" w:cs="宋体"/>
          <w:color w:val="000000" w:themeColor="text1"/>
          <w:sz w:val="21"/>
          <w:szCs w:val="21"/>
          <w:highlight w:val="none"/>
          <w14:textFill>
            <w14:solidFill>
              <w14:schemeClr w14:val="tx1"/>
            </w14:solidFill>
          </w14:textFill>
        </w:rPr>
        <w:t>以内（含</w:t>
      </w:r>
      <w:r>
        <w:rPr>
          <w:rFonts w:ascii="宋体" w:hAnsi="宋体" w:cs="宋体"/>
          <w:color w:val="000000" w:themeColor="text1"/>
          <w:sz w:val="21"/>
          <w:szCs w:val="21"/>
          <w:highlight w:val="none"/>
          <w14:textFill>
            <w14:solidFill>
              <w14:schemeClr w14:val="tx1"/>
            </w14:solidFill>
          </w14:textFill>
        </w:rPr>
        <w:t>5%</w:t>
      </w:r>
      <w:r>
        <w:rPr>
          <w:rFonts w:hint="eastAsia" w:ascii="宋体" w:hAnsi="宋体" w:cs="宋体"/>
          <w:color w:val="000000" w:themeColor="text1"/>
          <w:sz w:val="21"/>
          <w:szCs w:val="21"/>
          <w:highlight w:val="none"/>
          <w14:textFill>
            <w14:solidFill>
              <w14:schemeClr w14:val="tx1"/>
            </w14:solidFill>
          </w14:textFill>
        </w:rPr>
        <w:t>）时，审计费用由甲方承担；如超出报送结算造价的</w:t>
      </w:r>
      <w:r>
        <w:rPr>
          <w:rFonts w:ascii="宋体" w:hAnsi="宋体" w:cs="宋体"/>
          <w:color w:val="000000" w:themeColor="text1"/>
          <w:sz w:val="21"/>
          <w:szCs w:val="21"/>
          <w:highlight w:val="none"/>
          <w14:textFill>
            <w14:solidFill>
              <w14:schemeClr w14:val="tx1"/>
            </w14:solidFill>
          </w14:textFill>
        </w:rPr>
        <w:t>5%</w:t>
      </w:r>
      <w:r>
        <w:rPr>
          <w:rFonts w:hint="eastAsia" w:ascii="宋体" w:hAnsi="宋体" w:cs="宋体"/>
          <w:color w:val="000000" w:themeColor="text1"/>
          <w:sz w:val="21"/>
          <w:szCs w:val="21"/>
          <w:highlight w:val="none"/>
          <w14:textFill>
            <w14:solidFill>
              <w14:schemeClr w14:val="tx1"/>
            </w14:solidFill>
          </w14:textFill>
        </w:rPr>
        <w:t>，超出部分的审核成果费，按照审核合同规定的收费标准，由乙方承担；如超出报送结算造价的</w:t>
      </w:r>
      <w:r>
        <w:rPr>
          <w:rFonts w:ascii="宋体" w:hAnsi="宋体" w:cs="宋体"/>
          <w:color w:val="000000" w:themeColor="text1"/>
          <w:sz w:val="21"/>
          <w:szCs w:val="21"/>
          <w:highlight w:val="none"/>
          <w14:textFill>
            <w14:solidFill>
              <w14:schemeClr w14:val="tx1"/>
            </w14:solidFill>
          </w14:textFill>
        </w:rPr>
        <w:t>8%</w:t>
      </w:r>
      <w:r>
        <w:rPr>
          <w:rFonts w:hint="eastAsia" w:ascii="宋体" w:hAnsi="宋体" w:cs="宋体"/>
          <w:color w:val="000000" w:themeColor="text1"/>
          <w:sz w:val="21"/>
          <w:szCs w:val="21"/>
          <w:highlight w:val="none"/>
          <w14:textFill>
            <w14:solidFill>
              <w14:schemeClr w14:val="tx1"/>
            </w14:solidFill>
          </w14:textFill>
        </w:rPr>
        <w:t>（不含</w:t>
      </w:r>
      <w:r>
        <w:rPr>
          <w:rFonts w:ascii="宋体" w:hAnsi="宋体" w:cs="宋体"/>
          <w:color w:val="000000" w:themeColor="text1"/>
          <w:sz w:val="21"/>
          <w:szCs w:val="21"/>
          <w:highlight w:val="none"/>
          <w14:textFill>
            <w14:solidFill>
              <w14:schemeClr w14:val="tx1"/>
            </w14:solidFill>
          </w14:textFill>
        </w:rPr>
        <w:t>8%</w:t>
      </w:r>
      <w:r>
        <w:rPr>
          <w:rFonts w:hint="eastAsia" w:ascii="宋体" w:hAnsi="宋体" w:cs="宋体"/>
          <w:color w:val="000000" w:themeColor="text1"/>
          <w:sz w:val="21"/>
          <w:szCs w:val="21"/>
          <w:highlight w:val="none"/>
          <w14:textFill>
            <w14:solidFill>
              <w14:schemeClr w14:val="tx1"/>
            </w14:solidFill>
          </w14:textFill>
        </w:rPr>
        <w:t>），则该工程的所有审核费，按照审核合同规定的收费标准，全部由乙方承担，乙方承担的审核费，工程结算时，发包方在工程款中予以扣除。</w:t>
      </w:r>
    </w:p>
    <w:p w14:paraId="5FC72B25">
      <w:pPr>
        <w:spacing w:line="360" w:lineRule="auto"/>
        <w:ind w:left="600"/>
        <w:rPr>
          <w:rFonts w:ascii="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七、关于材料供应的约定</w:t>
      </w:r>
    </w:p>
    <w:p w14:paraId="11BBDD07">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1.</w:t>
      </w:r>
      <w:r>
        <w:rPr>
          <w:rFonts w:hint="eastAsia" w:ascii="宋体" w:hAnsi="宋体" w:cs="宋体"/>
          <w:color w:val="000000" w:themeColor="text1"/>
          <w:sz w:val="21"/>
          <w:szCs w:val="21"/>
          <w:highlight w:val="none"/>
          <w14:textFill>
            <w14:solidFill>
              <w14:schemeClr w14:val="tx1"/>
            </w14:solidFill>
          </w14:textFill>
        </w:rPr>
        <w:t>本工程图纸设计范围的材料由乙方按照招标文件要求的品牌规格负责采购供应。</w:t>
      </w:r>
    </w:p>
    <w:p w14:paraId="70D50F98">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2.</w:t>
      </w:r>
      <w:r>
        <w:rPr>
          <w:rFonts w:hint="eastAsia" w:ascii="宋体" w:hAnsi="宋体" w:cs="宋体"/>
          <w:color w:val="000000" w:themeColor="text1"/>
          <w:sz w:val="21"/>
          <w:szCs w:val="21"/>
          <w:highlight w:val="none"/>
          <w14:textFill>
            <w14:solidFill>
              <w14:schemeClr w14:val="tx1"/>
            </w14:solidFill>
          </w14:textFill>
        </w:rPr>
        <w:t>凡由乙方采购的材料、设备，如不符合质量或规格有差异，应禁止使用。若已使用，由乙方负责更换，由此造成的返工，工期不予顺延，费用由乙方承担。</w:t>
      </w:r>
    </w:p>
    <w:p w14:paraId="4E056E4A">
      <w:pPr>
        <w:spacing w:line="360" w:lineRule="auto"/>
        <w:ind w:left="600"/>
        <w:rPr>
          <w:rFonts w:ascii="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八、有关安全生产及防火事宜</w:t>
      </w:r>
    </w:p>
    <w:p w14:paraId="46D175EB">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1.</w:t>
      </w:r>
      <w:r>
        <w:rPr>
          <w:rFonts w:hint="eastAsia" w:ascii="宋体" w:hAnsi="宋体" w:cs="宋体"/>
          <w:color w:val="000000" w:themeColor="text1"/>
          <w:sz w:val="21"/>
          <w:szCs w:val="21"/>
          <w:highlight w:val="none"/>
          <w14:textFill>
            <w14:solidFill>
              <w14:schemeClr w14:val="tx1"/>
            </w14:solidFill>
          </w14:textFill>
        </w:rPr>
        <w:t>甲方提供的施工图纸和作法说明，应符合《中华人民共和国消防条例》和有关防火设计规范。</w:t>
      </w:r>
    </w:p>
    <w:p w14:paraId="25EFC5B0">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2.</w:t>
      </w:r>
      <w:r>
        <w:rPr>
          <w:rFonts w:hint="eastAsia" w:ascii="宋体" w:hAnsi="宋体" w:cs="宋体"/>
          <w:color w:val="000000" w:themeColor="text1"/>
          <w:sz w:val="21"/>
          <w:szCs w:val="21"/>
          <w:highlight w:val="none"/>
          <w14:textFill>
            <w14:solidFill>
              <w14:schemeClr w14:val="tx1"/>
            </w14:solidFill>
          </w14:textFill>
        </w:rPr>
        <w:t>乙方在施工期间应严格遵守相关行业施工规范和其它相关的法规、规范。在路面洗刨、摊铺、碾压等施工过程中注意机械和施工人员安全，施工车辆应服从安全管理员和甲方管理人员的协调和指挥，在道沿石装卸、运输及安装过程中，严防人员磕碰、砸伤等事故的发生。</w:t>
      </w:r>
    </w:p>
    <w:p w14:paraId="368C2F3B">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3.</w:t>
      </w:r>
      <w:r>
        <w:rPr>
          <w:rFonts w:hint="eastAsia" w:ascii="宋体" w:hAnsi="宋体" w:cs="宋体"/>
          <w:color w:val="000000" w:themeColor="text1"/>
          <w:sz w:val="21"/>
          <w:szCs w:val="21"/>
          <w:highlight w:val="none"/>
          <w14:textFill>
            <w14:solidFill>
              <w14:schemeClr w14:val="tx1"/>
            </w14:solidFill>
          </w14:textFill>
        </w:rPr>
        <w:t>由于乙方在施工生产过程中违反有关安全操作规程、消防条例，导致发生安全或火灾事故，乙方应承担由此引发的一切经济损失。</w:t>
      </w:r>
    </w:p>
    <w:p w14:paraId="570DA9DB">
      <w:pPr>
        <w:numPr>
          <w:ins w:id="6" w:author="PMLAWYER" w:date="2017-10-16T09:31:00Z"/>
        </w:numPr>
        <w:spacing w:line="360" w:lineRule="auto"/>
        <w:ind w:left="600"/>
        <w:rPr>
          <w:rFonts w:ascii="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九、保修</w:t>
      </w:r>
    </w:p>
    <w:p w14:paraId="44BC363C">
      <w:pPr>
        <w:tabs>
          <w:tab w:val="left" w:pos="855"/>
          <w:tab w:val="left" w:pos="1800"/>
        </w:tabs>
        <w:spacing w:line="360" w:lineRule="auto"/>
        <w:ind w:firstLine="420" w:firstLineChars="200"/>
        <w:rPr>
          <w:rFonts w:ascii="宋体" w:hAnsi="宋体" w:cs="宋体"/>
          <w:color w:val="000000" w:themeColor="text1"/>
          <w:sz w:val="21"/>
          <w:szCs w:val="21"/>
          <w:highlight w:val="none"/>
          <w14:textFill>
            <w14:solidFill>
              <w14:schemeClr w14:val="tx1"/>
            </w14:solidFill>
          </w14:textFill>
        </w:rPr>
      </w:pPr>
      <w:r>
        <w:rPr>
          <w:rFonts w:hint="default" w:ascii="宋体" w:hAnsi="宋体" w:cs="宋体"/>
          <w:color w:val="000000" w:themeColor="text1"/>
          <w:sz w:val="21"/>
          <w:szCs w:val="21"/>
          <w:highlight w:val="none"/>
          <w14:textFill>
            <w14:solidFill>
              <w14:schemeClr w14:val="tx1"/>
            </w14:solidFill>
          </w14:textFill>
        </w:rPr>
        <w:t>1.本工程外立面主体施工的质量保修期为2年，外立面防水相关部位的质量保修期为5年，质量保修期自工程竣工验收合格之日起计算。</w:t>
      </w:r>
    </w:p>
    <w:p w14:paraId="25FA8C88">
      <w:pPr>
        <w:tabs>
          <w:tab w:val="left" w:pos="855"/>
          <w:tab w:val="left" w:pos="1800"/>
        </w:tabs>
        <w:spacing w:line="360" w:lineRule="auto"/>
        <w:ind w:firstLine="420" w:firstLineChars="200"/>
        <w:rPr>
          <w:rFonts w:hint="default" w:ascii="宋体" w:hAnsi="宋体" w:cs="宋体"/>
          <w:color w:val="000000" w:themeColor="text1"/>
          <w:sz w:val="21"/>
          <w:szCs w:val="21"/>
          <w:highlight w:val="none"/>
          <w14:textFill>
            <w14:solidFill>
              <w14:schemeClr w14:val="tx1"/>
            </w14:solidFill>
          </w14:textFill>
        </w:rPr>
      </w:pPr>
      <w:r>
        <w:rPr>
          <w:rFonts w:hint="default" w:ascii="宋体" w:hAnsi="宋体" w:cs="宋体"/>
          <w:color w:val="000000" w:themeColor="text1"/>
          <w:sz w:val="21"/>
          <w:szCs w:val="21"/>
          <w:highlight w:val="none"/>
          <w14:textFill>
            <w14:solidFill>
              <w14:schemeClr w14:val="tx1"/>
            </w14:solidFill>
          </w14:textFill>
        </w:rPr>
        <w:t>2.质量保修期内，如出现质量缺陷，乙方应在接到甲方维修通知后按约定时限（即时响应，4小时内到达现场，24小时内解决）派人无偿维修；如乙方逾期未到或维修不力，甲方有权委托第三方维修，所产生的一切费用及工程质量风险由乙方承担，甲方有权从应付乙方的合同款或质量保证金中扣除，不足部分由乙方另行支付。</w:t>
      </w:r>
    </w:p>
    <w:p w14:paraId="503D037E">
      <w:pPr>
        <w:tabs>
          <w:tab w:val="left" w:pos="855"/>
          <w:tab w:val="left" w:pos="1800"/>
        </w:tabs>
        <w:spacing w:line="360" w:lineRule="auto"/>
        <w:ind w:firstLine="420" w:firstLineChars="200"/>
        <w:rPr>
          <w:rFonts w:hint="default" w:ascii="宋体" w:hAnsi="宋体" w:cs="宋体"/>
          <w:color w:val="000000" w:themeColor="text1"/>
          <w:sz w:val="21"/>
          <w:szCs w:val="21"/>
          <w:highlight w:val="none"/>
          <w14:textFill>
            <w14:solidFill>
              <w14:schemeClr w14:val="tx1"/>
            </w14:solidFill>
          </w14:textFill>
        </w:rPr>
      </w:pPr>
      <w:r>
        <w:rPr>
          <w:rFonts w:hint="default" w:ascii="宋体" w:hAnsi="宋体" w:cs="宋体"/>
          <w:color w:val="000000" w:themeColor="text1"/>
          <w:sz w:val="21"/>
          <w:szCs w:val="21"/>
          <w:highlight w:val="none"/>
          <w14:textFill>
            <w14:solidFill>
              <w14:schemeClr w14:val="tx1"/>
            </w14:solidFill>
          </w14:textFill>
        </w:rPr>
        <w:t>3.质量保证金（即缺陷责任期保证金）按工程结算价款的3%预留，缺陷责任期（2年）届满且无质量问题后，甲方应于15日内将质量保证金一次性无息退还乙方。质量保证金的退还，不免除乙方在质量保修期内应承担的保修责任。</w:t>
      </w:r>
    </w:p>
    <w:p w14:paraId="4E7472C9">
      <w:pPr>
        <w:spacing w:line="360" w:lineRule="auto"/>
        <w:ind w:left="600"/>
        <w:rPr>
          <w:rFonts w:ascii="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十、奖励和违约责任</w:t>
      </w:r>
    </w:p>
    <w:p w14:paraId="6A69FFD0">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1.</w:t>
      </w:r>
      <w:r>
        <w:rPr>
          <w:rFonts w:hint="eastAsia" w:ascii="宋体" w:hAnsi="宋体" w:cs="宋体"/>
          <w:color w:val="000000" w:themeColor="text1"/>
          <w:sz w:val="21"/>
          <w:szCs w:val="21"/>
          <w:highlight w:val="none"/>
          <w14:textFill>
            <w14:solidFill>
              <w14:schemeClr w14:val="tx1"/>
            </w14:solidFill>
          </w14:textFill>
        </w:rPr>
        <w:t>由于乙方原因，逾期竣工，每逾期一天，乙方按合同总价的万分之五向甲方支付违约金；逾期超过</w:t>
      </w:r>
      <w:r>
        <w:rPr>
          <w:rFonts w:ascii="宋体" w:hAnsi="宋体" w:cs="宋体"/>
          <w:color w:val="000000" w:themeColor="text1"/>
          <w:sz w:val="21"/>
          <w:szCs w:val="21"/>
          <w:highlight w:val="none"/>
          <w14:textFill>
            <w14:solidFill>
              <w14:schemeClr w14:val="tx1"/>
            </w14:solidFill>
          </w14:textFill>
        </w:rPr>
        <w:t>20</w:t>
      </w:r>
      <w:r>
        <w:rPr>
          <w:rFonts w:hint="eastAsia" w:ascii="宋体" w:hAnsi="宋体" w:cs="宋体"/>
          <w:color w:val="000000" w:themeColor="text1"/>
          <w:sz w:val="21"/>
          <w:szCs w:val="21"/>
          <w:highlight w:val="none"/>
          <w14:textFill>
            <w14:solidFill>
              <w14:schemeClr w14:val="tx1"/>
            </w14:solidFill>
          </w14:textFill>
        </w:rPr>
        <w:t>天，乙方除承担前述违约责任外，甲方享有单方解除合同的权利，且合同解除时，乙方应按合同总价的</w:t>
      </w:r>
      <w:r>
        <w:rPr>
          <w:rFonts w:ascii="宋体" w:hAnsi="宋体" w:cs="宋体"/>
          <w:color w:val="000000" w:themeColor="text1"/>
          <w:sz w:val="21"/>
          <w:szCs w:val="21"/>
          <w:highlight w:val="none"/>
          <w14:textFill>
            <w14:solidFill>
              <w14:schemeClr w14:val="tx1"/>
            </w14:solidFill>
          </w14:textFill>
        </w:rPr>
        <w:t>20%</w:t>
      </w:r>
      <w:r>
        <w:rPr>
          <w:rFonts w:hint="eastAsia" w:ascii="宋体" w:hAnsi="宋体" w:cs="宋体"/>
          <w:color w:val="000000" w:themeColor="text1"/>
          <w:sz w:val="21"/>
          <w:szCs w:val="21"/>
          <w:highlight w:val="none"/>
          <w14:textFill>
            <w14:solidFill>
              <w14:schemeClr w14:val="tx1"/>
            </w14:solidFill>
          </w14:textFill>
        </w:rPr>
        <w:t>向甲方支付违约金。</w:t>
      </w:r>
    </w:p>
    <w:p w14:paraId="18CDAF0F">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2.</w:t>
      </w:r>
      <w:r>
        <w:rPr>
          <w:rFonts w:hint="eastAsia" w:ascii="宋体" w:hAnsi="宋体" w:cs="宋体"/>
          <w:color w:val="000000" w:themeColor="text1"/>
          <w:sz w:val="21"/>
          <w:szCs w:val="21"/>
          <w:highlight w:val="none"/>
          <w14:textFill>
            <w14:solidFill>
              <w14:schemeClr w14:val="tx1"/>
            </w14:solidFill>
          </w14:textFill>
        </w:rPr>
        <w:t>乙方应妥善保护甲方交付的</w:t>
      </w:r>
      <w:r>
        <w:rPr>
          <w:rFonts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等设施，如造成损失，应照价赔偿。</w:t>
      </w:r>
    </w:p>
    <w:p w14:paraId="037C201B">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3.</w:t>
      </w:r>
      <w:r>
        <w:rPr>
          <w:rFonts w:hint="eastAsia" w:ascii="宋体" w:hAnsi="宋体" w:cs="宋体"/>
          <w:color w:val="000000" w:themeColor="text1"/>
          <w:sz w:val="21"/>
          <w:szCs w:val="21"/>
          <w:highlight w:val="none"/>
          <w14:textFill>
            <w14:solidFill>
              <w14:schemeClr w14:val="tx1"/>
            </w14:solidFill>
          </w14:textFill>
        </w:rPr>
        <w:t>未办理验收手续，甲方因自身原因提前使用或擅自动用，造成损失由甲方负责。</w:t>
      </w:r>
    </w:p>
    <w:p w14:paraId="3F94F22B">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4.</w:t>
      </w:r>
      <w:r>
        <w:rPr>
          <w:rFonts w:hint="eastAsia" w:ascii="宋体" w:hAnsi="宋体" w:cs="宋体"/>
          <w:color w:val="000000" w:themeColor="text1"/>
          <w:sz w:val="21"/>
          <w:szCs w:val="21"/>
          <w:highlight w:val="none"/>
          <w14:textFill>
            <w14:solidFill>
              <w14:schemeClr w14:val="tx1"/>
            </w14:solidFill>
          </w14:textFill>
        </w:rPr>
        <w:t>未经甲方同意，乙方擅自拆改原有建筑物的结构或设备管线，由此发生的损失或事故（包括罚款），由乙方负责并承担损失。</w:t>
      </w:r>
    </w:p>
    <w:p w14:paraId="3D20196D">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5.</w:t>
      </w:r>
      <w:r>
        <w:rPr>
          <w:rFonts w:hint="eastAsia" w:ascii="宋体" w:hAnsi="宋体" w:cs="宋体"/>
          <w:color w:val="000000" w:themeColor="text1"/>
          <w:sz w:val="21"/>
          <w:szCs w:val="21"/>
          <w:highlight w:val="none"/>
          <w14:textFill>
            <w14:solidFill>
              <w14:schemeClr w14:val="tx1"/>
            </w14:solidFill>
          </w14:textFill>
        </w:rPr>
        <w:t>除本合同约定外，因一方原因造成合同无法继续履行时，任何一方有权书面通知对方，办理合同终止协议，责任一方按合同总价</w:t>
      </w:r>
      <w:r>
        <w:rPr>
          <w:rFonts w:ascii="宋体" w:hAnsi="宋体" w:cs="宋体"/>
          <w:color w:val="000000" w:themeColor="text1"/>
          <w:sz w:val="21"/>
          <w:szCs w:val="21"/>
          <w:highlight w:val="none"/>
          <w14:textFill>
            <w14:solidFill>
              <w14:schemeClr w14:val="tx1"/>
            </w14:solidFill>
          </w14:textFill>
        </w:rPr>
        <w:t>20%</w:t>
      </w:r>
      <w:r>
        <w:rPr>
          <w:rFonts w:hint="eastAsia" w:ascii="宋体" w:hAnsi="宋体" w:cs="宋体"/>
          <w:color w:val="000000" w:themeColor="text1"/>
          <w:sz w:val="21"/>
          <w:szCs w:val="21"/>
          <w:highlight w:val="none"/>
          <w14:textFill>
            <w14:solidFill>
              <w14:schemeClr w14:val="tx1"/>
            </w14:solidFill>
          </w14:textFill>
        </w:rPr>
        <w:t>向对方支付违约金，并由责任方赔偿对方由此造成的经济损失。</w:t>
      </w:r>
    </w:p>
    <w:p w14:paraId="009F3969">
      <w:pPr>
        <w:numPr>
          <w:ins w:id="7" w:author="PMLAWYER" w:date="2017-10-16T09:22:00Z"/>
        </w:num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6</w:t>
      </w:r>
      <w:r>
        <w:rPr>
          <w:rFonts w:ascii="宋体" w:hAnsi="宋体" w:cs="宋体"/>
          <w:color w:val="000000" w:themeColor="text1"/>
          <w:sz w:val="21"/>
          <w:szCs w:val="21"/>
          <w:highlight w:val="none"/>
          <w14:textFill>
            <w14:solidFill>
              <w14:schemeClr w14:val="tx1"/>
            </w14:solidFill>
          </w14:textFill>
        </w:rPr>
        <w:t>.</w:t>
      </w:r>
      <w:r>
        <w:rPr>
          <w:rFonts w:hint="eastAsia" w:ascii="宋体" w:hAnsi="宋体" w:cs="宋体"/>
          <w:color w:val="000000" w:themeColor="text1"/>
          <w:sz w:val="21"/>
          <w:szCs w:val="21"/>
          <w:highlight w:val="none"/>
          <w14:textFill>
            <w14:solidFill>
              <w14:schemeClr w14:val="tx1"/>
            </w14:solidFill>
          </w14:textFill>
        </w:rPr>
        <w:t>施工中或竣工后，如因乙方拖欠工人工资、劳务分包商款项等致第三人向甲方追讨欠款的，均属于乙方违约，甲方有权从应付乙方的合同款中代乙方向第三方支付，且甲方有权采取终止合同，向乙方索赔的措施。</w:t>
      </w:r>
    </w:p>
    <w:p w14:paraId="0B45C4E3">
      <w:pPr>
        <w:spacing w:line="360" w:lineRule="auto"/>
        <w:ind w:left="600"/>
        <w:rPr>
          <w:rFonts w:ascii="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十一、争议或纠纷处理</w:t>
      </w:r>
    </w:p>
    <w:p w14:paraId="09669C12">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1.</w:t>
      </w:r>
      <w:r>
        <w:rPr>
          <w:rFonts w:hint="eastAsia" w:ascii="宋体" w:hAnsi="宋体" w:cs="宋体"/>
          <w:color w:val="000000" w:themeColor="text1"/>
          <w:sz w:val="21"/>
          <w:szCs w:val="21"/>
          <w:highlight w:val="none"/>
          <w14:textFill>
            <w14:solidFill>
              <w14:schemeClr w14:val="tx1"/>
            </w14:solidFill>
          </w14:textFill>
        </w:rPr>
        <w:t>本合同在履行期间，双方发生争议时，在不影响工程进度的前提下，双方采取协商解决或请有关部门进行调解。</w:t>
      </w:r>
    </w:p>
    <w:p w14:paraId="1017E1D6">
      <w:pPr>
        <w:keepNext w:val="0"/>
        <w:keepLines w:val="0"/>
        <w:pageBreakBefore w:val="0"/>
        <w:widowControl w:val="0"/>
        <w:wordWrap/>
        <w:overflowPunct/>
        <w:topLinePunct w:val="0"/>
        <w:bidi w:val="0"/>
        <w:spacing w:line="520" w:lineRule="exact"/>
        <w:ind w:right="0" w:rightChars="0" w:firstLine="367" w:firstLineChars="175"/>
        <w:textAlignment w:val="auto"/>
        <w:outlineLvl w:val="9"/>
        <w:rPr>
          <w:rFonts w:ascii="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2.</w:t>
      </w:r>
      <w:r>
        <w:rPr>
          <w:rFonts w:hint="eastAsia" w:ascii="宋体" w:hAnsi="宋体" w:cs="宋体"/>
          <w:color w:val="000000" w:themeColor="text1"/>
          <w:sz w:val="21"/>
          <w:szCs w:val="21"/>
          <w:highlight w:val="none"/>
          <w14:textFill>
            <w14:solidFill>
              <w14:schemeClr w14:val="tx1"/>
            </w14:solidFill>
          </w14:textFill>
        </w:rPr>
        <w:t>当事人不愿通过协商、调解解决或者协商、调解不成时，</w:t>
      </w:r>
      <w:r>
        <w:rPr>
          <w:rFonts w:hint="eastAsia" w:ascii="宋体" w:hAnsi="宋体"/>
          <w:color w:val="000000" w:themeColor="text1"/>
          <w:sz w:val="21"/>
          <w:szCs w:val="21"/>
          <w:highlight w:val="none"/>
          <w14:textFill>
            <w14:solidFill>
              <w14:schemeClr w14:val="tx1"/>
            </w14:solidFill>
          </w14:textFill>
        </w:rPr>
        <w:t>协商不成的，按下列</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种方式解决；</w:t>
      </w:r>
    </w:p>
    <w:p w14:paraId="4D16FF5B">
      <w:pPr>
        <w:keepNext w:val="0"/>
        <w:keepLines w:val="0"/>
        <w:pageBreakBefore w:val="0"/>
        <w:widowControl w:val="0"/>
        <w:wordWrap/>
        <w:overflowPunct/>
        <w:topLinePunct w:val="0"/>
        <w:bidi w:val="0"/>
        <w:spacing w:line="520" w:lineRule="exact"/>
        <w:ind w:right="0" w:rightChars="0" w:firstLine="367" w:firstLineChars="175"/>
        <w:textAlignment w:val="auto"/>
        <w:outlineLvl w:val="9"/>
        <w:rPr>
          <w:rFonts w:asci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（一）向甲方注册地所在人民法院提起诉讼；</w:t>
      </w:r>
    </w:p>
    <w:p w14:paraId="5952DFEA">
      <w:pPr>
        <w:keepNext w:val="0"/>
        <w:keepLines w:val="0"/>
        <w:pageBreakBefore w:val="0"/>
        <w:widowControl w:val="0"/>
        <w:wordWrap/>
        <w:overflowPunct/>
        <w:topLinePunct w:val="0"/>
        <w:bidi w:val="0"/>
        <w:spacing w:line="520" w:lineRule="exact"/>
        <w:ind w:right="0" w:rightChars="0" w:firstLine="367" w:firstLineChars="175"/>
        <w:textAlignment w:val="auto"/>
        <w:outlineLvl w:val="9"/>
        <w:rPr>
          <w:rFonts w:asci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（二）提交</w:t>
      </w:r>
      <w:r>
        <w:rPr>
          <w:rFonts w:hint="eastAsia" w:ascii="宋体" w:hAnsi="宋体"/>
          <w:b/>
          <w:color w:val="000000" w:themeColor="text1"/>
          <w:sz w:val="21"/>
          <w:szCs w:val="21"/>
          <w:highlight w:val="none"/>
          <w:u w:val="single"/>
          <w14:textFill>
            <w14:solidFill>
              <w14:schemeClr w14:val="tx1"/>
            </w14:solidFill>
          </w14:textFill>
        </w:rPr>
        <w:t>西安</w:t>
      </w:r>
      <w:r>
        <w:rPr>
          <w:rFonts w:hint="eastAsia" w:ascii="宋体" w:hAnsi="宋体"/>
          <w:color w:val="000000" w:themeColor="text1"/>
          <w:sz w:val="21"/>
          <w:szCs w:val="21"/>
          <w:highlight w:val="none"/>
          <w14:textFill>
            <w14:solidFill>
              <w14:schemeClr w14:val="tx1"/>
            </w14:solidFill>
          </w14:textFill>
        </w:rPr>
        <w:t>仲裁委员会仲裁。</w:t>
      </w:r>
    </w:p>
    <w:p w14:paraId="04B13481">
      <w:pPr>
        <w:spacing w:line="360" w:lineRule="auto"/>
        <w:ind w:left="600"/>
        <w:rPr>
          <w:rFonts w:ascii="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十二、其它约定</w:t>
      </w:r>
    </w:p>
    <w:p w14:paraId="501B439A">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1.</w:t>
      </w:r>
      <w:r>
        <w:rPr>
          <w:rFonts w:hint="eastAsia" w:ascii="宋体" w:hAnsi="宋体" w:cs="宋体"/>
          <w:color w:val="000000" w:themeColor="text1"/>
          <w:sz w:val="21"/>
          <w:szCs w:val="21"/>
          <w:highlight w:val="none"/>
          <w14:textFill>
            <w14:solidFill>
              <w14:schemeClr w14:val="tx1"/>
            </w14:solidFill>
          </w14:textFill>
        </w:rPr>
        <w:t>乙方在投标中关于投标报价、投标质量等级、合同主要条款的承诺及补充意见等内容，将作为中标条件列入合同，招标文件及答疑纪要作为合同附件，具有同等法律效力。</w:t>
      </w:r>
    </w:p>
    <w:p w14:paraId="5350157A">
      <w:pPr>
        <w:tabs>
          <w:tab w:val="left" w:pos="855"/>
          <w:tab w:val="left" w:pos="1800"/>
        </w:tabs>
        <w:spacing w:line="360" w:lineRule="auto"/>
        <w:ind w:firstLine="420" w:firstLineChars="200"/>
        <w:rPr>
          <w:rFonts w:ascii="宋体" w:cs="宋体"/>
          <w:color w:val="000000" w:themeColor="text1"/>
          <w:sz w:val="21"/>
          <w:szCs w:val="21"/>
          <w:highlight w:val="none"/>
          <w14:textFill>
            <w14:solidFill>
              <w14:schemeClr w14:val="tx1"/>
            </w14:solidFill>
          </w14:textFill>
        </w:rPr>
      </w:pPr>
      <w:r>
        <w:rPr>
          <w:rFonts w:ascii="宋体" w:hAnsi="宋体" w:cs="宋体"/>
          <w:color w:val="000000" w:themeColor="text1"/>
          <w:sz w:val="21"/>
          <w:szCs w:val="21"/>
          <w:highlight w:val="none"/>
          <w14:textFill>
            <w14:solidFill>
              <w14:schemeClr w14:val="tx1"/>
            </w14:solidFill>
          </w14:textFill>
        </w:rPr>
        <w:t>2.</w:t>
      </w:r>
      <w:r>
        <w:rPr>
          <w:rFonts w:hint="eastAsia" w:ascii="宋体" w:hAnsi="宋体" w:cs="宋体"/>
          <w:color w:val="000000" w:themeColor="text1"/>
          <w:sz w:val="21"/>
          <w:szCs w:val="21"/>
          <w:highlight w:val="none"/>
          <w14:textFill>
            <w14:solidFill>
              <w14:schemeClr w14:val="tx1"/>
            </w14:solidFill>
          </w14:textFill>
        </w:rPr>
        <w:t>本合同自双方签字盖章之日起生效，本合同一式六份，甲方持</w:t>
      </w:r>
      <w:r>
        <w:rPr>
          <w:rFonts w:ascii="宋体" w:hAnsi="宋体" w:cs="宋体"/>
          <w:color w:val="000000" w:themeColor="text1"/>
          <w:sz w:val="21"/>
          <w:szCs w:val="21"/>
          <w:highlight w:val="none"/>
          <w14:textFill>
            <w14:solidFill>
              <w14:schemeClr w14:val="tx1"/>
            </w14:solidFill>
          </w14:textFill>
        </w:rPr>
        <w:t>4</w:t>
      </w:r>
      <w:r>
        <w:rPr>
          <w:rFonts w:hint="eastAsia" w:ascii="宋体" w:hAnsi="宋体" w:cs="宋体"/>
          <w:color w:val="000000" w:themeColor="text1"/>
          <w:sz w:val="21"/>
          <w:szCs w:val="21"/>
          <w:highlight w:val="none"/>
          <w14:textFill>
            <w14:solidFill>
              <w14:schemeClr w14:val="tx1"/>
            </w14:solidFill>
          </w14:textFill>
        </w:rPr>
        <w:t>份，乙方持</w:t>
      </w:r>
      <w:r>
        <w:rPr>
          <w:rFonts w:ascii="宋体" w:hAnsi="宋体" w:cs="宋体"/>
          <w:color w:val="000000" w:themeColor="text1"/>
          <w:sz w:val="21"/>
          <w:szCs w:val="21"/>
          <w:highlight w:val="none"/>
          <w14:textFill>
            <w14:solidFill>
              <w14:schemeClr w14:val="tx1"/>
            </w14:solidFill>
          </w14:textFill>
        </w:rPr>
        <w:t>2</w:t>
      </w:r>
      <w:r>
        <w:rPr>
          <w:rFonts w:hint="eastAsia" w:ascii="宋体" w:hAnsi="宋体" w:cs="宋体"/>
          <w:color w:val="000000" w:themeColor="text1"/>
          <w:sz w:val="21"/>
          <w:szCs w:val="21"/>
          <w:highlight w:val="none"/>
          <w14:textFill>
            <w14:solidFill>
              <w14:schemeClr w14:val="tx1"/>
            </w14:solidFill>
          </w14:textFill>
        </w:rPr>
        <w:t>份。</w:t>
      </w:r>
    </w:p>
    <w:tbl>
      <w:tblPr>
        <w:tblStyle w:val="3"/>
        <w:tblW w:w="8521"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3526"/>
        <w:gridCol w:w="4995"/>
      </w:tblGrid>
      <w:tr w14:paraId="737DEFC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3526" w:type="dxa"/>
            <w:tcBorders>
              <w:top w:val="nil"/>
              <w:left w:val="nil"/>
              <w:bottom w:val="nil"/>
              <w:right w:val="nil"/>
            </w:tcBorders>
            <w:tcMar>
              <w:left w:w="108" w:type="dxa"/>
              <w:right w:w="108" w:type="dxa"/>
            </w:tcMar>
          </w:tcPr>
          <w:p w14:paraId="6B91B081">
            <w:pPr>
              <w:autoSpaceDE w:val="0"/>
              <w:autoSpaceDN w:val="0"/>
              <w:adjustRightInd w:val="0"/>
              <w:snapToGrid w:val="0"/>
              <w:spacing w:line="360" w:lineRule="auto"/>
              <w:ind w:right="118" w:rightChars="56"/>
              <w:rPr>
                <w:rFonts w:ascii="宋体"/>
                <w:color w:val="000000" w:themeColor="text1"/>
                <w:sz w:val="21"/>
                <w:szCs w:val="21"/>
                <w:highlight w:val="none"/>
                <w14:textFill>
                  <w14:solidFill>
                    <w14:schemeClr w14:val="tx1"/>
                  </w14:solidFill>
                </w14:textFill>
              </w:rPr>
            </w:pPr>
            <w:r>
              <w:rPr>
                <w:rFonts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甲方单位名称（盖章）</w:t>
            </w:r>
            <w:r>
              <w:rPr>
                <w:rFonts w:ascii="宋体" w:hAnsi="宋体"/>
                <w:color w:val="000000" w:themeColor="text1"/>
                <w:sz w:val="21"/>
                <w:szCs w:val="21"/>
                <w:highlight w:val="none"/>
                <w14:textFill>
                  <w14:solidFill>
                    <w14:schemeClr w14:val="tx1"/>
                  </w14:solidFill>
                </w14:textFill>
              </w:rPr>
              <w:t>:</w:t>
            </w:r>
          </w:p>
          <w:p w14:paraId="3661D12D">
            <w:pPr>
              <w:autoSpaceDE w:val="0"/>
              <w:autoSpaceDN w:val="0"/>
              <w:adjustRightInd w:val="0"/>
              <w:snapToGrid w:val="0"/>
              <w:spacing w:line="360" w:lineRule="auto"/>
              <w:ind w:left="235" w:leftChars="112" w:right="118" w:rightChars="56" w:firstLine="105" w:firstLineChars="50"/>
              <w:rPr>
                <w:rFonts w:ascii="宋体"/>
                <w:color w:val="000000" w:themeColor="text1"/>
                <w:sz w:val="21"/>
                <w:szCs w:val="21"/>
                <w:highlight w:val="none"/>
                <w14:textFill>
                  <w14:solidFill>
                    <w14:schemeClr w14:val="tx1"/>
                  </w14:solidFill>
                </w14:textFill>
              </w:rPr>
            </w:pPr>
          </w:p>
          <w:p w14:paraId="59F6082E">
            <w:pPr>
              <w:autoSpaceDE w:val="0"/>
              <w:autoSpaceDN w:val="0"/>
              <w:adjustRightInd w:val="0"/>
              <w:snapToGrid w:val="0"/>
              <w:spacing w:line="360" w:lineRule="auto"/>
              <w:ind w:left="235" w:leftChars="112" w:right="118" w:rightChars="56" w:firstLine="105" w:firstLineChars="50"/>
              <w:rPr>
                <w:rFonts w:ascii="宋体"/>
                <w:color w:val="000000" w:themeColor="text1"/>
                <w:sz w:val="21"/>
                <w:szCs w:val="21"/>
                <w:highlight w:val="none"/>
                <w14:textFill>
                  <w14:solidFill>
                    <w14:schemeClr w14:val="tx1"/>
                  </w14:solidFill>
                </w14:textFill>
              </w:rPr>
            </w:pPr>
          </w:p>
          <w:p w14:paraId="1E9E39C9">
            <w:pPr>
              <w:autoSpaceDE w:val="0"/>
              <w:autoSpaceDN w:val="0"/>
              <w:adjustRightInd w:val="0"/>
              <w:snapToGrid w:val="0"/>
              <w:spacing w:line="360" w:lineRule="auto"/>
              <w:ind w:right="118" w:rightChars="56"/>
              <w:rPr>
                <w:rFonts w:ascii="宋体"/>
                <w:color w:val="000000" w:themeColor="text1"/>
                <w:sz w:val="21"/>
                <w:szCs w:val="21"/>
                <w:highlight w:val="none"/>
                <w14:textFill>
                  <w14:solidFill>
                    <w14:schemeClr w14:val="tx1"/>
                  </w14:solidFill>
                </w14:textFill>
              </w:rPr>
            </w:pPr>
            <w:r>
              <w:rPr>
                <w:rFonts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法人或法人委托人</w:t>
            </w:r>
          </w:p>
          <w:p w14:paraId="77C74BBB">
            <w:pPr>
              <w:autoSpaceDE w:val="0"/>
              <w:autoSpaceDN w:val="0"/>
              <w:adjustRightInd w:val="0"/>
              <w:snapToGrid w:val="0"/>
              <w:spacing w:line="360" w:lineRule="auto"/>
              <w:ind w:left="235" w:leftChars="112" w:right="118" w:rightChars="56" w:firstLine="105" w:firstLineChars="50"/>
              <w:rPr>
                <w:rFonts w:asci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（签字）：</w:t>
            </w:r>
            <w:r>
              <w:rPr>
                <w:rFonts w:ascii="宋体" w:hAnsi="宋体"/>
                <w:color w:val="000000" w:themeColor="text1"/>
                <w:sz w:val="21"/>
                <w:szCs w:val="21"/>
                <w:highlight w:val="none"/>
                <w14:textFill>
                  <w14:solidFill>
                    <w14:schemeClr w14:val="tx1"/>
                  </w14:solidFill>
                </w14:textFill>
              </w:rPr>
              <w:t xml:space="preserve">                        </w:t>
            </w:r>
          </w:p>
          <w:p w14:paraId="3A61BA18">
            <w:pPr>
              <w:autoSpaceDE w:val="0"/>
              <w:autoSpaceDN w:val="0"/>
              <w:adjustRightInd w:val="0"/>
              <w:snapToGrid w:val="0"/>
              <w:spacing w:line="360" w:lineRule="auto"/>
              <w:ind w:left="235" w:leftChars="112" w:right="118" w:rightChars="56" w:firstLine="105" w:firstLineChars="50"/>
              <w:rPr>
                <w:rFonts w:ascii="宋体"/>
                <w:color w:val="000000" w:themeColor="text1"/>
                <w:sz w:val="21"/>
                <w:szCs w:val="21"/>
                <w:highlight w:val="none"/>
                <w14:textFill>
                  <w14:solidFill>
                    <w14:schemeClr w14:val="tx1"/>
                  </w14:solidFill>
                </w14:textFill>
              </w:rPr>
            </w:pPr>
          </w:p>
          <w:p w14:paraId="7A58EA67">
            <w:pPr>
              <w:autoSpaceDE w:val="0"/>
              <w:autoSpaceDN w:val="0"/>
              <w:adjustRightInd w:val="0"/>
              <w:snapToGrid w:val="0"/>
              <w:spacing w:line="360" w:lineRule="auto"/>
              <w:ind w:left="235" w:leftChars="112" w:right="118" w:rightChars="56" w:firstLine="105" w:firstLineChars="50"/>
              <w:rPr>
                <w:rFonts w:ascii="宋体"/>
                <w:color w:val="000000" w:themeColor="text1"/>
                <w:sz w:val="21"/>
                <w:szCs w:val="21"/>
                <w:highlight w:val="none"/>
                <w14:textFill>
                  <w14:solidFill>
                    <w14:schemeClr w14:val="tx1"/>
                  </w14:solidFill>
                </w14:textFill>
              </w:rPr>
            </w:pPr>
            <w:r>
              <w:rPr>
                <w:rFonts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年</w:t>
            </w:r>
            <w:r>
              <w:rPr>
                <w:rFonts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tc>
        <w:tc>
          <w:tcPr>
            <w:tcW w:w="4995" w:type="dxa"/>
            <w:tcBorders>
              <w:top w:val="nil"/>
              <w:left w:val="nil"/>
              <w:bottom w:val="nil"/>
              <w:right w:val="nil"/>
            </w:tcBorders>
            <w:tcMar>
              <w:left w:w="108" w:type="dxa"/>
              <w:right w:w="108" w:type="dxa"/>
            </w:tcMar>
          </w:tcPr>
          <w:p w14:paraId="203A5341">
            <w:pPr>
              <w:autoSpaceDE w:val="0"/>
              <w:autoSpaceDN w:val="0"/>
              <w:adjustRightInd w:val="0"/>
              <w:snapToGrid w:val="0"/>
              <w:spacing w:line="360" w:lineRule="auto"/>
              <w:ind w:left="235" w:leftChars="112" w:right="118" w:rightChars="56" w:firstLine="105" w:firstLineChars="50"/>
              <w:rPr>
                <w:rFonts w:asci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乙方单位名称（盖章）</w:t>
            </w:r>
            <w:r>
              <w:rPr>
                <w:rFonts w:ascii="宋体" w:hAnsi="宋体"/>
                <w:color w:val="000000" w:themeColor="text1"/>
                <w:sz w:val="21"/>
                <w:szCs w:val="21"/>
                <w:highlight w:val="none"/>
                <w14:textFill>
                  <w14:solidFill>
                    <w14:schemeClr w14:val="tx1"/>
                  </w14:solidFill>
                </w14:textFill>
              </w:rPr>
              <w:t>:</w:t>
            </w:r>
          </w:p>
          <w:p w14:paraId="55E1637B">
            <w:pPr>
              <w:autoSpaceDE w:val="0"/>
              <w:autoSpaceDN w:val="0"/>
              <w:adjustRightInd w:val="0"/>
              <w:snapToGrid w:val="0"/>
              <w:spacing w:line="360" w:lineRule="auto"/>
              <w:ind w:left="235" w:leftChars="112" w:right="118" w:rightChars="56" w:firstLine="105" w:firstLineChars="50"/>
              <w:rPr>
                <w:rFonts w:ascii="宋体"/>
                <w:color w:val="000000" w:themeColor="text1"/>
                <w:sz w:val="21"/>
                <w:szCs w:val="21"/>
                <w:highlight w:val="none"/>
                <w14:textFill>
                  <w14:solidFill>
                    <w14:schemeClr w14:val="tx1"/>
                  </w14:solidFill>
                </w14:textFill>
              </w:rPr>
            </w:pPr>
          </w:p>
          <w:p w14:paraId="215FB202">
            <w:pPr>
              <w:autoSpaceDE w:val="0"/>
              <w:autoSpaceDN w:val="0"/>
              <w:adjustRightInd w:val="0"/>
              <w:snapToGrid w:val="0"/>
              <w:spacing w:line="360" w:lineRule="auto"/>
              <w:ind w:left="235" w:leftChars="112" w:right="118" w:rightChars="56" w:firstLine="105" w:firstLineChars="50"/>
              <w:rPr>
                <w:rFonts w:ascii="宋体"/>
                <w:color w:val="000000" w:themeColor="text1"/>
                <w:sz w:val="21"/>
                <w:szCs w:val="21"/>
                <w:highlight w:val="none"/>
                <w14:textFill>
                  <w14:solidFill>
                    <w14:schemeClr w14:val="tx1"/>
                  </w14:solidFill>
                </w14:textFill>
              </w:rPr>
            </w:pPr>
          </w:p>
          <w:p w14:paraId="1DB5D83C">
            <w:pPr>
              <w:autoSpaceDE w:val="0"/>
              <w:autoSpaceDN w:val="0"/>
              <w:adjustRightInd w:val="0"/>
              <w:snapToGrid w:val="0"/>
              <w:spacing w:line="360" w:lineRule="auto"/>
              <w:ind w:right="118" w:rightChars="56"/>
              <w:rPr>
                <w:rFonts w:ascii="宋体"/>
                <w:color w:val="000000" w:themeColor="text1"/>
                <w:sz w:val="21"/>
                <w:szCs w:val="21"/>
                <w:highlight w:val="none"/>
                <w14:textFill>
                  <w14:solidFill>
                    <w14:schemeClr w14:val="tx1"/>
                  </w14:solidFill>
                </w14:textFill>
              </w:rPr>
            </w:pPr>
            <w:r>
              <w:rPr>
                <w:rFonts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法人或法人委托人</w:t>
            </w:r>
          </w:p>
          <w:p w14:paraId="4432D671">
            <w:pPr>
              <w:autoSpaceDE w:val="0"/>
              <w:autoSpaceDN w:val="0"/>
              <w:adjustRightInd w:val="0"/>
              <w:snapToGrid w:val="0"/>
              <w:spacing w:line="360" w:lineRule="auto"/>
              <w:ind w:left="235" w:leftChars="112" w:right="118" w:rightChars="56" w:firstLine="105" w:firstLineChars="50"/>
              <w:rPr>
                <w:rFonts w:asci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（签字）：</w:t>
            </w:r>
            <w:r>
              <w:rPr>
                <w:rFonts w:ascii="宋体" w:hAnsi="宋体"/>
                <w:color w:val="000000" w:themeColor="text1"/>
                <w:sz w:val="21"/>
                <w:szCs w:val="21"/>
                <w:highlight w:val="none"/>
                <w14:textFill>
                  <w14:solidFill>
                    <w14:schemeClr w14:val="tx1"/>
                  </w14:solidFill>
                </w14:textFill>
              </w:rPr>
              <w:t xml:space="preserve">          </w:t>
            </w:r>
          </w:p>
          <w:p w14:paraId="191D53CA">
            <w:pPr>
              <w:autoSpaceDE w:val="0"/>
              <w:autoSpaceDN w:val="0"/>
              <w:adjustRightInd w:val="0"/>
              <w:snapToGrid w:val="0"/>
              <w:spacing w:line="360" w:lineRule="auto"/>
              <w:ind w:left="235" w:leftChars="112" w:right="118" w:rightChars="56" w:firstLine="105" w:firstLineChars="50"/>
              <w:rPr>
                <w:rFonts w:ascii="宋体"/>
                <w:color w:val="000000" w:themeColor="text1"/>
                <w:sz w:val="21"/>
                <w:szCs w:val="21"/>
                <w:highlight w:val="none"/>
                <w14:textFill>
                  <w14:solidFill>
                    <w14:schemeClr w14:val="tx1"/>
                  </w14:solidFill>
                </w14:textFill>
              </w:rPr>
            </w:pPr>
          </w:p>
          <w:p w14:paraId="6BE2E60C">
            <w:pPr>
              <w:autoSpaceDE w:val="0"/>
              <w:autoSpaceDN w:val="0"/>
              <w:adjustRightInd w:val="0"/>
              <w:snapToGrid w:val="0"/>
              <w:spacing w:line="360" w:lineRule="auto"/>
              <w:ind w:left="235" w:leftChars="112" w:right="118" w:rightChars="56" w:firstLine="105" w:firstLineChars="50"/>
              <w:rPr>
                <w:rFonts w:ascii="宋体"/>
                <w:color w:val="000000" w:themeColor="text1"/>
                <w:sz w:val="21"/>
                <w:szCs w:val="21"/>
                <w:highlight w:val="none"/>
                <w14:textFill>
                  <w14:solidFill>
                    <w14:schemeClr w14:val="tx1"/>
                  </w14:solidFill>
                </w14:textFill>
              </w:rPr>
            </w:pPr>
            <w:r>
              <w:rPr>
                <w:rFonts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年</w:t>
            </w:r>
            <w:r>
              <w:rPr>
                <w:rFonts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tc>
      </w:tr>
    </w:tbl>
    <w:p w14:paraId="67F77A1B">
      <w:pPr>
        <w:rPr>
          <w:color w:val="000000" w:themeColor="text1"/>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CB17BE"/>
    <w:multiLevelType w:val="singleLevel"/>
    <w:tmpl w:val="59CB17BE"/>
    <w:lvl w:ilvl="0" w:tentative="0">
      <w:start w:val="1"/>
      <w:numFmt w:val="decimal"/>
      <w:suff w:val="nothing"/>
      <w:lvlText w:val="%1."/>
      <w:lvlJc w:val="left"/>
      <w:rPr>
        <w:rFonts w:cs="Times New Roman"/>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MLAWYER">
    <w15:presenceInfo w15:providerId="None" w15:userId="PMLAW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3A3269"/>
    <w:rsid w:val="413A3269"/>
    <w:rsid w:val="4C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widowControl w:val="0"/>
      <w:adjustRightInd w:val="0"/>
      <w:snapToGrid w:val="0"/>
      <w:spacing w:before="20" w:after="0" w:line="360" w:lineRule="auto"/>
      <w:ind w:left="0" w:right="0" w:firstLine="560" w:firstLineChars="200"/>
      <w:jc w:val="both"/>
    </w:pPr>
    <w:rPr>
      <w:rFonts w:ascii="宋体" w:hAnsi="宋体" w:eastAsia="宋体" w:cs="Times New Roman"/>
      <w:kern w:val="0"/>
      <w:sz w:val="24"/>
      <w:szCs w:val="20"/>
      <w:lang w:val="en-US" w:eastAsia="zh-CN" w:bidi="ar-SA"/>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3886</Words>
  <Characters>3979</Characters>
  <Lines>0</Lines>
  <Paragraphs>0</Paragraphs>
  <TotalTime>0</TotalTime>
  <ScaleCrop>false</ScaleCrop>
  <LinksUpToDate>false</LinksUpToDate>
  <CharactersWithSpaces>4220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2026-07-09T08:09:00Z</dcterms:created>
  <dc:creator>好好的</dc:creator>
  <cp:lastModifiedBy>好好的</cp:lastModifiedBy>
  <dcterms:modified xsi:type="dcterms:W3CDTF">2026-07-09T11:49:23Z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19FD2223B9A4457487D6B08F7576207C_11</vt:lpwstr>
  </property>
  <property fmtid="{D5CDD505-2E9C-101B-9397-08002B2CF9AE}" pid="4" name="KSOTemplateDocerSaveRecord">
    <vt:lpwstr>eyJoZGlkIjoiNGI5OTM1M2UwMTUxOGI1ZjZmZGRiNjY2YjkzZTljYmIiLCJ1c2VySWQiOiIzMzEzMzk0MDUifQ==</vt:lpwstr>
  </property>
</Properties>
</file>