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版本号：RH采字【20260702】号20260709001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附属学校四号教学楼外立面整体改造项目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RH采字【20260702】号</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附属学校四号教学楼外立面整体改造项目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RH采字【20260702】号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附属学校四号教学楼外立面整体改造项目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西安外国语大学附属学校四号教学楼外立面整体改造项目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2025年度财务报告（成立时间至响应文件递交截止时间不足一年的可提供成立后任意时段的资产负债表）或响应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注册会计师行业统一监管平台网址：acc.mof.gov.cn），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有依法缴纳税收的良好记录：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4、有依法缴纳社会保障资金的良好记录：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7、法定代表人授权书、法定代表人身份证明合格：提供合格的法定代表人授权书（附法定代表人、被授权人身份证复印件）或法定代表人身份证明（法定代表人直接参加的）。</w:t>
      </w:r>
    </w:p>
    <w:p>
      <w:pPr>
        <w:pStyle w:val="null3"/>
      </w:pPr>
      <w:r>
        <w:rPr>
          <w:rFonts w:ascii="仿宋_GB2312" w:hAnsi="仿宋_GB2312" w:cs="仿宋_GB2312" w:eastAsia="仿宋_GB2312"/>
        </w:rPr>
        <w:t>8、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pPr>
        <w:pStyle w:val="null3"/>
      </w:pPr>
      <w:r>
        <w:rPr>
          <w:rFonts w:ascii="仿宋_GB2312" w:hAnsi="仿宋_GB2312" w:cs="仿宋_GB2312" w:eastAsia="仿宋_GB2312"/>
        </w:rPr>
        <w:t>9、供应商资质：供应商具备建设行政主管部门颁发的建筑工程施工总承包三级以上（含三级）资质或建筑装修装饰工程专业承包二级以上（含二级）资质，并具有有效的安全生产许可证（提供证书或证件）。</w:t>
      </w:r>
    </w:p>
    <w:p>
      <w:pPr>
        <w:pStyle w:val="null3"/>
      </w:pPr>
      <w:r>
        <w:rPr>
          <w:rFonts w:ascii="仿宋_GB2312" w:hAnsi="仿宋_GB2312" w:cs="仿宋_GB2312" w:eastAsia="仿宋_GB2312"/>
        </w:rPr>
        <w:t>10、拟派项目经理资格和专业：供应商拟派项目经理须具备建筑工程专业二级以上（含二级）注册建造师执业资格及有效的安全生产考核合格证（建安B证），在本单位注册（提供证书或证件），未担任其它在施建设工程的项目经理（提供承诺）。</w:t>
      </w:r>
    </w:p>
    <w:p>
      <w:pPr>
        <w:pStyle w:val="null3"/>
      </w:pPr>
      <w:r>
        <w:rPr>
          <w:rFonts w:ascii="仿宋_GB2312" w:hAnsi="仿宋_GB2312" w:cs="仿宋_GB2312" w:eastAsia="仿宋_GB2312"/>
        </w:rPr>
        <w:t>11、供应商及拟派项目经理基本信息：供应商及拟派项目经理基本信息须在“陕西省住房和城乡建设厅网”网站（js.shaanxi.gov.cn）可查询（提供承诺）。</w:t>
      </w:r>
    </w:p>
    <w:p>
      <w:pPr>
        <w:pStyle w:val="null3"/>
      </w:pPr>
      <w:r>
        <w:rPr>
          <w:rFonts w:ascii="仿宋_GB2312" w:hAnsi="仿宋_GB2312" w:cs="仿宋_GB2312" w:eastAsia="仿宋_GB2312"/>
        </w:rPr>
        <w:t>12、直接控股控股、管理关系：单位负责人为同一人或者存在直接控股、管理关系的不同供应商，不得同时参与本采购项目响应（提供直接控股和管理关系清单）。</w:t>
      </w:r>
    </w:p>
    <w:p>
      <w:pPr>
        <w:pStyle w:val="null3"/>
      </w:pPr>
      <w:r>
        <w:rPr>
          <w:rFonts w:ascii="仿宋_GB2312" w:hAnsi="仿宋_GB2312" w:cs="仿宋_GB2312" w:eastAsia="仿宋_GB2312"/>
        </w:rPr>
        <w:t>13、其他：为本项目提供整体设计、规范编制或者项目管理、监理、检测等服务的供应商，不得再参与本项目响应（提供承诺）。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长安区文苑南路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石雨鑫、王倩倩、刘菲、张丰利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15091632950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采购包1：2,706,811.83元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A100604防水涂料等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开户名称：瑞恒项目管理有限公司</w:t>
            </w:r>
          </w:p>
          <w:p>
            <w:pPr>
              <w:pStyle w:val="null3"/>
            </w:pPr>
            <w:r>
              <w:rPr>
                <w:rFonts w:ascii="仿宋_GB2312" w:hAnsi="仿宋_GB2312" w:cs="仿宋_GB2312" w:eastAsia="仿宋_GB2312"/>
              </w:rPr>
              <w:t>开户银行：工行西安城南科技支行</w:t>
            </w:r>
          </w:p>
          <w:p>
            <w:pPr>
              <w:pStyle w:val="null3"/>
            </w:pPr>
            <w:r>
              <w:rPr>
                <w:rFonts w:ascii="仿宋_GB2312" w:hAnsi="仿宋_GB2312" w:cs="仿宋_GB2312" w:eastAsia="仿宋_GB2312"/>
              </w:rPr>
              <w:t>银行账号：3700024819200044620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说明：中标/成交供应商在与采购人签订合同前，须缴纳履约保证金；履约保证金金额为成交金额的5%。待验收合格后凭验收单和缴款收据，履约保证金予以无息退还。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代理服务费收费标准：依按照国家计委颁布的《招标代理服务收费管理暂行办法》（计价格[2002]1980号）规定的招标代理服务收费标准下浮10%进行收取。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踏勘时间：2026-07-17 09:00:00</w:t>
            </w:r>
          </w:p>
          <w:p>
            <w:pPr>
              <w:pStyle w:val="null3"/>
              <w:ind w:firstLine="975"/>
            </w:pPr>
            <w:r>
              <w:rPr>
                <w:rFonts w:ascii="仿宋_GB2312" w:hAnsi="仿宋_GB2312" w:cs="仿宋_GB2312" w:eastAsia="仿宋_GB2312"/>
              </w:rPr>
              <w:t>踏勘地点：西安外国语大学附属学校</w:t>
            </w:r>
          </w:p>
          <w:p>
            <w:pPr>
              <w:pStyle w:val="null3"/>
              <w:ind w:firstLine="975"/>
            </w:pPr>
            <w:r>
              <w:rPr>
                <w:rFonts w:ascii="仿宋_GB2312" w:hAnsi="仿宋_GB2312" w:cs="仿宋_GB2312" w:eastAsia="仿宋_GB2312"/>
              </w:rPr>
              <w:t>联系人：陈炳元</w:t>
            </w:r>
          </w:p>
          <w:p>
            <w:pPr>
              <w:pStyle w:val="null3"/>
              <w:ind w:firstLine="975"/>
            </w:pPr>
            <w:r>
              <w:rPr>
                <w:rFonts w:ascii="仿宋_GB2312" w:hAnsi="仿宋_GB2312" w:cs="仿宋_GB2312" w:eastAsia="仿宋_GB2312"/>
              </w:rPr>
              <w:t>联系电话号码：15332435141</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西安外国语大学</w:t>
      </w:r>
      <w:r>
        <w:rPr>
          <w:rFonts w:ascii="仿宋_GB2312" w:hAnsi="仿宋_GB2312" w:cs="仿宋_GB2312" w:eastAsia="仿宋_GB2312"/>
        </w:rPr>
        <w:t>负责解释。除上述磋商文件内容，其他内容由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详见磋商文件及合同文本</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联系人：石雨鑫、王倩倩</w:t>
      </w:r>
    </w:p>
    <w:p>
      <w:pPr>
        <w:pStyle w:val="null3"/>
      </w:pPr>
      <w:r>
        <w:rPr>
          <w:rFonts w:ascii="仿宋_GB2312" w:hAnsi="仿宋_GB2312" w:cs="仿宋_GB2312" w:eastAsia="仿宋_GB2312"/>
        </w:rPr>
        <w:t>联系电话：15091632950</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2,706,811.83</w:t>
      </w:r>
    </w:p>
    <w:p>
      <w:pPr>
        <w:pStyle w:val="null3"/>
      </w:pPr>
      <w:r>
        <w:rPr>
          <w:rFonts w:ascii="仿宋_GB2312" w:hAnsi="仿宋_GB2312" w:cs="仿宋_GB2312" w:eastAsia="仿宋_GB2312"/>
        </w:rPr>
        <w:t>采购包最高限价（元）: 2,706,811.83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附属学校四号教学楼外立面整体改造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2,706,811.83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标的名称：附属学校四号教学楼外立面整体改造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工期</w:t>
            </w:r>
            <w:r>
              <w:rPr>
                <w:rFonts w:ascii="仿宋_GB2312" w:hAnsi="仿宋_GB2312" w:cs="仿宋_GB2312" w:eastAsia="仿宋_GB2312"/>
                <w:sz w:val="21"/>
                <w:b/>
              </w:rPr>
              <w:t>：</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r>
              <w:rPr>
                <w:rFonts w:ascii="仿宋_GB2312" w:hAnsi="仿宋_GB2312" w:cs="仿宋_GB2312" w:eastAsia="仿宋_GB2312"/>
                <w:sz w:val="21"/>
              </w:rPr>
              <w:t>25</w:t>
            </w:r>
            <w:r>
              <w:rPr>
                <w:rFonts w:ascii="仿宋_GB2312" w:hAnsi="仿宋_GB2312" w:cs="仿宋_GB2312" w:eastAsia="仿宋_GB2312"/>
                <w:sz w:val="21"/>
              </w:rPr>
              <w:t>日</w:t>
            </w:r>
            <w:r>
              <w:rPr>
                <w:rFonts w:ascii="仿宋_GB2312" w:hAnsi="仿宋_GB2312" w:cs="仿宋_GB2312" w:eastAsia="仿宋_GB2312"/>
                <w:sz w:val="21"/>
              </w:rPr>
              <w:t>前完工。</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项目地点：</w:t>
            </w:r>
            <w:r>
              <w:rPr>
                <w:rFonts w:ascii="仿宋_GB2312" w:hAnsi="仿宋_GB2312" w:cs="仿宋_GB2312" w:eastAsia="仿宋_GB2312"/>
                <w:sz w:val="20"/>
              </w:rPr>
              <w:t>西安市雁塔区长安南路</w:t>
            </w:r>
            <w:r>
              <w:rPr>
                <w:rFonts w:ascii="仿宋_GB2312" w:hAnsi="仿宋_GB2312" w:cs="仿宋_GB2312" w:eastAsia="仿宋_GB2312"/>
                <w:sz w:val="20"/>
              </w:rPr>
              <w:t>437号西安外国语大学附属学校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rPr>
              <w:t>付款方式：</w:t>
            </w:r>
            <w:r>
              <w:rPr>
                <w:rFonts w:ascii="仿宋_GB2312" w:hAnsi="仿宋_GB2312" w:cs="仿宋_GB2312" w:eastAsia="仿宋_GB2312"/>
                <w:sz w:val="20"/>
              </w:rPr>
              <w:t>按照工程进度进行付款，合同签订生效后，支付合同金额的</w:t>
            </w:r>
            <w:r>
              <w:rPr>
                <w:rFonts w:ascii="仿宋_GB2312" w:hAnsi="仿宋_GB2312" w:cs="仿宋_GB2312" w:eastAsia="仿宋_GB2312"/>
                <w:sz w:val="20"/>
              </w:rPr>
              <w:t>30%；竣工验收合格后，支付至合同金额的50%；经学校审计并出具审计报告后分两期累计付至审定金额的97%，第一期累计支付至审定金额的70%，第二期累计支付至审定金额的97%；剩余审定金额的3%作为质量保证金，对应缺陷责任期为2年（自工程竣工验收合格之日起计算），缺陷责任期满且无质量问题后一次性无息退还。</w:t>
            </w:r>
          </w:p>
          <w:p>
            <w:pPr>
              <w:pStyle w:val="null3"/>
              <w:jc w:val="both"/>
            </w:pPr>
            <w:r>
              <w:rPr>
                <w:rFonts w:ascii="仿宋_GB2312" w:hAnsi="仿宋_GB2312" w:cs="仿宋_GB2312" w:eastAsia="仿宋_GB2312"/>
                <w:sz w:val="20"/>
              </w:rPr>
              <w:t>本项目外立面主体施工质量保修期为</w:t>
            </w:r>
            <w:r>
              <w:rPr>
                <w:rFonts w:ascii="仿宋_GB2312" w:hAnsi="仿宋_GB2312" w:cs="仿宋_GB2312" w:eastAsia="仿宋_GB2312"/>
                <w:sz w:val="20"/>
              </w:rPr>
              <w:t>2年，外立面防水相关部位质量保修期为5年，保修期自工程竣工验收合格之日起计算。保修期内，如出现质量缺陷，乙方应在接到甲方通知后按约定时限到场维修，逾期或拒绝维修的，甲方有权委托第三方维修，相关费用由乙方承担或从应付款项中扣除，乙方还须按合同约定承担相应的违约责任。</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b/>
              </w:rPr>
              <w:t>质量要求：</w:t>
            </w:r>
            <w:r>
              <w:rPr>
                <w:rFonts w:ascii="仿宋_GB2312" w:hAnsi="仿宋_GB2312" w:cs="仿宋_GB2312" w:eastAsia="仿宋_GB2312"/>
                <w:sz w:val="20"/>
              </w:rPr>
              <w:t>合格。</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0"/>
                <w:b/>
              </w:rPr>
              <w:t>质保期：</w:t>
            </w:r>
            <w:r>
              <w:rPr>
                <w:rFonts w:ascii="仿宋_GB2312" w:hAnsi="仿宋_GB2312" w:cs="仿宋_GB2312" w:eastAsia="仿宋_GB2312"/>
                <w:sz w:val="20"/>
              </w:rPr>
              <w:t>本项目外立面主体施工质保</w:t>
            </w:r>
            <w:r>
              <w:rPr>
                <w:rFonts w:ascii="仿宋_GB2312" w:hAnsi="仿宋_GB2312" w:cs="仿宋_GB2312" w:eastAsia="仿宋_GB2312"/>
                <w:sz w:val="20"/>
              </w:rPr>
              <w:t>2 年，外立面防水相关部位质保 5 年，质保期自工程竣工验收合格之日起计算。</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0"/>
                <w:b/>
              </w:rPr>
              <w:t>响应时效：</w:t>
            </w:r>
            <w:r>
              <w:rPr>
                <w:rFonts w:ascii="仿宋_GB2312" w:hAnsi="仿宋_GB2312" w:cs="仿宋_GB2312" w:eastAsia="仿宋_GB2312"/>
                <w:sz w:val="20"/>
              </w:rPr>
              <w:t>即时响应（包括电话响应）；电话响应无法解决</w:t>
            </w:r>
            <w:r>
              <w:rPr>
                <w:rFonts w:ascii="仿宋_GB2312" w:hAnsi="仿宋_GB2312" w:cs="仿宋_GB2312" w:eastAsia="仿宋_GB2312"/>
                <w:sz w:val="20"/>
              </w:rPr>
              <w:t>4</w:t>
            </w:r>
            <w:r>
              <w:rPr>
                <w:rFonts w:ascii="仿宋_GB2312" w:hAnsi="仿宋_GB2312" w:cs="仿宋_GB2312" w:eastAsia="仿宋_GB2312"/>
                <w:sz w:val="20"/>
              </w:rPr>
              <w:t>小时内到达现场。修复时间</w:t>
            </w:r>
            <w:r>
              <w:rPr>
                <w:rFonts w:ascii="仿宋_GB2312" w:hAnsi="仿宋_GB2312" w:cs="仿宋_GB2312" w:eastAsia="仿宋_GB2312"/>
                <w:sz w:val="20"/>
              </w:rPr>
              <w:t>24</w:t>
            </w:r>
            <w:r>
              <w:rPr>
                <w:rFonts w:ascii="仿宋_GB2312" w:hAnsi="仿宋_GB2312" w:cs="仿宋_GB2312" w:eastAsia="仿宋_GB2312"/>
                <w:sz w:val="20"/>
              </w:rPr>
              <w:t>小时内解决；如</w:t>
            </w:r>
            <w:r>
              <w:rPr>
                <w:rFonts w:ascii="仿宋_GB2312" w:hAnsi="仿宋_GB2312" w:cs="仿宋_GB2312" w:eastAsia="仿宋_GB2312"/>
                <w:sz w:val="20"/>
              </w:rPr>
              <w:t>24</w:t>
            </w:r>
            <w:r>
              <w:rPr>
                <w:rFonts w:ascii="仿宋_GB2312" w:hAnsi="仿宋_GB2312" w:cs="仿宋_GB2312" w:eastAsia="仿宋_GB2312"/>
                <w:sz w:val="20"/>
              </w:rPr>
              <w:t>小时内无法修复，应提供相应解决方案。</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0"/>
                <w:b/>
              </w:rPr>
              <w:t>工程量清单：</w:t>
            </w:r>
            <w:r>
              <w:rPr>
                <w:rFonts w:ascii="仿宋_GB2312" w:hAnsi="仿宋_GB2312" w:cs="仿宋_GB2312" w:eastAsia="仿宋_GB2312"/>
                <w:sz w:val="20"/>
              </w:rPr>
              <w:t>详见附件。</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0"/>
                <w:b/>
              </w:rPr>
              <w:t>图纸：</w:t>
            </w:r>
            <w:r>
              <w:rPr>
                <w:rFonts w:ascii="仿宋_GB2312" w:hAnsi="仿宋_GB2312" w:cs="仿宋_GB2312" w:eastAsia="仿宋_GB2312"/>
                <w:sz w:val="20"/>
              </w:rPr>
              <w:t>详见附件。</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0"/>
              </w:rPr>
              <w:t>原有设施保护要求：本工程范围包含空调落水管的改造施工。施工过程中，若承包方对现场原有的设备、设施造成损坏，承包方须负责对其进行恢复、维修或更换，并承担全部相关费用，确保所有设备设施功能完好、外观达标。</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执行国家、省、市相关标准、规范及采购人要求。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详见磋商文件及合同文本</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纸质投标文件要求： （1）成交供应商应在成交价结果公告发布后5个工作日内提供纸质响应文件三份（正本壹份、副本贰份，分别胶装），响应文件需包含目录、无少页、缺页、连续页码（或单独使用打码器打码）。 （2）递交地址：陕西省西安市曲江新区雁翔路3269号旺座曲江D座30层，联系人：王工，联系电话：15091632950。 （3）成交供应商应保持响应文件纸质版内容与交易系统上传电子版内容完全一致，否则将承担一切法律责任。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2025年度财务报告（成立时间至响应文件递交截止时间不足一年的可提供成立后任意时段的资产负债表）或响应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注册会计师行业统一监管平台网址：acc.mof.gov.cn），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提供合格的法定代表人授权书（附法定代表人、被授权人身份证复印件）或法定代表人身份证明（法定代表人直接参加的）。</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供应商具备建设行政主管部门颁发的建筑工程施工总承包三级以上（含三级）资质或建筑装修装饰工程专业承包二级以上（含二级）资质，并具有有效的安全生产许可证（提供证书或证件）。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拟派项目经理资格和专业</w:t>
            </w:r>
          </w:p>
        </w:tc>
        <w:tc>
          <w:tcPr>
            <w:tcW w:type="dxa" w:w="3322"/>
          </w:tcPr>
          <w:p>
            <w:pPr>
              <w:pStyle w:val="null3"/>
            </w:pPr>
            <w:r>
              <w:rPr>
                <w:rFonts w:ascii="仿宋_GB2312" w:hAnsi="仿宋_GB2312" w:cs="仿宋_GB2312" w:eastAsia="仿宋_GB2312"/>
              </w:rPr>
              <w:t>供应商拟派项目经理须具备建筑工程专业二级以上（含二级）注册建造师执业资格及有效的安全生产考核合格证（建安B证），在本单位注册（提供证书或证件），未担任其它在施建设工程的项目经理（提供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供应商及拟派项目经理基本信息</w:t>
            </w:r>
          </w:p>
        </w:tc>
        <w:tc>
          <w:tcPr>
            <w:tcW w:type="dxa" w:w="3322"/>
          </w:tcPr>
          <w:p>
            <w:pPr>
              <w:pStyle w:val="null3"/>
            </w:pPr>
            <w:r>
              <w:rPr>
                <w:rFonts w:ascii="仿宋_GB2312" w:hAnsi="仿宋_GB2312" w:cs="仿宋_GB2312" w:eastAsia="仿宋_GB2312"/>
              </w:rPr>
              <w:t>供应商及拟派项目经理基本信息须在“陕西省住房和城乡建设厅网”网站（js.shaanxi.gov.cn）可查询（提供承诺）。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直接控股控股、管理关系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单位负责人为同一人或者存在直接控股、管理关系的不同供应商，不得同时参与本采购项目响应（提供直接控股和管理关系清单）。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为本项目提供整体设计、规范编制或者项目管理、监理、检测等服务的供应商，不得再参与本项目响应（提供承诺）。</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书面说明应当按照国家财务会计制度的规定要求，逐项就供应商提供的货物、服务或工程的主营业务成本、税金及附加、销售费用、管理费用、财务费用等成本构成进行说明）及必要的证明材料（类似项目类似报价合同、验收报告、发票等）。 其中，属于第③项情形，供应商已随投标（响应）文件一并提交相关书面说明及必要的证明材料的，在评审现场可不再重复提交。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供应商名称与营业执照一致（合格）供应商名称与营业执照不一致（不合格）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响应报价未超过本项目最高限价（合格） 响应报价超过本项目最高限价（不合格）</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磋商有效期达到磋商文件要求</w:t>
            </w:r>
          </w:p>
        </w:tc>
        <w:tc>
          <w:tcPr>
            <w:tcW w:type="dxa" w:w="3322"/>
          </w:tcPr>
          <w:p>
            <w:pPr>
              <w:pStyle w:val="null3"/>
            </w:pPr>
            <w:r>
              <w:rPr>
                <w:rFonts w:ascii="仿宋_GB2312" w:hAnsi="仿宋_GB2312" w:cs="仿宋_GB2312" w:eastAsia="仿宋_GB2312"/>
              </w:rPr>
              <w:t>磋商有效期达到磋商文件要求（合格） 磋商有效期未达到磋商文件要求（不合格）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技术、服务、商务响应满足实质性要求</w:t>
            </w:r>
          </w:p>
        </w:tc>
        <w:tc>
          <w:tcPr>
            <w:tcW w:type="dxa" w:w="3322"/>
          </w:tcPr>
          <w:p>
            <w:pPr>
              <w:pStyle w:val="null3"/>
            </w:pPr>
            <w:r>
              <w:rPr>
                <w:rFonts w:ascii="仿宋_GB2312" w:hAnsi="仿宋_GB2312" w:cs="仿宋_GB2312" w:eastAsia="仿宋_GB2312"/>
              </w:rPr>
              <w:t>技术、服务响应满足磋商文件第三章第3.1条“技术、服务标准和要求”；商务响应满足磋商文件第三章第3.2条“商务要求”（合格），任意一条不满足（不合格）</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磋商保证金满足磋商文件要求</w:t>
            </w:r>
          </w:p>
        </w:tc>
        <w:tc>
          <w:tcPr>
            <w:tcW w:type="dxa" w:w="3322"/>
          </w:tcPr>
          <w:p>
            <w:pPr>
              <w:pStyle w:val="null3"/>
            </w:pPr>
            <w:r>
              <w:rPr>
                <w:rFonts w:ascii="仿宋_GB2312" w:hAnsi="仿宋_GB2312" w:cs="仿宋_GB2312" w:eastAsia="仿宋_GB2312"/>
              </w:rPr>
              <w:t>磋商保证金满足磋商文件要求（合格） 磋商保证金不满足磋商文件要求（不合格）</w:t>
            </w:r>
          </w:p>
        </w:tc>
        <w:tc>
          <w:tcPr>
            <w:tcW w:type="dxa" w:w="1661"/>
          </w:tcPr>
          <w:p>
            <w:pPr>
              <w:pStyle w:val="null3"/>
            </w:pPr>
            <w:r>
              <w:rPr>
                <w:rFonts w:ascii="仿宋_GB2312" w:hAnsi="仿宋_GB2312" w:cs="仿宋_GB2312" w:eastAsia="仿宋_GB2312"/>
              </w:rPr>
              <w:t>磋商保证金缴纳证明材料.docx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符合法律、法规和磋商文件中规定的其他实质性要求（合格） 不符合法律、法规和磋商文件中规定的其他实质性要求（不合格）</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供应商针对本项目提供施工方案。 二、评审标准 1.完整性：方案必须全面，对评审内容中的各项要求有详细描述； 2.可实施性：切合本项目实际情况，提出步骤清晰、合理的方案； 3.针对性：方案能够紧扣项目实际情况，内容科学合理。 三、赋分依据 每完全满足一个评审标准得2分，基本满足一个评审标准得1分，满分6分；未提供不得分。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施工进度计划及确保工期的技术组织措施</w:t>
            </w:r>
          </w:p>
        </w:tc>
        <w:tc>
          <w:tcPr>
            <w:tcW w:type="dxa" w:w="2492"/>
          </w:tcPr>
          <w:p>
            <w:pPr>
              <w:pStyle w:val="null3"/>
            </w:pPr>
            <w:r>
              <w:rPr>
                <w:rFonts w:ascii="仿宋_GB2312" w:hAnsi="仿宋_GB2312" w:cs="仿宋_GB2312" w:eastAsia="仿宋_GB2312"/>
              </w:rPr>
              <w:t>一、评审内容 供应商针对本项目提供施工进度计划及确保工期的技术组织措施。 二、评审标准 1.完整性：方案必须全面，对评审内容中的各项要求有详细描述； 2.可实施性：切合本项目实际情况，提出步骤清晰、合理的方案； 3.针对性：方案能够紧扣项目实际情况，内容科学合理。 三、赋分依据 每完全满足一个评审标准得2分，基本满足一个评审标准得1分，满分6分；未提供不得分。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施工进度计划及确保工期的技术组织措施.docx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供应商针对本项目提供确保工程质量的技术组织措施。 二、评审标准 1.完整性：方案必须全面，对评审内容中的各项要求有详细描述； 2.可实施性：切合本项目实际情况，提出步骤清晰、合理的方案； 3.针对性：方案能够紧扣项目实际情况，内容科学合理。 三、赋分依据 每完全满足一个评审标准得2分，基本满足一个评审标准得1分，满分6分；未提供不得分。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确保工程质量的技术组织措施.docx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供应商针对本项目情况提供确保安全生产的技术组织措施，包括学校西门、北门等人员密集出入口的安全防护措施等。 二、评审标准 1.完整性：方案必须全面，对评审内容中的各项要求有详细描述； 2.可实施性：切合本项目实际情况，提出步骤清晰、合理的方案； 3.针对性：方案能够紧扣项目实际情况，内容科学合理。 三、赋分依据 每完全满足一个评审标准得2分，基本满足一个评审标准得1分，满分6分；未提供不得分。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确保安全生产的技术组织措施.docx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 供应商针对本项目提供确保文明施工的技术组织措施及环境保护措施。 二、评审标准 1.完整性：方案必须全面，对评审内容中的各项要求有详细描述； 2.可实施性：切合本项目实际情况，提出步骤清晰、合理的方案； 3.针对性：方案能够紧扣项目实际情况，内容科学合理。 三、赋分依据 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确保文明施工的技术组织措施及环境保护措施.docx</w:t>
            </w:r>
          </w:p>
        </w:tc>
      </w:tr>
      <w:tr>
        <w:tc>
          <w:tcPr>
            <w:tcW w:type="dxa" w:w="831"/>
            <w:vMerge/>
          </w:tcPr>
          <w:p/>
        </w:tc>
        <w:tc>
          <w:tcPr>
            <w:tcW w:type="dxa" w:w="1661"/>
          </w:tcPr>
          <w:p>
            <w:pPr>
              <w:pStyle w:val="null3"/>
            </w:pPr>
            <w:r>
              <w:rPr>
                <w:rFonts w:ascii="仿宋_GB2312" w:hAnsi="仿宋_GB2312" w:cs="仿宋_GB2312" w:eastAsia="仿宋_GB2312"/>
              </w:rPr>
              <w:t>项目组成员配备方案</w:t>
            </w:r>
          </w:p>
        </w:tc>
        <w:tc>
          <w:tcPr>
            <w:tcW w:type="dxa" w:w="2492"/>
          </w:tcPr>
          <w:p>
            <w:pPr>
              <w:pStyle w:val="null3"/>
            </w:pPr>
            <w:r>
              <w:rPr>
                <w:rFonts w:ascii="仿宋_GB2312" w:hAnsi="仿宋_GB2312" w:cs="仿宋_GB2312" w:eastAsia="仿宋_GB2312"/>
              </w:rPr>
              <w:t>一、评审内容 供应商针对本项目提供项目组成员配备方案。 二、评审标准 1.完整性：方案必须全面，对评审内容中的各项要求有详细描述； 2.可实施性：切合本项目实际情况，提出步骤清晰、合理的方案； 3.针对性：方案能够紧扣项目实际情况，内容科学合理。 三、赋分依据 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项目组成员配备方案.docx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劳动力安排计划及劳务分包情况表</w:t>
            </w:r>
          </w:p>
        </w:tc>
        <w:tc>
          <w:tcPr>
            <w:tcW w:type="dxa" w:w="2492"/>
          </w:tcPr>
          <w:p>
            <w:pPr>
              <w:pStyle w:val="null3"/>
            </w:pPr>
            <w:r>
              <w:rPr>
                <w:rFonts w:ascii="仿宋_GB2312" w:hAnsi="仿宋_GB2312" w:cs="仿宋_GB2312" w:eastAsia="仿宋_GB2312"/>
              </w:rPr>
              <w:t>一、评审内容 供应商针对本项目提供劳动力安排计划及劳务分包情况表。 二、评审标准 1.完整性：方案必须全面，对评审内容中的各项要求有详细描述； 2.可实施性：切合本项目实际情况，提出步骤清晰、合理的方案； 3.针对性：方案能够紧扣项目实际情况，内容科学合理。 三、赋分依据 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劳动力安排计划及劳务分包情况表.docx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 供应商针对本项目提供施工机械配备和材料投入计划。 二、评审标准 1.完整性：方案必须全面，对评审内容中的各项要求有详细描述； 2.可实施性：切合本项目实际情况，提出步骤清晰、合理的方案； 3.针对性：方案能够紧扣项目实际情况，内容科学合理。 三、赋分依据 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施工机械配备和材料投入计划.docx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新技术、新产品、新工艺、新材料应用方案</w:t>
            </w:r>
          </w:p>
        </w:tc>
        <w:tc>
          <w:tcPr>
            <w:tcW w:type="dxa" w:w="2492"/>
          </w:tcPr>
          <w:p>
            <w:pPr>
              <w:pStyle w:val="null3"/>
            </w:pPr>
            <w:r>
              <w:rPr>
                <w:rFonts w:ascii="仿宋_GB2312" w:hAnsi="仿宋_GB2312" w:cs="仿宋_GB2312" w:eastAsia="仿宋_GB2312"/>
              </w:rPr>
              <w:t>一、评审内容 供应商针对本项目提供新技术、新产品、新工艺、新材料应用方案。 二、评审标准 1.完整性：方案必须全面，对评审内容中的各项要求有详细描述； 2.可实施性：切合本项目实际情况，提出步骤清晰、合理的方案； 3.针对性：方案能够紧扣项目实际情况，内容科学合理。 三、赋分依据 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新技术、新产品、新工艺、新材料应用方案.docx</w:t>
            </w:r>
          </w:p>
        </w:tc>
      </w:tr>
      <w:tr>
        <w:tc>
          <w:tcPr>
            <w:tcW w:type="dxa" w:w="831"/>
            <w:vMerge/>
          </w:tcPr>
          <w:p/>
        </w:tc>
        <w:tc>
          <w:tcPr>
            <w:tcW w:type="dxa" w:w="1661"/>
          </w:tcPr>
          <w:p>
            <w:pPr>
              <w:pStyle w:val="null3"/>
            </w:pPr>
            <w:r>
              <w:rPr>
                <w:rFonts w:ascii="仿宋_GB2312" w:hAnsi="仿宋_GB2312" w:cs="仿宋_GB2312" w:eastAsia="仿宋_GB2312"/>
              </w:rPr>
              <w:t>主要材料清单品目</w:t>
            </w:r>
          </w:p>
        </w:tc>
        <w:tc>
          <w:tcPr>
            <w:tcW w:type="dxa" w:w="2492"/>
          </w:tcPr>
          <w:p>
            <w:pPr>
              <w:pStyle w:val="null3"/>
            </w:pPr>
            <w:r>
              <w:rPr>
                <w:rFonts w:ascii="仿宋_GB2312" w:hAnsi="仿宋_GB2312" w:cs="仿宋_GB2312" w:eastAsia="仿宋_GB2312"/>
              </w:rPr>
              <w:t>供应商需提供针对本项目拟投入施工主要材料（包含但不限于耐碱纤维网格布、腻子粉、真石漆、防水涂料、岩棉等）清单品目，主要材料清单品目完整，品牌明确得4分；清单品目存在少量缺项，部分材料品牌未明确，得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主要材料清单品目.docx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拟提供产品中每有一项为“节能产品政府采购品目清单（非强制采购产品）”或“环境标志产品政府采购品目清单”内的，应提供该产品由国家确定的认证机构出具的处于有效期内的节能产品认证证书或中国环境标志产品认证证书，每提供一项得1分，满分2分。 备注：以加盖供应商公章的证明材料为计分依据。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节能环保产品.docx</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1、职称：拟派项目经理具有中级以上（含中级）职称，提供职称证的得4分，其它不得分。 2、项目经理业绩：提供拟派项目经理三年内（2023年7月1日至今，以合同签订日期为准）同类项目业绩合同，每有一个得2分，满分6分。 项目经理业绩和企业业绩可重复计分。 注：拟派项目经理须具有身份证、劳动合同及响应文件递交截止时间前一年内任意一个月的社保缴纳证明，否则项目经理不得分。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提供供应商近三年内（2023年7月1日至今，以合同签订日期为准）类似项目业绩合同，每有一个得3分，满分15分。 项目经理业绩和企业业绩可重复计分。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价优先法，即实质性满足磋商文件要求且最终磋商报价最低的为磋商基准价，其价格分为满分30分。其他供应商的价格分按照下列公式计算：磋商报价得分=(磋商基准价/磋商报价)×30。计算结果最多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详见附件：磋商保证金缴纳证明材料.docx</w:t>
      </w:r>
    </w:p>
    <w:p>
      <w:pPr>
        <w:pStyle w:val="null3"/>
        <w:ind w:firstLine="960"/>
      </w:pPr>
      <w:r>
        <w:rPr>
          <w:rFonts w:ascii="仿宋_GB2312" w:hAnsi="仿宋_GB2312" w:cs="仿宋_GB2312" w:eastAsia="仿宋_GB2312"/>
        </w:rPr>
        <w:t>详见附件：节能环保产品.docx</w:t>
      </w:r>
    </w:p>
    <w:p>
      <w:pPr>
        <w:pStyle w:val="null3"/>
        <w:ind w:firstLine="960"/>
      </w:pPr>
      <w:r>
        <w:rPr>
          <w:rFonts w:ascii="仿宋_GB2312" w:hAnsi="仿宋_GB2312" w:cs="仿宋_GB2312" w:eastAsia="仿宋_GB2312"/>
        </w:rPr>
        <w:t>详见附件：劳动力安排计划及劳务分包情况表.docx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详见附件：确保安全生产的技术组织措施.docx</w:t>
      </w:r>
    </w:p>
    <w:p>
      <w:pPr>
        <w:pStyle w:val="null3"/>
        <w:ind w:firstLine="960"/>
      </w:pPr>
      <w:r>
        <w:rPr>
          <w:rFonts w:ascii="仿宋_GB2312" w:hAnsi="仿宋_GB2312" w:cs="仿宋_GB2312" w:eastAsia="仿宋_GB2312"/>
        </w:rPr>
        <w:t>详见附件：确保工程质量的技术组织措施.docx</w:t>
      </w:r>
    </w:p>
    <w:p>
      <w:pPr>
        <w:pStyle w:val="null3"/>
        <w:ind w:firstLine="960"/>
      </w:pPr>
      <w:r>
        <w:rPr>
          <w:rFonts w:ascii="仿宋_GB2312" w:hAnsi="仿宋_GB2312" w:cs="仿宋_GB2312" w:eastAsia="仿宋_GB2312"/>
        </w:rPr>
        <w:t>详见附件：确保文明施工的技术组织措施及环境保护措施.docx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详见附件：施工机械配备和材料投入计划.docx</w:t>
      </w:r>
    </w:p>
    <w:p>
      <w:pPr>
        <w:pStyle w:val="null3"/>
        <w:ind w:firstLine="960"/>
      </w:pPr>
      <w:r>
        <w:rPr>
          <w:rFonts w:ascii="仿宋_GB2312" w:hAnsi="仿宋_GB2312" w:cs="仿宋_GB2312" w:eastAsia="仿宋_GB2312"/>
        </w:rPr>
        <w:t>详见附件：施工进度计划及确保工期的技术组织措施.docx</w:t>
      </w:r>
    </w:p>
    <w:p>
      <w:pPr>
        <w:pStyle w:val="null3"/>
        <w:ind w:firstLine="960"/>
      </w:pPr>
      <w:r>
        <w:rPr>
          <w:rFonts w:ascii="仿宋_GB2312" w:hAnsi="仿宋_GB2312" w:cs="仿宋_GB2312" w:eastAsia="仿宋_GB2312"/>
        </w:rPr>
        <w:t>详见附件：项目经理.docx</w:t>
      </w:r>
    </w:p>
    <w:p>
      <w:pPr>
        <w:pStyle w:val="null3"/>
        <w:ind w:firstLine="960"/>
      </w:pPr>
      <w:r>
        <w:rPr>
          <w:rFonts w:ascii="仿宋_GB2312" w:hAnsi="仿宋_GB2312" w:cs="仿宋_GB2312" w:eastAsia="仿宋_GB2312"/>
        </w:rPr>
        <w:t>详见附件：项目组成员配备方案.docx</w:t>
      </w:r>
    </w:p>
    <w:p>
      <w:pPr>
        <w:pStyle w:val="null3"/>
        <w:ind w:firstLine="960"/>
      </w:pPr>
      <w:r>
        <w:rPr>
          <w:rFonts w:ascii="仿宋_GB2312" w:hAnsi="仿宋_GB2312" w:cs="仿宋_GB2312" w:eastAsia="仿宋_GB2312"/>
        </w:rPr>
        <w:t>详见附件：新技术、新产品、新工艺、新材料应用方案.docx</w:t>
      </w:r>
    </w:p>
    <w:p>
      <w:pPr>
        <w:pStyle w:val="null3"/>
        <w:ind w:firstLine="960"/>
      </w:pPr>
      <w:r>
        <w:rPr>
          <w:rFonts w:ascii="仿宋_GB2312" w:hAnsi="仿宋_GB2312" w:cs="仿宋_GB2312" w:eastAsia="仿宋_GB2312"/>
        </w:rPr>
        <w:t>详见附件：主要材料清单品目.docx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