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版本号：SXLZ-2026-11720260428001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三原县玉皇阁水库干渠水毁修复工程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SXLZ-2026-117</w:t>
      </w:r>
      <w:r>
        <w:br/>
      </w:r>
      <w:r>
        <w:br/>
      </w:r>
      <w:r>
        <w:br/>
      </w:r>
    </w:p>
    <w:p>
      <w:pPr>
        <w:pStyle w:val="null3"/>
        <w:jc w:val="center"/>
        <w:outlineLvl w:val="2"/>
      </w:pPr>
      <w:r>
        <w:rPr>
          <w:rFonts w:ascii="仿宋_GB2312" w:hAnsi="仿宋_GB2312" w:cs="仿宋_GB2312" w:eastAsia="仿宋_GB2312"/>
          <w:sz w:val="28"/>
          <w:b/>
        </w:rPr>
        <w:t>三原县水旱灾害防御中心（县河湖库管护中心）</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三原县水旱灾害防御中心（县河湖库管护中心）</w:t>
      </w:r>
      <w:r>
        <w:rPr>
          <w:rFonts w:ascii="仿宋_GB2312" w:hAnsi="仿宋_GB2312" w:cs="仿宋_GB2312" w:eastAsia="仿宋_GB2312"/>
        </w:rPr>
        <w:t>委托，拟对</w:t>
      </w:r>
      <w:r>
        <w:rPr>
          <w:rFonts w:ascii="仿宋_GB2312" w:hAnsi="仿宋_GB2312" w:cs="仿宋_GB2312" w:eastAsia="仿宋_GB2312"/>
        </w:rPr>
        <w:t>三原县玉皇阁水库干渠水毁修复工程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SXLZ-2026-117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三原县玉皇阁水库干渠水毁修复工程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本项目为玉皇阁干渠渠道恢复215m，渠道清淤1594m，赵家洞生产桥处渠道恢复5m，左右岸坡防护各2.5m。该项目项目实施后，可有效恢复渠道过流能力，提高灌溉输水保障率，确保水库正常泄洪和灌溉。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采购包1（三原县玉皇阁水库干渠水毁修复工程）：属于专门面向中小企业采购。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2、资质要求：供应商须具备建设行政主管部门颁发的水利水电工程施工总承包三级（含三级）以上资质，并具备有效的安全生产许可证</w:t>
      </w:r>
    </w:p>
    <w:p>
      <w:pPr>
        <w:pStyle w:val="null3"/>
      </w:pPr>
      <w:r>
        <w:rPr>
          <w:rFonts w:ascii="仿宋_GB2312" w:hAnsi="仿宋_GB2312" w:cs="仿宋_GB2312" w:eastAsia="仿宋_GB2312"/>
        </w:rPr>
        <w:t>3、项目经理：拟派项目经理须具备有效的水利水电工程专业二级（含二级）以上建造师注册证，具备水行政主管部门颁发的安全生产考核合格证（B证），且在本单位注册，无在建工程（提供无在建工程承诺书）</w:t>
      </w:r>
    </w:p>
    <w:p>
      <w:pPr>
        <w:pStyle w:val="null3"/>
      </w:pPr>
      <w:r>
        <w:rPr>
          <w:rFonts w:ascii="仿宋_GB2312" w:hAnsi="仿宋_GB2312" w:cs="仿宋_GB2312" w:eastAsia="仿宋_GB2312"/>
        </w:rPr>
        <w:t>4、财务状况报告：提供经具有审计资质单位出具的2024年或2025年的财务审计报告（成立时间至提交磋商响应文件截止时间不足一年的可提供成立后任意时段的资产负债表），或其磋商前六个月内基本存款账户开户银行出具的资信证明。（以上两种形式的资料提供任何一种即可）</w:t>
      </w:r>
    </w:p>
    <w:p>
      <w:pPr>
        <w:pStyle w:val="null3"/>
      </w:pPr>
      <w:r>
        <w:rPr>
          <w:rFonts w:ascii="仿宋_GB2312" w:hAnsi="仿宋_GB2312" w:cs="仿宋_GB2312" w:eastAsia="仿宋_GB2312"/>
        </w:rPr>
        <w:t>5、税收缴纳证明：提供2025年9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6、社会保障资金缴纳证明：提供2025年9月至今已缴纳的至少一个月的社会保障资金缴存单据或社保机构开具的社会保险参保缴费情况证明，依法不需要缴纳社会保障资金的单位应提供相关证明材料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7、设备和专业技术能力：具有履行合同所必需的设备和专业技术能力的书面声明</w:t>
      </w:r>
    </w:p>
    <w:p>
      <w:pPr>
        <w:pStyle w:val="null3"/>
      </w:pPr>
      <w:r>
        <w:rPr>
          <w:rFonts w:ascii="仿宋_GB2312" w:hAnsi="仿宋_GB2312" w:cs="仿宋_GB2312" w:eastAsia="仿宋_GB2312"/>
        </w:rPr>
        <w:t>8、没有重大违法记录的书面声明：参加政府采购活动前3年内在经营活动中没有重大违法记录的书面声明</w:t>
      </w:r>
    </w:p>
    <w:p>
      <w:pPr>
        <w:pStyle w:val="null3"/>
      </w:pPr>
      <w:r>
        <w:rPr>
          <w:rFonts w:ascii="仿宋_GB2312" w:hAnsi="仿宋_GB2312" w:cs="仿宋_GB2312" w:eastAsia="仿宋_GB2312"/>
        </w:rPr>
        <w:t>9、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11、非联合体投标：本项目不接受联合体投标，提供非联合体投标声明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三原县水旱灾害防御中心（县河湖库管护中心）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三原县水旱灾害防御中心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李荣生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029-32317369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17691099523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采购包1：625,300.00元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计费基数，参照《国家计委关于印发&lt;招标代理服务收费管理暂行办法&gt;的通知》（计价格[2002]1980号）和国家发改委办公厅颁发的《关于招标代理服务收费有关问题的通知》（发改办价格【2003】857号）的标准执行。领取中标通知书前，由中标供应商向代理机构缴纳代理服务费，一次性付清。采购代理服务费账户:公司名称:陕西龙泽项目咨询管理有限公司:账号:61050111583800000087;开户行:中国建设银行股份有限公司西安雁塔南路南段支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三原县水旱灾害防御中心（县河湖库管护中心）</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三原县水旱灾害防御中心（县河湖库管护中心）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三原县水旱灾害防御中心（县河湖库管护中心）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完成批复建设内容，质量合格，达到设计要求并实现预期绩效目标。</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联系人：胡荣</w:t>
      </w:r>
    </w:p>
    <w:p>
      <w:pPr>
        <w:pStyle w:val="null3"/>
      </w:pPr>
      <w:r>
        <w:rPr>
          <w:rFonts w:ascii="仿宋_GB2312" w:hAnsi="仿宋_GB2312" w:cs="仿宋_GB2312" w:eastAsia="仿宋_GB2312"/>
        </w:rPr>
        <w:t>联系电话：17691099523</w:t>
      </w:r>
    </w:p>
    <w:p>
      <w:pPr>
        <w:pStyle w:val="null3"/>
      </w:pPr>
      <w:r>
        <w:rPr>
          <w:rFonts w:ascii="仿宋_GB2312" w:hAnsi="仿宋_GB2312" w:cs="仿宋_GB2312" w:eastAsia="仿宋_GB2312"/>
        </w:rPr>
        <w:t>地址：陕西省西安市国家民用航天产业基地神舟五路与东长安街交汇处东南角航天城中心广场1号楼708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625,300.00</w:t>
      </w:r>
    </w:p>
    <w:p>
      <w:pPr>
        <w:pStyle w:val="null3"/>
      </w:pPr>
      <w:r>
        <w:rPr>
          <w:rFonts w:ascii="仿宋_GB2312" w:hAnsi="仿宋_GB2312" w:cs="仿宋_GB2312" w:eastAsia="仿宋_GB2312"/>
        </w:rPr>
        <w:t>采购包最高限价（元）: 625,300.00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其他建筑工程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625,300.00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标的名称：其他建筑工程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61"/>
              <w:jc w:val="left"/>
            </w:pPr>
            <w:r>
              <w:rPr>
                <w:rFonts w:ascii="仿宋_GB2312" w:hAnsi="仿宋_GB2312" w:cs="仿宋_GB2312" w:eastAsia="仿宋_GB2312"/>
                <w:sz w:val="18"/>
                <w:b/>
                <w:color w:val="000000"/>
              </w:rPr>
              <w:t>一、项目概况</w:t>
            </w:r>
          </w:p>
          <w:p>
            <w:pPr>
              <w:pStyle w:val="null3"/>
              <w:ind w:firstLine="360"/>
              <w:jc w:val="both"/>
            </w:pPr>
            <w:r>
              <w:rPr>
                <w:rFonts w:ascii="仿宋_GB2312" w:hAnsi="仿宋_GB2312" w:cs="仿宋_GB2312" w:eastAsia="仿宋_GB2312"/>
                <w:sz w:val="18"/>
                <w:color w:val="000000"/>
              </w:rPr>
              <w:t>三原县玉皇阁水库干渠水毁修复工程为玉皇阁干渠渠道恢复</w:t>
            </w:r>
            <w:r>
              <w:rPr>
                <w:rFonts w:ascii="仿宋_GB2312" w:hAnsi="仿宋_GB2312" w:cs="仿宋_GB2312" w:eastAsia="仿宋_GB2312"/>
                <w:sz w:val="18"/>
                <w:color w:val="000000"/>
              </w:rPr>
              <w:t>215m,渠道清淤1594m,赵家洞生产桥处渠道恢复5m,左右岸坡防护各2.5m</w:t>
            </w:r>
            <w:r>
              <w:rPr>
                <w:rFonts w:ascii="仿宋_GB2312" w:hAnsi="仿宋_GB2312" w:cs="仿宋_GB2312" w:eastAsia="仿宋_GB2312"/>
                <w:sz w:val="18"/>
                <w:color w:val="000000"/>
              </w:rPr>
              <w:t>，</w:t>
            </w:r>
            <w:r>
              <w:rPr>
                <w:rFonts w:ascii="仿宋_GB2312" w:hAnsi="仿宋_GB2312" w:cs="仿宋_GB2312" w:eastAsia="仿宋_GB2312"/>
                <w:sz w:val="18"/>
                <w:color w:val="000000"/>
              </w:rPr>
              <w:t>解决干渠水毁淤积、破坏等问题，恢复渠道过流能力，提高灌溉输水保障率</w:t>
            </w:r>
            <w:r>
              <w:rPr>
                <w:rFonts w:ascii="仿宋_GB2312" w:hAnsi="仿宋_GB2312" w:cs="仿宋_GB2312" w:eastAsia="仿宋_GB2312"/>
                <w:sz w:val="18"/>
                <w:color w:val="000000"/>
              </w:rPr>
              <w:t>，</w:t>
            </w:r>
            <w:r>
              <w:rPr>
                <w:rFonts w:ascii="仿宋_GB2312" w:hAnsi="仿宋_GB2312" w:cs="仿宋_GB2312" w:eastAsia="仿宋_GB2312"/>
                <w:sz w:val="18"/>
                <w:color w:val="000000"/>
              </w:rPr>
              <w:t>修复耀州区坡头街道办张沟村段及赵家洞段水毁干渠</w:t>
            </w:r>
            <w:r>
              <w:rPr>
                <w:rFonts w:ascii="仿宋_GB2312" w:hAnsi="仿宋_GB2312" w:cs="仿宋_GB2312" w:eastAsia="仿宋_GB2312"/>
                <w:sz w:val="18"/>
                <w:color w:val="000000"/>
              </w:rPr>
              <w:t>，</w:t>
            </w:r>
            <w:r>
              <w:rPr>
                <w:rFonts w:ascii="仿宋_GB2312" w:hAnsi="仿宋_GB2312" w:cs="仿宋_GB2312" w:eastAsia="仿宋_GB2312"/>
                <w:sz w:val="18"/>
                <w:color w:val="000000"/>
              </w:rPr>
              <w:t>完成实施方案批复的建设内容，确保水库正常泄洪和灌溉。</w:t>
            </w:r>
          </w:p>
          <w:p>
            <w:pPr>
              <w:pStyle w:val="null3"/>
              <w:ind w:firstLine="361"/>
              <w:jc w:val="left"/>
            </w:pPr>
            <w:r>
              <w:rPr>
                <w:rFonts w:ascii="仿宋_GB2312" w:hAnsi="仿宋_GB2312" w:cs="仿宋_GB2312" w:eastAsia="仿宋_GB2312"/>
                <w:sz w:val="18"/>
                <w:b/>
                <w:color w:val="000000"/>
              </w:rPr>
              <w:t>二</w:t>
            </w:r>
            <w:r>
              <w:rPr>
                <w:rFonts w:ascii="仿宋_GB2312" w:hAnsi="仿宋_GB2312" w:cs="仿宋_GB2312" w:eastAsia="仿宋_GB2312"/>
                <w:sz w:val="18"/>
                <w:b/>
                <w:color w:val="000000"/>
              </w:rPr>
              <w:t>、商务要求</w:t>
            </w:r>
          </w:p>
          <w:p>
            <w:pPr>
              <w:pStyle w:val="null3"/>
              <w:ind w:firstLine="360"/>
              <w:jc w:val="both"/>
            </w:pPr>
            <w:r>
              <w:rPr>
                <w:rFonts w:ascii="仿宋_GB2312" w:hAnsi="仿宋_GB2312" w:cs="仿宋_GB2312" w:eastAsia="仿宋_GB2312"/>
                <w:sz w:val="18"/>
                <w:color w:val="000000"/>
              </w:rPr>
              <w:t>1.工期要求：</w:t>
            </w:r>
            <w:r>
              <w:rPr>
                <w:rFonts w:ascii="仿宋_GB2312" w:hAnsi="仿宋_GB2312" w:cs="仿宋_GB2312" w:eastAsia="仿宋_GB2312"/>
                <w:sz w:val="18"/>
                <w:color w:val="000000"/>
              </w:rPr>
              <w:t>自合同签订之日起</w:t>
            </w:r>
            <w:r>
              <w:rPr>
                <w:rFonts w:ascii="仿宋_GB2312" w:hAnsi="仿宋_GB2312" w:cs="仿宋_GB2312" w:eastAsia="仿宋_GB2312"/>
                <w:sz w:val="18"/>
                <w:color w:val="000000"/>
              </w:rPr>
              <w:t>50日历天。</w:t>
            </w:r>
          </w:p>
          <w:p>
            <w:pPr>
              <w:pStyle w:val="null3"/>
              <w:ind w:firstLine="360"/>
              <w:jc w:val="both"/>
            </w:pPr>
            <w:r>
              <w:rPr>
                <w:rFonts w:ascii="仿宋_GB2312" w:hAnsi="仿宋_GB2312" w:cs="仿宋_GB2312" w:eastAsia="仿宋_GB2312"/>
                <w:sz w:val="18"/>
                <w:color w:val="000000"/>
              </w:rPr>
              <w:t>2.质量要求：合格(符合国家、行业的标准和有关规定)。</w:t>
            </w:r>
          </w:p>
          <w:p>
            <w:pPr>
              <w:pStyle w:val="null3"/>
              <w:ind w:firstLine="360"/>
              <w:jc w:val="both"/>
            </w:pPr>
            <w:r>
              <w:rPr>
                <w:rFonts w:ascii="仿宋_GB2312" w:hAnsi="仿宋_GB2312" w:cs="仿宋_GB2312" w:eastAsia="仿宋_GB2312"/>
                <w:sz w:val="18"/>
                <w:color w:val="000000"/>
              </w:rPr>
              <w:t>3.质保要求：所有完工结算项目，保修期1年。</w:t>
            </w:r>
          </w:p>
          <w:p>
            <w:pPr>
              <w:pStyle w:val="null3"/>
              <w:ind w:firstLine="360"/>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.安全要求：</w:t>
            </w:r>
          </w:p>
          <w:p>
            <w:pPr>
              <w:pStyle w:val="null3"/>
              <w:ind w:firstLine="360"/>
              <w:jc w:val="left"/>
            </w:pPr>
            <w:r>
              <w:rPr>
                <w:rFonts w:ascii="仿宋_GB2312" w:hAnsi="仿宋_GB2312" w:cs="仿宋_GB2312" w:eastAsia="仿宋_GB2312"/>
                <w:sz w:val="18"/>
                <w:color w:val="000000"/>
              </w:rPr>
              <w:t>合同执行过程中，乙方应对自身安全负责，要遵守国家的相关安全规定。</w:t>
            </w:r>
          </w:p>
          <w:p>
            <w:pPr>
              <w:pStyle w:val="null3"/>
              <w:ind w:firstLine="361"/>
              <w:jc w:val="left"/>
            </w:pPr>
            <w:r>
              <w:rPr>
                <w:rFonts w:ascii="仿宋_GB2312" w:hAnsi="仿宋_GB2312" w:cs="仿宋_GB2312" w:eastAsia="仿宋_GB2312"/>
                <w:sz w:val="18"/>
                <w:b/>
                <w:color w:val="000000"/>
              </w:rPr>
              <w:t>三</w:t>
            </w:r>
            <w:r>
              <w:rPr>
                <w:rFonts w:ascii="仿宋_GB2312" w:hAnsi="仿宋_GB2312" w:cs="仿宋_GB2312" w:eastAsia="仿宋_GB2312"/>
                <w:sz w:val="18"/>
                <w:b/>
                <w:color w:val="000000"/>
              </w:rPr>
              <w:t>、合同支付</w:t>
            </w:r>
          </w:p>
          <w:p>
            <w:pPr>
              <w:pStyle w:val="null3"/>
              <w:ind w:firstLine="360"/>
              <w:jc w:val="both"/>
            </w:pPr>
            <w:r>
              <w:rPr>
                <w:rFonts w:ascii="仿宋_GB2312" w:hAnsi="仿宋_GB2312" w:cs="仿宋_GB2312" w:eastAsia="仿宋_GB2312"/>
                <w:sz w:val="18"/>
                <w:color w:val="000000"/>
              </w:rPr>
              <w:t>按照施工进度付款，工程全</w:t>
            </w:r>
            <w:r>
              <w:rPr>
                <w:rFonts w:ascii="仿宋_GB2312" w:hAnsi="仿宋_GB2312" w:cs="仿宋_GB2312" w:eastAsia="仿宋_GB2312"/>
                <w:sz w:val="18"/>
                <w:color w:val="000000"/>
              </w:rPr>
              <w:t>部完工自查验收后，支付至结算总价款的</w:t>
            </w:r>
            <w:r>
              <w:rPr>
                <w:rFonts w:ascii="仿宋_GB2312" w:hAnsi="仿宋_GB2312" w:cs="仿宋_GB2312" w:eastAsia="仿宋_GB2312"/>
                <w:sz w:val="18"/>
                <w:color w:val="000000"/>
              </w:rPr>
              <w:t>97%,工程质量保修 期满后一次性支付剩余的价款。</w:t>
            </w:r>
          </w:p>
          <w:p>
            <w:pPr>
              <w:pStyle w:val="null3"/>
              <w:ind w:firstLine="361"/>
              <w:jc w:val="both"/>
            </w:pPr>
            <w:r>
              <w:rPr>
                <w:rFonts w:ascii="仿宋_GB2312" w:hAnsi="仿宋_GB2312" w:cs="仿宋_GB2312" w:eastAsia="仿宋_GB2312"/>
                <w:sz w:val="18"/>
                <w:b/>
                <w:color w:val="000000"/>
              </w:rPr>
              <w:t>四</w:t>
            </w:r>
            <w:r>
              <w:rPr>
                <w:rFonts w:ascii="仿宋_GB2312" w:hAnsi="仿宋_GB2312" w:cs="仿宋_GB2312" w:eastAsia="仿宋_GB2312"/>
                <w:sz w:val="18"/>
                <w:b/>
                <w:color w:val="000000"/>
              </w:rPr>
              <w:t>、施工要求</w:t>
            </w:r>
          </w:p>
          <w:p>
            <w:pPr>
              <w:pStyle w:val="null3"/>
              <w:ind w:firstLine="360"/>
              <w:jc w:val="both"/>
            </w:pPr>
            <w:r>
              <w:rPr>
                <w:rFonts w:ascii="仿宋_GB2312" w:hAnsi="仿宋_GB2312" w:cs="仿宋_GB2312" w:eastAsia="仿宋_GB2312"/>
                <w:sz w:val="18"/>
                <w:color w:val="000000"/>
              </w:rPr>
              <w:t>1、严格执行国家现行规范、标准。</w:t>
            </w:r>
          </w:p>
          <w:p>
            <w:pPr>
              <w:pStyle w:val="null3"/>
              <w:ind w:firstLine="360"/>
              <w:jc w:val="both"/>
            </w:pPr>
            <w:r>
              <w:rPr>
                <w:rFonts w:ascii="仿宋_GB2312" w:hAnsi="仿宋_GB2312" w:cs="仿宋_GB2312" w:eastAsia="仿宋_GB2312"/>
                <w:sz w:val="18"/>
                <w:color w:val="000000"/>
              </w:rPr>
              <w:t>2、明确职责，严格岗位责任，齐心协力做好工作，确保工程按计划进行。</w:t>
            </w:r>
          </w:p>
          <w:p>
            <w:pPr>
              <w:pStyle w:val="null3"/>
              <w:ind w:firstLine="360"/>
              <w:jc w:val="both"/>
            </w:pPr>
            <w:r>
              <w:rPr>
                <w:rFonts w:ascii="仿宋_GB2312" w:hAnsi="仿宋_GB2312" w:cs="仿宋_GB2312" w:eastAsia="仿宋_GB2312"/>
                <w:sz w:val="18"/>
                <w:color w:val="000000"/>
              </w:rPr>
              <w:t>3、加强管理，确保施工中的人员安全。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合格(符合国家、行业的标准和有关规定)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1.本项目采购活动执行下列政府采购政策： （1）《财政部 国家发展改革委关于印发〈节能产品政府采购实施意见〉的通知》（财库〔2004〕185号）； （2）《国务院办公厅关于建立政府强制采购节能产品制度的通知》（国办发〔2007〕51号）； （3）《财政部环保总局关于环境标志产品政府采购实施的意见》（财库〔2006〕90号）； （4）《财政部 司法部关于政府采购支持监狱企业发展有关问题的通知》（财库〔2014〕68号）； （5）《财政部、民政部、中国残疾人联合会关于促进残疾人就业政府采购政策的通知》（财库〔2017〕141号）； （6）《财政部 发展改革委 生态环境部 市场监管总局关于调整优化节能产品、环境标志产品政府采购执行机制的通知》（财库〔2019〕9号）；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（13）其他需执行的政府采购政策； 2.本项目为专门面向中小企业； 3.本项目所属行业为建筑业。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供应商须具备建设行政主管部门颁发的水利水电工程施工总承包三级（含三级）以上资质，并具备有效的安全生产许可证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拟派项目经理须具备有效的水利水电工程专业二级（含二级）以上建造师注册证，具备水行政主管部门颁发的安全生产考核合格证（B证），且在本单位注册，无在建工程（提供无在建工程承诺书）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具有审计资质单位出具的2024年或2025年的财务审计报告（成立时间至提交磋商响应文件截止时间不足一年的可提供成立后任意时段的资产负债表），或其磋商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应符合竞争性磋商响应文件要求。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报价唯一，磋商报价符合唯一性要求、响应报价表填写符合要求、报价货币符合磋商文件要求、报价数量与要求符合并未出现漏项、未超出采购预算和磋商文件规定的各分项最高限价； 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磋商响应文件中项目名称、项目编号与本项目一致；磋商响应文件至少包括：（1）响应函、（2）响应报价表、（3）供应商资格证明、（4）采购需求偏离表。</w:t>
            </w:r>
          </w:p>
        </w:tc>
        <w:tc>
          <w:tcPr>
            <w:tcW w:type="dxa" w:w="1661"/>
          </w:tcPr>
          <w:p>
            <w:pPr>
              <w:pStyle w:val="null3"/>
            </w:pPr>
            <w:r>
              <w:rPr>
                <w:rFonts w:ascii="仿宋_GB2312" w:hAnsi="仿宋_GB2312" w:cs="仿宋_GB2312" w:eastAsia="仿宋_GB2312"/>
              </w:rPr>
              <w:t>响应文件封面 报价函 采购需求偏离表.docx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要求实质性条款全部响应，不能有采购人不能 接受的附加条件，未有负偏离且响应的内容未 含有采购人不能接受的附加条件。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提供针对本项目的施工方案，内容包括但不限于①施工准备：技术准备、材料准备、机械准备、机具准备、劳动力准备。② 施工方法及工艺；③重难点及解决方案；④应急方案等内容进行综合评审；施工方案合理可行，详细、工作节点清晰，得15分；施工方案较合理可行，较详细、工作节点较清晰，得12分；施工方案基本合理，不明确，需进一步协调，得9分；施工方案不合理，简单，得6分；方案只有框架，得3分；其他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针对本项目提供的质量保证措施计划进行综合评审。 1、措施计划齐全、合理且切实可行，完全满足采购人需求，得8分； 2、措施计划较齐全、合理、切实可行，满足采购人需求，得6分； 3、措施计划较齐全、合理、基本可行，基本满足采购人需求，得3分； 4、措施计划基本完备齐全、合理性、可行性较差，得1分；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针对本项目提供的工程进度计划与措施进行综合评审。 1、措施计划齐全、合理且切实可行，完全满足采购人需求，得10分； 2、措施计划较齐全、合理、切实可行，满足采购人需求，得7分； 3、措施计划较齐全、合理、基本可行，基本满足采购人需求，得4分； 4、措施计划基本完备齐全、合理性、可行性较差，得1分；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针对本项目提供的安全施工措施进行综合评审。 1、措施齐全、合理且切实可行，完全满足采购人需求，得8分； 2、措施较齐全、合理、切实可行，满足采购人需求，得6分； 3、措施较齐全、合理、基本可行，基本满足采购人需求，得3分； 4、措施基本完备齐全、合理性、可行性较差，得1分；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针对本项目提供的文明施工措施进行综合评审。 1、措施齐全、合理且切实可行，完全满足采购人需求，得8分； 2、措施较齐全、合理、切实可行，满足采购人需求，得6分； 3、措施较齐全、合理、基本可行，基本满足采购人需求，得3分； 4、措施基本完备齐全、合理性、可行性较差，得1分；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针对本项目提供的环境保护措施进行综合评审。1、提供的环境保护措施具体、详细，完全符合并优于采购人安全作业的要求，得5分； 2、提供环境保护措施较详细、较完整，符合采购人安全作业的要求，得3分； 3、提供环境保护措施基本合理可行，符合采购人安全作业的要求，得2分； 4、提供环境保护措施简单，基本符合采购人安全作业的要求，得1分；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提供针对本项目组织机构，内容包含但不限于①管理机构的配备计划；②组织机构的岗位职责等内容进行综合评审；1、人员专业技术能力强，岗位职责清晰，得10分； 2、人员有一定的专业技术能力，岗位职责较清晰，得7分；人员有一定的专业技术能力，岗位职责较清晰，得4分； 3、人员专业技术能力欠缺，得1分；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供应商2023年1月1日至今已完类似项目业绩，提供一个业绩得2分，满分6分。（以合同签订日期为准，证明材料为合同首页、双方签字盖章页以及能够反映合同内容的部分）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经初审合格的磋商响应文件，其磋商报价为有效磋商报价，并进行价格评审。满足磋商文件实质性要求且最终报价最低的供应商的价格为 磋商基准价，其价格分为满分30分。磋商报价得分=（磋商基准价/最 终磋商报价）×30的公式计算得分。 磋商报价不完整的，不进入评标 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