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版本号：SXJHZB-2026-0818-00120260818001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镇巴县渔渡镇百草渔水河桥建设工程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SXJHZB-2026-0818-001</w:t>
      </w:r>
      <w:r>
        <w:br/>
      </w:r>
      <w:r>
        <w:br/>
      </w:r>
      <w:r>
        <w:br/>
      </w:r>
    </w:p>
    <w:p>
      <w:pPr>
        <w:pStyle w:val="null3"/>
        <w:jc w:val="center"/>
        <w:outlineLvl w:val="2"/>
      </w:pPr>
      <w:r>
        <w:rPr>
          <w:rFonts w:ascii="仿宋_GB2312" w:hAnsi="仿宋_GB2312" w:cs="仿宋_GB2312" w:eastAsia="仿宋_GB2312"/>
          <w:sz w:val="28"/>
          <w:b/>
        </w:rPr>
        <w:t>镇巴县交通运输局</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镇巴县交通运输局</w:t>
      </w:r>
      <w:r>
        <w:rPr>
          <w:rFonts w:ascii="仿宋_GB2312" w:hAnsi="仿宋_GB2312" w:cs="仿宋_GB2312" w:eastAsia="仿宋_GB2312"/>
        </w:rPr>
        <w:t>委托，拟对</w:t>
      </w:r>
      <w:r>
        <w:rPr>
          <w:rFonts w:ascii="仿宋_GB2312" w:hAnsi="仿宋_GB2312" w:cs="仿宋_GB2312" w:eastAsia="仿宋_GB2312"/>
        </w:rPr>
        <w:t>镇巴县渔渡镇百草渔水河桥建设工程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SXJHZB-2026-0818-001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镇巴县渔渡镇百草渔水河桥建设工程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工程建设规模及内容：新建桥梁一座，位于渔渡镇小寨村百草组渔水河，路线全长 207米，主要包括桥梁工程、引线工程,其中桥梁全长 45 米，结构型式为 3-13m 预应力混凝土空心板桥，桥面净宽6.5米，两侧设置2×0.5钢筋混凝土护栏；桥梁引线全长162 米，采用四级公路技术标准，设计速度 20km/h，路基宽度6.5米，路面宽度6.0米，水泥混凝土路面。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采购包1（镇巴县渔渡镇百草渔水河桥建设工程）：属于专门面向中小企业采购。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18292600782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采购包1：2,202,599.19元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镇巴县交通运输局</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2,202,599.19</w:t>
      </w:r>
    </w:p>
    <w:p>
      <w:pPr>
        <w:pStyle w:val="null3"/>
      </w:pPr>
      <w:r>
        <w:rPr>
          <w:rFonts w:ascii="仿宋_GB2312" w:hAnsi="仿宋_GB2312" w:cs="仿宋_GB2312" w:eastAsia="仿宋_GB2312"/>
        </w:rPr>
        <w:t>采购包最高限价（元）: 2,131,730.92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镇巴县渔渡镇百草渔水河桥建设工程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2,202,599.19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标的名称：镇巴县渔渡镇百草渔水河桥建设工程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工程建设规模及内容：新建桥梁一座，位于渔渡镇小寨村百草组渔水河，路线全长</w:t>
            </w:r>
            <w:r>
              <w:rPr>
                <w:rFonts w:ascii="仿宋_GB2312" w:hAnsi="仿宋_GB2312" w:cs="仿宋_GB2312" w:eastAsia="仿宋_GB2312"/>
                <w:sz w:val="28"/>
              </w:rPr>
              <w:t>207米，主要包括桥梁工程、引线工程,其中桥梁全长 45 米，结构型式为 3-13m 预应力混凝土空心板桥，桥面净宽6.5米，两侧设置2×0.5钢筋混凝土护栏；桥梁引线全长162 米，采用四级公路技术标准，设计速度 20km/h，路基宽度6.5米，路面宽度6.0米，水泥混凝土路面。。</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1、设计施工图：陕西鼎泽交通科技有限公司设计的《镇巴县渔渡镇百草渔水河桥建设工程》施工图设计文件。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6</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其中钢筋、水泥含料场至工地</w:t>
            </w:r>
            <w:r>
              <w:rPr>
                <w:rFonts w:ascii="仿宋_GB2312" w:hAnsi="仿宋_GB2312" w:cs="仿宋_GB2312" w:eastAsia="仿宋_GB2312"/>
                <w:sz w:val="28"/>
              </w:rPr>
              <w:t>28.5KM运距。</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r>
              <w:rPr>
                <w:rFonts w:ascii="仿宋_GB2312" w:hAnsi="仿宋_GB2312" w:cs="仿宋_GB2312" w:eastAsia="仿宋_GB2312"/>
                <w:sz w:val="28"/>
                <w:color w:val="000000"/>
              </w:rPr>
              <w:t>90KM</w:t>
            </w:r>
            <w:r>
              <w:rPr>
                <w:rFonts w:ascii="仿宋_GB2312" w:hAnsi="仿宋_GB2312" w:cs="仿宋_GB2312" w:eastAsia="仿宋_GB2312"/>
                <w:sz w:val="28"/>
                <w:color w:val="000000"/>
              </w:rPr>
              <w:t>。</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取综合里程</w:t>
            </w:r>
            <w:r>
              <w:rPr>
                <w:rFonts w:ascii="仿宋_GB2312" w:hAnsi="仿宋_GB2312" w:cs="仿宋_GB2312" w:eastAsia="仿宋_GB2312"/>
                <w:sz w:val="28"/>
                <w:color w:val="000000"/>
              </w:rPr>
              <w:t>10KM</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537"/>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4、应采购人要求承包人驻地建设调整为75000.00元，拌和站安拆调整为85000.00元。</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最高限价</w:t>
            </w:r>
          </w:p>
          <w:p>
            <w:pPr>
              <w:pStyle w:val="null3"/>
              <w:ind w:firstLine="560"/>
              <w:jc w:val="left"/>
            </w:pPr>
            <w:r>
              <w:rPr>
                <w:rFonts w:ascii="仿宋_GB2312" w:hAnsi="仿宋_GB2312" w:cs="仿宋_GB2312" w:eastAsia="仿宋_GB2312"/>
                <w:sz w:val="28"/>
              </w:rPr>
              <w:t>总金额</w:t>
            </w:r>
            <w:r>
              <w:rPr>
                <w:rFonts w:ascii="仿宋_GB2312" w:hAnsi="仿宋_GB2312" w:cs="仿宋_GB2312" w:eastAsia="仿宋_GB2312"/>
                <w:sz w:val="28"/>
              </w:rPr>
              <w:t>：</w:t>
            </w:r>
            <w:r>
              <w:rPr>
                <w:rFonts w:ascii="仿宋_GB2312" w:hAnsi="仿宋_GB2312" w:cs="仿宋_GB2312" w:eastAsia="仿宋_GB2312"/>
                <w:sz w:val="28"/>
              </w:rPr>
              <w:t>2131730.92元。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1、工期：180日历天；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项目经理简历表.pdf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180日历天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供应商类似项目业绩一览表.docx 中小企业声明函 供应商承诺书.pdf 供应商应提交的相关资格证明材料(1).pdf 响应文件封面 技术响应方案.docx 残疾人福利性单位声明函 报价函 项目经理简历表.pdf 标的清单 拟投入本项目人员配置情况表.pdf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3、提供2023年1月1日至今类似业绩证明1个，得2分。 (注：业绩须是供应商项目经理完成的桥梁工程同类施工业绩，提供中标通知书、协议书（合同）或完工证明或竣工验收证明原件或加盖公章的复印件等其他合法证明材料，否则不得分。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注：业绩须是供应商完成的桥梁工程同类施工业绩，提供中标通知书、协议书（合同）或完工证明或竣工验收证明原件或加盖公章的复印件等其他合法证明材料，否则不作为加分项。其次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