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版本号：SXZHZB2026-ZC050-GK20260727001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西安市城市地质安全风险调查与评价试点项目（地灾专项）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SXZHZB2026-ZC050-GK</w:t>
      </w:r>
      <w:r>
        <w:br/>
      </w:r>
      <w:r>
        <w:br/>
      </w:r>
      <w:r>
        <w:br/>
      </w:r>
    </w:p>
    <w:p>
      <w:pPr>
        <w:pStyle w:val="null3"/>
        <w:jc w:val="center"/>
        <w:outlineLvl w:val="2"/>
      </w:pPr>
      <w:r>
        <w:rPr>
          <w:rFonts w:ascii="仿宋_GB2312" w:hAnsi="仿宋_GB2312" w:cs="仿宋_GB2312" w:eastAsia="仿宋_GB2312"/>
          <w:sz w:val="28"/>
          <w:b/>
        </w:rPr>
        <w:t>西安市自然资源和规划局（本级）</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西安市自然资源和规划局（本级）</w:t>
      </w:r>
      <w:r>
        <w:rPr>
          <w:rFonts w:ascii="仿宋_GB2312" w:hAnsi="仿宋_GB2312" w:cs="仿宋_GB2312" w:eastAsia="仿宋_GB2312"/>
        </w:rPr>
        <w:t>委托，拟对</w:t>
      </w:r>
      <w:r>
        <w:rPr>
          <w:rFonts w:ascii="仿宋_GB2312" w:hAnsi="仿宋_GB2312" w:cs="仿宋_GB2312" w:eastAsia="仿宋_GB2312"/>
        </w:rPr>
        <w:t>西安市城市地质安全风险调查与评价试点项目（地灾专项）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SXZHZB2026-ZC050-GK</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西安市城市地质安全风险调查与评价试点项目（地灾专项）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按照《自然资源部办公厅关于开展城市地质安全风险调查评价与区划试点工作的通知》（自然资办函〔2024〕2427号）和《陕西省自然资源厅关于开展城市地质安全风险调查评价与区划试点工作的通知》（陕自然资勘函〔2025〕456号）安排部署以及市政府办公厅关于该项工作的批办要求（综八资规〔2025〕306号），西安作为第一批试点城市，要求在2025-2026年期间联合省厅组织开展西安城市地质安全风险调查、评价及区划试点工作，并进一步做好成果的应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西安市自然资源和规划局（本级）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市级机关凤城九路办公区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029-61329288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029-86252018转804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代理服务费收费标准：参照国家计委颁发的《招标代理服务收费管理暂行办法》（计价格[2002]1980号）和财政部颁发的《政府采购代理机构管理暂行办法》（财库[2018]2号）的有关规定执行。 由中标人支付招标代理服务费的，招标代理服务费在领取《中标通知书》前，由中标人一次性支付给受托人。 开户名称：陕西纵横项目管理有限公司 开户银行：浙商银行股份有限公司西安未央路支行 账号：7910 0006 1012 0100 0294 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西安市自然资源和规划局（本级）</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西安市自然资源和规划局（本级）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西安市自然资源和规划局（本级）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符合现行相关技术要求，并通过专家组验收。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联系人：范工</w:t>
      </w:r>
    </w:p>
    <w:p>
      <w:pPr>
        <w:pStyle w:val="null3"/>
      </w:pPr>
      <w:r>
        <w:rPr>
          <w:rFonts w:ascii="仿宋_GB2312" w:hAnsi="仿宋_GB2312" w:cs="仿宋_GB2312" w:eastAsia="仿宋_GB2312"/>
        </w:rPr>
        <w:t>联系电话：029-86252018转804</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自然资源部办公厅关于开展城市地质安全风险调查评价与区划试点工作的通知》（自然资办函〔2024〕2427号）和《陕西省自然资源厅关于开展城市地质安全风险调查评价与区划试点工作的通知》（陕自然资勘函〔2025〕456号）安排部署以及市政府办公厅关于该项工作的批办要求（综八资规〔2025〕306号），西安作为第一批试点城市，要求在2025-2026年期间联合省厅组织开展西安城市地质安全风险调查、评价及区划试点工作，并进一步做好成果的应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4,950,000.00</w:t>
      </w:r>
    </w:p>
    <w:p>
      <w:pPr>
        <w:pStyle w:val="null3"/>
      </w:pPr>
      <w:r>
        <w:rPr>
          <w:rFonts w:ascii="仿宋_GB2312" w:hAnsi="仿宋_GB2312" w:cs="仿宋_GB2312" w:eastAsia="仿宋_GB2312"/>
        </w:rPr>
        <w:t>采购包最高限价（元）: 4,950,000.00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西安市城市地质安全风险调查与评价试点项目（地灾专项）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标的名称：西安市城市地质安全风险调查与评价试点项目（地灾专项）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按照《自然资源部办公厅关于开展城市地质安全风险调查评价与区划试点工作的通知》（自然资办函〔2024〕2427号）和《陕西省自然资源厅关于开展城市地质安全风险调查评价与区划试点工作的通知》（陕自然资勘函〔2025〕456号）安排部署以及市政府办公厅关于该项工作的批办要求（综八资规〔2025〕306号），西安作为第一批试点城市，要求在2025-2026年期间联合省厅组织开展西安城市地质安全风险调查、评价及区划试点工作，并进一步做好成果的应用。</w:t>
            </w:r>
          </w:p>
          <w:p>
            <w:pPr>
              <w:pStyle w:val="null3"/>
            </w:pPr>
            <w:r>
              <w:rPr>
                <w:rFonts w:ascii="仿宋_GB2312" w:hAnsi="仿宋_GB2312" w:cs="仿宋_GB2312" w:eastAsia="仿宋_GB2312"/>
              </w:rPr>
              <w:t>二、 采购内容</w:t>
            </w:r>
          </w:p>
          <w:p>
            <w:pPr>
              <w:pStyle w:val="null3"/>
            </w:pPr>
            <w:r>
              <w:rPr>
                <w:rFonts w:ascii="仿宋_GB2312" w:hAnsi="仿宋_GB2312" w:cs="仿宋_GB2312" w:eastAsia="仿宋_GB2312"/>
              </w:rPr>
              <w:t>（1）工作范围：西安市中心城区面积766km2（东、西以绕城高速为界，南自长安，北到渭河，包括西安新城区、碑林区、莲湖区、雁塔区、未央区、灞桥区及长安区（不含秦岭生态保护区））。</w:t>
            </w:r>
          </w:p>
          <w:p>
            <w:pPr>
              <w:pStyle w:val="null3"/>
            </w:pPr>
            <w:r>
              <w:rPr>
                <w:rFonts w:ascii="仿宋_GB2312" w:hAnsi="仿宋_GB2312" w:cs="仿宋_GB2312" w:eastAsia="仿宋_GB2312"/>
              </w:rPr>
              <w:t>（2）工作内容：配合省厅开展西安城市地质补充调查、分析基础地质条件及城市地质安全问题、完成城市地质安全风险评价与区划；按照《城市地质调查数据内容与数据库结构》（DZ/T 0352-2020）,《城市地质调查规范》（DZ/T 0306-2017）等相关技术要求，建立符合我市实际情况的统一地质数据结构标准，完成项目范围内不少于5000份城市地质成果报告的收集、整理与数据提取、治理的技术服务以及后期成果应用的技术支撑工作。</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（1）《城市地质调查数据内容与数据库结构》（DZ/T 0352-2020）；</w:t>
            </w:r>
          </w:p>
          <w:p>
            <w:pPr>
              <w:pStyle w:val="null3"/>
            </w:pPr>
            <w:r>
              <w:rPr>
                <w:rFonts w:ascii="仿宋_GB2312" w:hAnsi="仿宋_GB2312" w:cs="仿宋_GB2312" w:eastAsia="仿宋_GB2312"/>
              </w:rPr>
              <w:t>（2）《城市地质调查规范》（DZ/T 0306-2017）；</w:t>
            </w:r>
          </w:p>
          <w:p>
            <w:pPr>
              <w:pStyle w:val="null3"/>
            </w:pPr>
            <w:r>
              <w:rPr>
                <w:rFonts w:ascii="仿宋_GB2312" w:hAnsi="仿宋_GB2312" w:cs="仿宋_GB2312" w:eastAsia="仿宋_GB2312"/>
              </w:rPr>
              <w:t>（3）国家、行业现行的规范或者相关标准；</w:t>
            </w:r>
          </w:p>
          <w:p>
            <w:pPr>
              <w:pStyle w:val="null3"/>
            </w:pPr>
            <w:r>
              <w:rPr>
                <w:rFonts w:ascii="仿宋_GB2312" w:hAnsi="仿宋_GB2312" w:cs="仿宋_GB2312" w:eastAsia="仿宋_GB2312"/>
              </w:rPr>
              <w:t>（4）经采购人审定的本项目实施方案。</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（1）人员</w:t>
            </w:r>
          </w:p>
          <w:p>
            <w:pPr>
              <w:pStyle w:val="null3"/>
            </w:pPr>
            <w:r>
              <w:rPr>
                <w:rFonts w:ascii="仿宋_GB2312" w:hAnsi="仿宋_GB2312" w:cs="仿宋_GB2312" w:eastAsia="仿宋_GB2312"/>
              </w:rPr>
              <w:t>水工环、地质、岩土、测量及计算机相关专业技术人员不少于15人，其中高级职称不少于5人，中级职称不少于5人。</w:t>
            </w:r>
          </w:p>
          <w:p>
            <w:pPr>
              <w:pStyle w:val="null3"/>
            </w:pPr>
            <w:r>
              <w:rPr>
                <w:rFonts w:ascii="仿宋_GB2312" w:hAnsi="仿宋_GB2312" w:cs="仿宋_GB2312" w:eastAsia="仿宋_GB2312"/>
              </w:rPr>
              <w:t>（2）服务标准</w:t>
            </w:r>
          </w:p>
          <w:p>
            <w:pPr>
              <w:pStyle w:val="null3"/>
            </w:pPr>
            <w:r>
              <w:rPr>
                <w:rFonts w:ascii="仿宋_GB2312" w:hAnsi="仿宋_GB2312" w:cs="仿宋_GB2312" w:eastAsia="仿宋_GB2312"/>
              </w:rPr>
              <w:t>符合现行相关技术要求，并经专家组验收通过。</w:t>
            </w:r>
          </w:p>
          <w:p>
            <w:pPr>
              <w:pStyle w:val="null3"/>
            </w:pPr>
            <w:r>
              <w:rPr>
                <w:rFonts w:ascii="仿宋_GB2312" w:hAnsi="仿宋_GB2312" w:cs="仿宋_GB2312" w:eastAsia="仿宋_GB2312"/>
              </w:rPr>
              <w:t>（3）技术服务要求</w:t>
            </w:r>
          </w:p>
          <w:p>
            <w:pPr>
              <w:pStyle w:val="null3"/>
            </w:pPr>
            <w:r>
              <w:rPr>
                <w:rFonts w:ascii="仿宋_GB2312" w:hAnsi="仿宋_GB2312" w:cs="仿宋_GB2312" w:eastAsia="仿宋_GB2312"/>
              </w:rPr>
              <w:t>本次项目设计的主要目的是按照国家、行业现行规程规范及相关要求，完成项目范围内5000份城市地质成果报告的收集、整理与数据提取、治理的技术服务工作。具体要求为：</w:t>
            </w:r>
          </w:p>
          <w:p>
            <w:pPr>
              <w:pStyle w:val="null3"/>
            </w:pPr>
            <w:r>
              <w:rPr>
                <w:rFonts w:ascii="仿宋_GB2312" w:hAnsi="仿宋_GB2312" w:cs="仿宋_GB2312" w:eastAsia="仿宋_GB2312"/>
              </w:rPr>
              <w:t>（一）资料搜集整理</w:t>
            </w:r>
          </w:p>
          <w:p>
            <w:pPr>
              <w:pStyle w:val="null3"/>
            </w:pPr>
            <w:r>
              <w:rPr>
                <w:rFonts w:ascii="仿宋_GB2312" w:hAnsi="仿宋_GB2312" w:cs="仿宋_GB2312" w:eastAsia="仿宋_GB2312"/>
              </w:rPr>
              <w:t>系统搜集整理西安地区历年积累的工程地质、水文地质、地质环境监测、地震、不良地质体（湿陷性黄土、液化砂土）等领域成果资料不应少于5000份，对报告进行专业分类编码，编制涵盖项目名称、项目位置、项目作者、工作单位、完成时间、成果等级等关键信息的数据目录，提交成果报告电子版pdf及相应的数据目录。</w:t>
            </w:r>
          </w:p>
          <w:p>
            <w:pPr>
              <w:pStyle w:val="null3"/>
            </w:pPr>
            <w:r>
              <w:rPr>
                <w:rFonts w:ascii="仿宋_GB2312" w:hAnsi="仿宋_GB2312" w:cs="仿宋_GB2312" w:eastAsia="仿宋_GB2312"/>
              </w:rPr>
              <w:t>（二）资料分析治理</w:t>
            </w:r>
          </w:p>
          <w:p>
            <w:pPr>
              <w:pStyle w:val="null3"/>
            </w:pPr>
            <w:r>
              <w:rPr>
                <w:rFonts w:ascii="仿宋_GB2312" w:hAnsi="仿宋_GB2312" w:cs="仿宋_GB2312" w:eastAsia="仿宋_GB2312"/>
              </w:rPr>
              <w:t>1.工程地质类</w:t>
            </w:r>
          </w:p>
          <w:p>
            <w:pPr>
              <w:pStyle w:val="null3"/>
            </w:pPr>
            <w:r>
              <w:rPr>
                <w:rFonts w:ascii="仿宋_GB2312" w:hAnsi="仿宋_GB2312" w:cs="仿宋_GB2312" w:eastAsia="仿宋_GB2312"/>
              </w:rPr>
              <w:t>工程地质类数据生产可按照500m*500m网格间距原则均匀分布提取，勘察资料年代不同、规范版本不同、坐标系统不同，所有数据需逐项进行坐标转换、高程基准统一、地层名称新旧规范对照与归并，提取工程地质勘察报告数据不少于4000份，总钻孔数量不少于2万孔。其中：</w:t>
            </w:r>
          </w:p>
          <w:p>
            <w:pPr>
              <w:pStyle w:val="null3"/>
            </w:pPr>
            <w:r>
              <w:rPr>
                <w:rFonts w:ascii="仿宋_GB2312" w:hAnsi="仿宋_GB2312" w:cs="仿宋_GB2312" w:eastAsia="仿宋_GB2312"/>
              </w:rPr>
              <w:t>①钻孔基本信息应全部提取；</w:t>
            </w:r>
          </w:p>
          <w:p>
            <w:pPr>
              <w:pStyle w:val="null3"/>
            </w:pPr>
            <w:r>
              <w:rPr>
                <w:rFonts w:ascii="仿宋_GB2312" w:hAnsi="仿宋_GB2312" w:cs="仿宋_GB2312" w:eastAsia="仿宋_GB2312"/>
              </w:rPr>
              <w:t>②地层信息每份报告提取不少于4孔；</w:t>
            </w:r>
          </w:p>
          <w:p>
            <w:pPr>
              <w:pStyle w:val="null3"/>
            </w:pPr>
            <w:r>
              <w:rPr>
                <w:rFonts w:ascii="仿宋_GB2312" w:hAnsi="仿宋_GB2312" w:cs="仿宋_GB2312" w:eastAsia="仿宋_GB2312"/>
              </w:rPr>
              <w:t>③土工试验信息每份报告提取不少于1孔，深孔（探井）优先，黄土地层应优先选择含湿陷性试验的钻孔；</w:t>
            </w:r>
          </w:p>
          <w:p>
            <w:pPr>
              <w:pStyle w:val="null3"/>
            </w:pPr>
            <w:r>
              <w:rPr>
                <w:rFonts w:ascii="仿宋_GB2312" w:hAnsi="仿宋_GB2312" w:cs="仿宋_GB2312" w:eastAsia="仿宋_GB2312"/>
              </w:rPr>
              <w:t>④标准贯入试验信息每份报告提取不少于1孔，深孔优先，易液化低阶地区域砂层应有数据覆盖；</w:t>
            </w:r>
          </w:p>
          <w:p>
            <w:pPr>
              <w:pStyle w:val="null3"/>
            </w:pPr>
            <w:r>
              <w:rPr>
                <w:rFonts w:ascii="仿宋_GB2312" w:hAnsi="仿宋_GB2312" w:cs="仿宋_GB2312" w:eastAsia="仿宋_GB2312"/>
              </w:rPr>
              <w:t>⑤动力触探试验信息每份报告提取不少于1孔；</w:t>
            </w:r>
          </w:p>
          <w:p>
            <w:pPr>
              <w:pStyle w:val="null3"/>
            </w:pPr>
            <w:r>
              <w:rPr>
                <w:rFonts w:ascii="仿宋_GB2312" w:hAnsi="仿宋_GB2312" w:cs="仿宋_GB2312" w:eastAsia="仿宋_GB2312"/>
              </w:rPr>
              <w:t>⑥波速测试信息每份报告提取不少于1孔；</w:t>
            </w:r>
          </w:p>
          <w:p>
            <w:pPr>
              <w:pStyle w:val="null3"/>
            </w:pPr>
            <w:r>
              <w:rPr>
                <w:rFonts w:ascii="仿宋_GB2312" w:hAnsi="仿宋_GB2312" w:cs="仿宋_GB2312" w:eastAsia="仿宋_GB2312"/>
              </w:rPr>
              <w:t>⑦水腐蚀性简分析信息每份报告提取不少于1孔；</w:t>
            </w:r>
          </w:p>
          <w:p>
            <w:pPr>
              <w:pStyle w:val="null3"/>
            </w:pPr>
            <w:r>
              <w:rPr>
                <w:rFonts w:ascii="仿宋_GB2312" w:hAnsi="仿宋_GB2312" w:cs="仿宋_GB2312" w:eastAsia="仿宋_GB2312"/>
              </w:rPr>
              <w:t>⑧土易溶盐简分析信息每份报告提取不少于1孔。</w:t>
            </w:r>
          </w:p>
          <w:p>
            <w:pPr>
              <w:pStyle w:val="null3"/>
            </w:pPr>
            <w:r>
              <w:rPr>
                <w:rFonts w:ascii="仿宋_GB2312" w:hAnsi="仿宋_GB2312" w:cs="仿宋_GB2312" w:eastAsia="仿宋_GB2312"/>
              </w:rPr>
              <w:t>以上信息依据报告据实提取，报告中不含该项内容可忽略。</w:t>
            </w:r>
          </w:p>
          <w:p>
            <w:pPr>
              <w:pStyle w:val="null3"/>
            </w:pPr>
            <w:r>
              <w:rPr>
                <w:rFonts w:ascii="仿宋_GB2312" w:hAnsi="仿宋_GB2312" w:cs="仿宋_GB2312" w:eastAsia="仿宋_GB2312"/>
              </w:rPr>
              <w:t>2.水文地质类</w:t>
            </w:r>
          </w:p>
          <w:p>
            <w:pPr>
              <w:pStyle w:val="null3"/>
            </w:pPr>
            <w:r>
              <w:rPr>
                <w:rFonts w:ascii="仿宋_GB2312" w:hAnsi="仿宋_GB2312" w:cs="仿宋_GB2312" w:eastAsia="仿宋_GB2312"/>
              </w:rPr>
              <w:t>水文地质类数据生产可按照1000m*1000m网格间距原则分布提取，提取水文地质成果资料或数据不低于1000份，水文地质钻孔、自备井、地热钻孔、地热井等总体数量不低于1000孔，受客观条件约束，数据应尽可能的均匀分布。数据生产包括且不限于地层、抽水试验、热储分布、取水段分布、水质特征以及渗透率、含水率、砂厚比、地温梯度等信息。</w:t>
            </w:r>
          </w:p>
          <w:p>
            <w:pPr>
              <w:pStyle w:val="null3"/>
            </w:pPr>
            <w:r>
              <w:rPr>
                <w:rFonts w:ascii="仿宋_GB2312" w:hAnsi="仿宋_GB2312" w:cs="仿宋_GB2312" w:eastAsia="仿宋_GB2312"/>
              </w:rPr>
              <w:t>3.环境地质监测类</w:t>
            </w:r>
          </w:p>
          <w:p>
            <w:pPr>
              <w:pStyle w:val="null3"/>
            </w:pPr>
            <w:r>
              <w:rPr>
                <w:rFonts w:ascii="仿宋_GB2312" w:hAnsi="仿宋_GB2312" w:cs="仿宋_GB2312" w:eastAsia="仿宋_GB2312"/>
              </w:rPr>
              <w:t>系统收集整理西安地区历史地下水位、地面沉降、地裂缝监测报告及原始观测数据。资料涉及多行业部门、时间跨度大、高程基准不一、监测点位变动频繁等复杂情况，逐份资料逐点位进行系统梳理与比对，理清各监测点沿革及数据连续性状况。制定统一的数据标准，高程基准、规范监测点编号体系、规整时间序列，经标准化处理后形成时序连续、基准统一、质量可追溯的环境地质监测数据集，为地下水位动态分析、地面沉降趋势研判及地裂缝活动规律研究提供可靠基础数据支撑。</w:t>
            </w:r>
          </w:p>
          <w:p>
            <w:pPr>
              <w:pStyle w:val="null3"/>
            </w:pPr>
            <w:r>
              <w:rPr>
                <w:rFonts w:ascii="仿宋_GB2312" w:hAnsi="仿宋_GB2312" w:cs="仿宋_GB2312" w:eastAsia="仿宋_GB2312"/>
              </w:rPr>
              <w:t>（三）数据库建设</w:t>
            </w:r>
          </w:p>
          <w:p>
            <w:pPr>
              <w:pStyle w:val="null3"/>
            </w:pPr>
            <w:r>
              <w:rPr>
                <w:rFonts w:ascii="仿宋_GB2312" w:hAnsi="仿宋_GB2312" w:cs="仿宋_GB2312" w:eastAsia="仿宋_GB2312"/>
              </w:rPr>
              <w:t>以支撑西安市地质数据长期管理、展示分析和后续应用开发为核心目标，参照《城市地质调查数据内容与数据库结构》（DZ/T 0352-2020）的技术框架，结合我市现有地质资料的实际状况（涵盖不同历史时期、不同行业部门、不同格式标准的工程地质、水文地质、环境监测等各类数据），制定一套贴合国家标准和西安本地实际的地质数据库结构标准与数据录入规范。依据审定后的建库标准，组织具有地质专业背景的技术人员，将前阶段收集整理的数千份成果报告、数万孔工程及水文地质数据、长序列环境监测资料，经逐项质量核验、标准化转换、人工校核录入及多级质量抽检后，完整准确地入库，建立包含工程地质数据库、水文地质数据库、环境监测数据库、成果报告库及元数据库在内的综合地质数据库，实现各类地质数据的统一存储、统一管理和可追溯查询。所建数据库须数据内容完整、字段定义规范、空间基准统一，能够有效支撑我市地质数据的三维展示、专题查询、图件生成及后续应用系统开发等工作。</w:t>
            </w:r>
          </w:p>
          <w:p>
            <w:pPr>
              <w:pStyle w:val="null3"/>
            </w:pPr>
            <w:r>
              <w:rPr>
                <w:rFonts w:ascii="仿宋_GB2312" w:hAnsi="仿宋_GB2312" w:cs="仿宋_GB2312" w:eastAsia="仿宋_GB2312"/>
              </w:rPr>
              <w:t>（四）其他工作</w:t>
            </w:r>
          </w:p>
          <w:p>
            <w:pPr>
              <w:pStyle w:val="null3"/>
            </w:pPr>
            <w:r>
              <w:rPr>
                <w:rFonts w:ascii="仿宋_GB2312" w:hAnsi="仿宋_GB2312" w:cs="仿宋_GB2312" w:eastAsia="仿宋_GB2312"/>
              </w:rPr>
              <w:t>配合省厅开展西安城市地质补充调查、分析基础地质条件及城市地质安全问题、完成城市地质安全风险评价与区划工作；配合完成数据后期成果应用的技术支撑工作。</w:t>
            </w:r>
          </w:p>
          <w:p>
            <w:pPr>
              <w:pStyle w:val="null3"/>
            </w:pPr>
            <w:r>
              <w:rPr>
                <w:rFonts w:ascii="仿宋_GB2312" w:hAnsi="仿宋_GB2312" w:cs="仿宋_GB2312" w:eastAsia="仿宋_GB2312"/>
              </w:rPr>
              <w:t>五、其他</w:t>
            </w:r>
          </w:p>
          <w:p>
            <w:pPr>
              <w:pStyle w:val="null3"/>
            </w:pPr>
            <w:r>
              <w:rPr>
                <w:rFonts w:ascii="仿宋_GB2312" w:hAnsi="仿宋_GB2312" w:cs="仿宋_GB2312" w:eastAsia="仿宋_GB2312"/>
              </w:rPr>
              <w:t>（1）进度要求</w:t>
            </w:r>
          </w:p>
          <w:p>
            <w:pPr>
              <w:pStyle w:val="null3"/>
            </w:pPr>
            <w:r>
              <w:rPr>
                <w:rFonts w:ascii="仿宋_GB2312" w:hAnsi="仿宋_GB2312" w:cs="仿宋_GB2312" w:eastAsia="仿宋_GB2312"/>
              </w:rPr>
              <w:t>2026年12月15日前完成全部工作。</w:t>
            </w:r>
          </w:p>
          <w:p>
            <w:pPr>
              <w:pStyle w:val="null3"/>
            </w:pPr>
            <w:r>
              <w:rPr>
                <w:rFonts w:ascii="仿宋_GB2312" w:hAnsi="仿宋_GB2312" w:cs="仿宋_GB2312" w:eastAsia="仿宋_GB2312"/>
              </w:rPr>
              <w:t>（2）成果交付要求</w:t>
            </w:r>
          </w:p>
          <w:p>
            <w:pPr>
              <w:pStyle w:val="null3"/>
            </w:pPr>
            <w:r>
              <w:rPr>
                <w:rFonts w:ascii="仿宋_GB2312" w:hAnsi="仿宋_GB2312" w:cs="仿宋_GB2312" w:eastAsia="仿宋_GB2312"/>
              </w:rPr>
              <w:t>1.搜集整理的原始资料1套（纸质版或电子版）；</w:t>
            </w:r>
          </w:p>
          <w:p>
            <w:pPr>
              <w:pStyle w:val="null3"/>
            </w:pPr>
            <w:r>
              <w:rPr>
                <w:rFonts w:ascii="仿宋_GB2312" w:hAnsi="仿宋_GB2312" w:cs="仿宋_GB2312" w:eastAsia="仿宋_GB2312"/>
              </w:rPr>
              <w:t>2.西安城市多要素地质数据内容及数据库结构技术指南1套；</w:t>
            </w:r>
          </w:p>
          <w:p>
            <w:pPr>
              <w:pStyle w:val="null3"/>
            </w:pPr>
            <w:r>
              <w:rPr>
                <w:rFonts w:ascii="仿宋_GB2312" w:hAnsi="仿宋_GB2312" w:cs="仿宋_GB2312" w:eastAsia="仿宋_GB2312"/>
              </w:rPr>
              <w:t>3.西安城市多要素数据库及数据库说明书1套。</w:t>
            </w:r>
          </w:p>
          <w:p>
            <w:pPr>
              <w:pStyle w:val="null3"/>
            </w:pPr>
            <w:r>
              <w:rPr>
                <w:rFonts w:ascii="仿宋_GB2312" w:hAnsi="仿宋_GB2312" w:cs="仿宋_GB2312" w:eastAsia="仿宋_GB2312"/>
              </w:rPr>
              <w:t>（3）质量验收标准或规范</w:t>
            </w:r>
          </w:p>
          <w:p>
            <w:pPr>
              <w:pStyle w:val="null3"/>
            </w:pPr>
            <w:r>
              <w:rPr>
                <w:rFonts w:ascii="仿宋_GB2312" w:hAnsi="仿宋_GB2312" w:cs="仿宋_GB2312" w:eastAsia="仿宋_GB2312"/>
              </w:rPr>
              <w:t>符合现行相关技术要求，并通过专家组验收。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合同签订之日起至2026年12月15日。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符合现行相关技术要求，并通过专家组验收。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 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进度款，所有服务内容完成并验收合格后，达到付款条件起10个工作日内，支付合同总金额的50.0%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采购人：对于供应商提供的成果，采购人有义务严格按国家相关法律法规管理和使用，否则由此造成的法律后果由采购人承担。 供应商：（1）供应商提供的成果质量不符合采购人要求或不合格，或因供应商其他原因导致验收无法通过的，供应商应负责在采购人规定的期限内无偿给予重测或采取补救措施，直到达到采购人要求及质量要求。若供应商拒绝整改或者无偿给予重测或采取补救措施后，仍不能达到采购人及质量要求的，采购人有权单方面解除本合同。采购人解除合同的，供应商除返还已收取的价款外，还应向采购人支付本合同总金额20%的违约金，并及时赔偿由此给采购人造成的全部损失，包括但不限于直接损失、间接损失、律师费、诉讼费、保全费等。 （2）供应商逾期交付本合同约定的成果资料的，每逾期一天，供应商向采购人支付合同总金额万分之五的违约金，逾期超过七日的，采购人有权解除本合同。采购人解除本合同的，供应商除退还采购人已支付的全部款项和向采购人支付本合同总金额20%的违约金外，还应及时赔偿因此给采购人造成的所有损失。 （3）供应商未经采购人书面同意擅自对服务项目进行分包的,采购人有权单方解除合同，采购人解除合同的，供应商应退还采购人已支付的全部款项，和向采购人支付本合同总金额20%的违约金，还应及时赔偿由此给采购人造成的全部损失。 （4）若供应商违约，给采购人造成的损失，范围包括给采购人造成的实际损失、间接损失、可预期利益、因委托第三方而支付的费用，以及采购人因维权所产生的诉讼费、律师费、公证费、保全费、差旅费等全部相关费用。</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 1.合同总价一次性包死，不受市场价格变化和税率变化等因素的影响。 2.供应商应在报价表中标明完成本次投标所要求内容且验收合格的所有费用，包括但不限于人工费、调查费、成果费以及专家评审费，税金、采购代理费等其他一切相关费用，是完成本项目所有服务内容的价格体现，任何有选择的报价将不予接受，否则按无效投标处理。 2.项目属性：服务 3.本项目所属行业为：其他未列明行业。从业人员300人以下的为中小微型企业。其中，从业人员100人及以上的为中型企业；从业人员10人及以上的为小型企业；从业人员10人以下的为微型企业。 4.按照西安市财政局关于促进政府采购公平竞争优化营商环境的通知&gt;(市财函(2021)431号)规定:供应商登记免费领取招标文件的，如不参与项目，应在递交投标文件截止时间前一日以书面形式告知采购代理机构。否则，采购代理机构可以向财政部门反映情况并提供相应的佐证。供应商一年内累计出现三次该情形，将被监管部门记录为失信行为。 5.本项目是否属于信用担保试点范围：否。 6.若为授权代表参加投标，投标文件中需提供被授权代表开标前三个月内任意一个月在本单位的社保缴纳证明。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2、提供投标截止时间前6个月内任意时段的依法缴纳税收的相关凭据（时间以税款所属日期为准），依法免税或无须缴纳税收的供应商应提供相关证明材料； 3、提供投标截止时间前6个月内任意时段的社会保障资金的相关材料，依法不需要缴纳社会保障金的供应商，需具有社保部门出具的证明文件； 4、提供具有履行合同所必需的设备和专业技术能力的承诺； 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2025年度经审计的财务会计报告（成立时间至提交投标文件截止时间不足一年的可提供成立后任意时段的资产负债表）或提供供应商开户许可证（或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投标过程中，评标委员会认为供应商的报价明显低于其他实质性响应的供应商报价，有可能影响产品质量或者不能诚信履约的，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评标委员会要求的时间内通过项目电子化交易系统进行提交，否则提交的相关证明材料无效。供应商不能证明其报价合理性的，评标委员会应当将其投标文件作为无效处理。3、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开标一览表 分项报价表 中小企业声明函 业绩 商务条款偏离表 资格证明文件 投标方案说明书 投标函 残疾人福利性单位声明函 其它说明 标的清单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分项报价表 中小企业声明函 业绩 商务条款偏离表 资格证明文件 投标方案说明书 投标函 残疾人福利性单位声明函 其它说明 标的清单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分项报价表 中小企业声明函 业绩 商务条款偏离表 资格证明文件 投标方案说明书 投标函 残疾人福利性单位声明函 其它说明 标的清单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分项报价表 中小企业声明函 业绩 商务条款偏离表 资格证明文件 投标方案说明书 投标函 残疾人福利性单位声明函 其它说明 标的清单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开标一览表 分项报价表 中小企业声明函 业绩 商务条款偏离表 资格证明文件 投标方案说明书 投标函 残疾人福利性单位声明函 其它说明 标的清单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应满足招标文件中要求的服务地点</w:t>
            </w:r>
          </w:p>
        </w:tc>
        <w:tc>
          <w:tcPr>
            <w:tcW w:type="dxa" w:w="1661"/>
          </w:tcPr>
          <w:p>
            <w:pPr>
              <w:pStyle w:val="null3"/>
            </w:pPr>
            <w:r>
              <w:rPr>
                <w:rFonts w:ascii="仿宋_GB2312" w:hAnsi="仿宋_GB2312" w:cs="仿宋_GB2312" w:eastAsia="仿宋_GB2312"/>
              </w:rPr>
              <w:t>开标一览表 分项报价表 中小企业声明函 业绩 商务条款偏离表 资格证明文件 投标方案说明书 投标函 残疾人福利性单位声明函 其它说明 标的清单 陕西省政府采购供应商拒绝政府采购领域商业贿赂承诺书 投标文件封面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项目认知</w:t>
            </w:r>
          </w:p>
        </w:tc>
        <w:tc>
          <w:tcPr>
            <w:tcW w:type="dxa" w:w="2492"/>
          </w:tcPr>
          <w:p>
            <w:pPr>
              <w:pStyle w:val="null3"/>
            </w:pPr>
            <w:r>
              <w:rPr>
                <w:rFonts w:ascii="仿宋_GB2312" w:hAnsi="仿宋_GB2312" w:cs="仿宋_GB2312" w:eastAsia="仿宋_GB2312"/>
              </w:rPr>
              <w:t>一、评审内容 提出针对本项目的项目认知，内容包括： 1、明确本次项目编制的任务要求、目的作用、核心内容； 2、对重点、难点进行分析总结； 3、有针对性的提出对策和解决思路。 二、评审标准 1、完整性：方案必须全面，对评审内容有详细描述； 2、可实施性：切合本项目实际情况，提出步骤清晰、合理的方案； 3、针对性：方案能够紧扣项目实际情况，内容科学合理。 三、赋分标准（ 9 分） ①明确本次项目编制的任务要求、目的作用、核心内容：每完全满足一项评审标准1.0分，有瑕疵得0.5分，满分3.0分； ②对重点、难点进行分析总结：每完全满足一项评审标准1.0分，有瑕疵得0.5分，满分3.0分； ③有针对性的提出对策和解决思路：每完全满足一项评审标准1.0分，有瑕疵得0.5分，满分3.0分。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总体思路及保障措施</w:t>
            </w:r>
          </w:p>
        </w:tc>
        <w:tc>
          <w:tcPr>
            <w:tcW w:type="dxa" w:w="2492"/>
          </w:tcPr>
          <w:p>
            <w:pPr>
              <w:pStyle w:val="null3"/>
            </w:pPr>
            <w:r>
              <w:rPr>
                <w:rFonts w:ascii="仿宋_GB2312" w:hAnsi="仿宋_GB2312" w:cs="仿宋_GB2312" w:eastAsia="仿宋_GB2312"/>
              </w:rPr>
              <w:t>一、评审内容 提出针对本项目的总体思路及保障措施，内容包括： 1、总体思路； 2、技术路线； 3、预期成果； 4、质量保障措施； 5、技术服务保障措施。 二、评审标准 1、完整性：内容全面，对评审内容中的各项要求有详细描述及说明； 2、可实施性：符合本项目实际情况，面向实施，分析思路清晰，切实可行； 3、针对性：能够紧扣项目特征，内容科学合理。 三、赋分标准（满分 15 分） ①规划思路：每完全满足一项评审标准1.0分，有瑕疵得0.5分，满分3.0分； ②技术路线：每完全满足一项评审标准1.0分，有瑕疵得0.5分，满分3.0分； ③预期成果：每完全满足一项评审标准1.0分，有瑕疵得0.5分，满分3.0分； ④质量保障措施：每完全满足一项评审标准1.0分，有瑕疵得0.5分，满分3.0分； ⑤技术服务保障措施：每完全满足一项评审标准1.0分，有瑕疵得0.5分，满分3.0分。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提出针对本项目的总体方案，内容包括： 1、工作内容； 2、工作方法； 3、工作组织； 4、质量检查； 5、进度计划。 二、评审标准 1、完整性：内容全面，对评审内容中的各项要求有详细描述及说明； 2、可实施性：符合本项目实际情况，面向实施，分析思路清晰，切实可行； 3、针对性：能够紧扣项目特征，内容科学合理。 三、赋分标准（满分 15 分） ①工作内容：每完全满足一项评审标准1.0分，有瑕疵得0.5分，满分3.0分； ②工作方法：每完全满足一项评审标准1.0分，有瑕疵得0.5分，满分3.0分； ③工作组织：每完全满足一项评审标准1.0分，有瑕疵得0.5分，满分3.0分； ④质量检查：每完全满足一项评审标准1.0分，有瑕疵得0.5分，满分3.0分； ⑤进度计划：每完全满足一项评审标准1.0分，有瑕疵得0.5分，满分3.0分。 备注：瑕疵是指存在不完全满足评分标准，但项目仍可实施。缺项漏项是指不满足评分标准或内容缺失，严重影响项目实施。</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能够完成本项目工作的服务承诺，包括①对本项目进度、时限、成果文件质量等做出承诺；②对服务时限内团队稳定性、人员到位情况等相关内容做出承诺；③数据准确性承诺。④设施设备配备符合项目需求且项目实施期间设备全程投入本项目使用，不得外借、挪用。每提供一项承诺得3分，最高得12分。 评审标准：以承诺函加盖公章为准。未提供不得分。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1.项目负责人具备相关专业高级工程师职称得3分，具备相关专业工程师职称的得1分，其他不得分。 2.项目负责人具备10年以上工作经验的得3分；6年以上工作经验的得1分。其他不得分。 评审标准：①提供负责人毕业证、职称证等复印件加盖公章，及截止投标前近3个月内任意一个月本单位社保缴纳证明，依法不需要缴纳社会保障资金的，应当提供相应证明文件，否则不得分；②相关专业指水工环、地质、岩土、测量、计算机专业中任意一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拟投入项目团队人员能力</w:t>
            </w:r>
          </w:p>
        </w:tc>
        <w:tc>
          <w:tcPr>
            <w:tcW w:type="dxa" w:w="2492"/>
          </w:tcPr>
          <w:p>
            <w:pPr>
              <w:pStyle w:val="null3"/>
            </w:pPr>
            <w:r>
              <w:rPr>
                <w:rFonts w:ascii="仿宋_GB2312" w:hAnsi="仿宋_GB2312" w:cs="仿宋_GB2312" w:eastAsia="仿宋_GB2312"/>
              </w:rPr>
              <w:t>项目组成员(除项目负责人外)，相关专业分为地质类（水工环、地质、岩土）、测量、计算机3个专业类别。每专业每配备1名本专业高级工程师得2.5分，每配备1名工程师得1分，单专业计分人数上限为2名，每专业满分5分；同一人员不跨专业计分，按职称最高等级计分，分值不重复累加，本项满分15分。 评审标准：所有人员分值累加，同一人不得重复计分。提供人员职称证等复印件加盖公章,及项目人员截止投标前近3个月内任意一个月本单位社保缴纳证明，依法不需要缴纳社会保障资金的，应当提供相应证明文件，否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地质调查与评价、地质环境监测（包含但不限于地面沉降、地裂缝、地面塌陷及城市不良地质作用的监测）、数据库建设类等类似项目业绩合同（以合同签订时间为准）；一个业绩得6分，最高得18分。 评审依据：提供合同复印件并加盖公章。未提供不得分。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1.经资格审查、符合性审查合格的投标文件，其投标报价为有效报价，对符合政策性扣减的投标人的有效价格进行政策性扣减，并依据扣减后的价格（评审价格）进行价格评审。 2.投标报价得分：满足招标文件要求且投标报价最低的投标报价（综合单价合计）为评标基准价，其价格分为满分。价格分按照下列公式计算：投标报价得分=（评标基准价/投标报价）×10。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残疾人福利性单位声明函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详见附件：其它说明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