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auto"/>
          <w:sz w:val="32"/>
          <w:szCs w:val="32"/>
          <w:highlight w:val="none"/>
          <w:lang w:eastAsia="zh-CN"/>
        </w:rPr>
      </w:pPr>
      <w:r>
        <w:rPr>
          <w:rFonts w:hint="eastAsia" w:ascii="方正公文小标宋" w:hAnsi="方正公文小标宋" w:eastAsia="方正公文小标宋" w:cs="方正公文小标宋"/>
          <w:color w:val="auto"/>
          <w:sz w:val="32"/>
          <w:szCs w:val="32"/>
          <w:highlight w:val="none"/>
          <w:lang w:eastAsia="zh-CN"/>
        </w:rPr>
        <w:t>购</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置</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合</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同（</w:t>
      </w:r>
      <w:r>
        <w:rPr>
          <w:rFonts w:hint="eastAsia" w:ascii="方正公文小标宋" w:hAnsi="方正公文小标宋" w:eastAsia="方正公文小标宋" w:cs="方正公文小标宋"/>
          <w:color w:val="auto"/>
          <w:sz w:val="32"/>
          <w:szCs w:val="32"/>
          <w:highlight w:val="none"/>
          <w:lang w:val="en-US" w:eastAsia="zh-CN"/>
        </w:rPr>
        <w:t>参考格式</w:t>
      </w:r>
      <w:r>
        <w:rPr>
          <w:rFonts w:hint="eastAsia" w:ascii="方正公文小标宋" w:hAnsi="方正公文小标宋" w:eastAsia="方正公文小标宋" w:cs="方正公文小标宋"/>
          <w:color w:val="auto"/>
          <w:sz w:val="32"/>
          <w:szCs w:val="32"/>
          <w:highlight w:val="none"/>
          <w:lang w:eastAsia="zh-CN"/>
        </w:rPr>
        <w:t>）</w:t>
      </w:r>
    </w:p>
    <w:p w14:paraId="2693362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陕西</w:t>
      </w:r>
      <w:r>
        <w:rPr>
          <w:rFonts w:hint="eastAsia" w:asciiTheme="minorEastAsia" w:hAnsiTheme="minorEastAsia" w:eastAsiaTheme="minorEastAsia" w:cstheme="minorEastAsia"/>
          <w:color w:val="auto"/>
          <w:sz w:val="24"/>
          <w:szCs w:val="24"/>
          <w:highlight w:val="none"/>
          <w:lang w:val="en-US" w:eastAsia="zh-CN"/>
        </w:rPr>
        <w:t>能源</w:t>
      </w:r>
      <w:r>
        <w:rPr>
          <w:rFonts w:hint="eastAsia" w:asciiTheme="minorEastAsia" w:hAnsiTheme="minorEastAsia" w:eastAsiaTheme="minorEastAsia" w:cstheme="minorEastAsia"/>
          <w:color w:val="auto"/>
          <w:sz w:val="24"/>
          <w:szCs w:val="24"/>
          <w:highlight w:val="none"/>
          <w:lang w:eastAsia="zh-CN"/>
        </w:rPr>
        <w:t xml:space="preserve">职业技术学院（甲方）与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乙方）就甲方购置的</w:t>
      </w:r>
      <w:r>
        <w:rPr>
          <w:rFonts w:hint="eastAsia" w:asciiTheme="minorEastAsia" w:hAnsiTheme="minorEastAsia" w:eastAsiaTheme="minorEastAsia" w:cstheme="minorEastAsia"/>
          <w:color w:val="auto"/>
          <w:sz w:val="24"/>
          <w:szCs w:val="24"/>
          <w:highlight w:val="none"/>
          <w:u w:val="single"/>
          <w:lang w:eastAsia="zh-CN"/>
        </w:rPr>
        <w:t xml:space="preserve"> 创新型供热流体输送管路综合实训设备</w:t>
      </w:r>
      <w:r>
        <w:rPr>
          <w:rFonts w:hint="eastAsia" w:asciiTheme="minorEastAsia" w:hAnsiTheme="minorEastAsia" w:eastAsiaTheme="minorEastAsia" w:cstheme="minorEastAsia"/>
          <w:color w:val="auto"/>
          <w:sz w:val="24"/>
          <w:szCs w:val="24"/>
          <w:highlight w:val="none"/>
          <w:lang w:eastAsia="zh-CN"/>
        </w:rPr>
        <w:t>，经双方协商达成如下合同条款：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在甲方组织的关于</w:t>
      </w:r>
      <w:r>
        <w:rPr>
          <w:rFonts w:hint="eastAsia" w:asciiTheme="minorEastAsia" w:hAnsiTheme="minorEastAsia" w:eastAsiaTheme="minorEastAsia" w:cstheme="minorEastAsia"/>
          <w:color w:val="auto"/>
          <w:sz w:val="24"/>
          <w:szCs w:val="24"/>
          <w:highlight w:val="none"/>
          <w:u w:val="single"/>
          <w:lang w:eastAsia="zh-CN"/>
        </w:rPr>
        <w:t xml:space="preserve"> 创新型供热流体输送管路综合实训设备 </w:t>
      </w:r>
      <w:r>
        <w:rPr>
          <w:rFonts w:hint="eastAsia" w:asciiTheme="minorEastAsia" w:hAnsiTheme="minorEastAsia" w:eastAsiaTheme="minorEastAsia" w:cstheme="minorEastAsia"/>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 设备购置清单（币种：人民币）</w:t>
      </w:r>
    </w:p>
    <w:tbl>
      <w:tblPr>
        <w:tblStyle w:val="11"/>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auto"/>
                <w:sz w:val="22"/>
                <w:szCs w:val="22"/>
                <w:highlight w:val="none"/>
              </w:rPr>
            </w:pPr>
            <w:r>
              <w:rPr>
                <w:rFonts w:hint="eastAsia" w:asciiTheme="minorEastAsia" w:hAnsiTheme="minorEastAsia" w:eastAsiaTheme="minorEastAsia" w:cstheme="minorEastAsia"/>
                <w:b/>
                <w:bCs/>
                <w:color w:val="auto"/>
                <w:sz w:val="22"/>
                <w:szCs w:val="22"/>
                <w:highlight w:val="none"/>
              </w:rPr>
              <w:t>序号</w:t>
            </w:r>
          </w:p>
        </w:tc>
        <w:tc>
          <w:tcPr>
            <w:tcW w:w="1458" w:type="dxa"/>
            <w:vAlign w:val="center"/>
          </w:tcPr>
          <w:p w14:paraId="49B036E0">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设备名称</w:t>
            </w:r>
          </w:p>
        </w:tc>
        <w:tc>
          <w:tcPr>
            <w:tcW w:w="1776" w:type="dxa"/>
            <w:vAlign w:val="center"/>
          </w:tcPr>
          <w:p w14:paraId="265D5CF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品牌、规格、型号</w:t>
            </w:r>
          </w:p>
        </w:tc>
        <w:tc>
          <w:tcPr>
            <w:tcW w:w="925" w:type="dxa"/>
            <w:vAlign w:val="center"/>
          </w:tcPr>
          <w:p w14:paraId="5308B591">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数量</w:t>
            </w:r>
          </w:p>
          <w:p w14:paraId="0752FDA2">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(台、套)</w:t>
            </w:r>
          </w:p>
        </w:tc>
        <w:tc>
          <w:tcPr>
            <w:tcW w:w="1130" w:type="dxa"/>
            <w:vAlign w:val="center"/>
          </w:tcPr>
          <w:p w14:paraId="5AE179CB">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单价</w:t>
            </w:r>
          </w:p>
          <w:p w14:paraId="313385B6">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090" w:type="dxa"/>
            <w:vAlign w:val="center"/>
          </w:tcPr>
          <w:p w14:paraId="2488134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合计</w:t>
            </w:r>
          </w:p>
          <w:p w14:paraId="446C6D23">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420" w:type="dxa"/>
            <w:vAlign w:val="center"/>
          </w:tcPr>
          <w:p w14:paraId="52F467D5">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生产商</w:t>
            </w:r>
          </w:p>
        </w:tc>
        <w:tc>
          <w:tcPr>
            <w:tcW w:w="617" w:type="dxa"/>
            <w:vAlign w:val="center"/>
          </w:tcPr>
          <w:p w14:paraId="5A3A7B84">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458" w:type="dxa"/>
            <w:vAlign w:val="center"/>
          </w:tcPr>
          <w:p w14:paraId="6C6A5745">
            <w:pPr>
              <w:jc w:val="center"/>
              <w:rPr>
                <w:rFonts w:asciiTheme="minorEastAsia" w:hAnsiTheme="minorEastAsia" w:eastAsiaTheme="minorEastAsia" w:cstheme="minorEastAsia"/>
                <w:color w:val="auto"/>
                <w:sz w:val="22"/>
                <w:szCs w:val="22"/>
                <w:highlight w:val="none"/>
              </w:rPr>
            </w:pPr>
          </w:p>
        </w:tc>
        <w:tc>
          <w:tcPr>
            <w:tcW w:w="1776" w:type="dxa"/>
            <w:vAlign w:val="center"/>
          </w:tcPr>
          <w:p w14:paraId="31FF3235">
            <w:pPr>
              <w:jc w:val="center"/>
              <w:rPr>
                <w:rFonts w:asciiTheme="minorEastAsia" w:hAnsiTheme="minorEastAsia" w:eastAsiaTheme="minorEastAsia" w:cstheme="minorEastAsia"/>
                <w:color w:val="auto"/>
                <w:sz w:val="22"/>
                <w:szCs w:val="22"/>
                <w:highlight w:val="none"/>
              </w:rPr>
            </w:pPr>
          </w:p>
        </w:tc>
        <w:tc>
          <w:tcPr>
            <w:tcW w:w="925" w:type="dxa"/>
            <w:vAlign w:val="center"/>
          </w:tcPr>
          <w:p w14:paraId="69BF5A6D">
            <w:pPr>
              <w:jc w:val="center"/>
              <w:rPr>
                <w:rFonts w:asciiTheme="minorEastAsia" w:hAnsiTheme="minorEastAsia" w:eastAsiaTheme="minorEastAsia" w:cstheme="minorEastAsia"/>
                <w:color w:val="auto"/>
                <w:sz w:val="22"/>
                <w:szCs w:val="22"/>
                <w:highlight w:val="none"/>
              </w:rPr>
            </w:pPr>
          </w:p>
        </w:tc>
        <w:tc>
          <w:tcPr>
            <w:tcW w:w="1130" w:type="dxa"/>
            <w:vAlign w:val="center"/>
          </w:tcPr>
          <w:p w14:paraId="64572D3D">
            <w:pPr>
              <w:jc w:val="center"/>
              <w:rPr>
                <w:rFonts w:asciiTheme="minorEastAsia" w:hAnsiTheme="minorEastAsia" w:eastAsiaTheme="minorEastAsia" w:cstheme="minorEastAsia"/>
                <w:color w:val="auto"/>
                <w:sz w:val="22"/>
                <w:szCs w:val="22"/>
                <w:highlight w:val="none"/>
              </w:rPr>
            </w:pPr>
          </w:p>
        </w:tc>
        <w:tc>
          <w:tcPr>
            <w:tcW w:w="1090" w:type="dxa"/>
            <w:vAlign w:val="center"/>
          </w:tcPr>
          <w:p w14:paraId="616F4F5C">
            <w:pPr>
              <w:jc w:val="center"/>
              <w:rPr>
                <w:rFonts w:asciiTheme="minorEastAsia" w:hAnsiTheme="minorEastAsia" w:eastAsiaTheme="minorEastAsia" w:cstheme="minorEastAsia"/>
                <w:color w:val="auto"/>
                <w:sz w:val="22"/>
                <w:szCs w:val="22"/>
                <w:highlight w:val="none"/>
              </w:rPr>
            </w:pPr>
          </w:p>
        </w:tc>
        <w:tc>
          <w:tcPr>
            <w:tcW w:w="1420" w:type="dxa"/>
            <w:vAlign w:val="center"/>
          </w:tcPr>
          <w:p w14:paraId="29461040">
            <w:pPr>
              <w:jc w:val="center"/>
              <w:rPr>
                <w:rFonts w:asciiTheme="minorEastAsia" w:hAnsiTheme="minorEastAsia" w:eastAsiaTheme="minorEastAsia" w:cstheme="minorEastAsia"/>
                <w:color w:val="auto"/>
                <w:sz w:val="22"/>
                <w:szCs w:val="22"/>
                <w:highlight w:val="none"/>
              </w:rPr>
            </w:pPr>
          </w:p>
        </w:tc>
        <w:tc>
          <w:tcPr>
            <w:tcW w:w="617" w:type="dxa"/>
            <w:vAlign w:val="center"/>
          </w:tcPr>
          <w:p w14:paraId="7000CE8A">
            <w:pPr>
              <w:jc w:val="center"/>
              <w:rPr>
                <w:rFonts w:asciiTheme="minorEastAsia" w:hAnsiTheme="minorEastAsia" w:eastAsiaTheme="minorEastAsia" w:cstheme="minorEastAsia"/>
                <w:color w:val="auto"/>
                <w:sz w:val="22"/>
                <w:szCs w:val="22"/>
                <w:highlight w:val="none"/>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2</w:t>
            </w:r>
          </w:p>
        </w:tc>
        <w:tc>
          <w:tcPr>
            <w:tcW w:w="1458" w:type="dxa"/>
            <w:vAlign w:val="center"/>
          </w:tcPr>
          <w:p w14:paraId="15C2E6C3">
            <w:pPr>
              <w:jc w:val="center"/>
              <w:rPr>
                <w:rFonts w:asciiTheme="minorEastAsia" w:hAnsiTheme="minorEastAsia" w:eastAsiaTheme="minorEastAsia" w:cstheme="minorEastAsia"/>
                <w:color w:val="auto"/>
                <w:sz w:val="22"/>
                <w:szCs w:val="22"/>
                <w:highlight w:val="none"/>
              </w:rPr>
            </w:pPr>
          </w:p>
        </w:tc>
        <w:tc>
          <w:tcPr>
            <w:tcW w:w="1776" w:type="dxa"/>
            <w:vAlign w:val="center"/>
          </w:tcPr>
          <w:p w14:paraId="6F2C4196">
            <w:pPr>
              <w:jc w:val="center"/>
              <w:rPr>
                <w:rFonts w:asciiTheme="minorEastAsia" w:hAnsiTheme="minorEastAsia" w:eastAsiaTheme="minorEastAsia" w:cstheme="minorEastAsia"/>
                <w:color w:val="auto"/>
                <w:sz w:val="22"/>
                <w:szCs w:val="22"/>
                <w:highlight w:val="none"/>
              </w:rPr>
            </w:pPr>
          </w:p>
        </w:tc>
        <w:tc>
          <w:tcPr>
            <w:tcW w:w="925" w:type="dxa"/>
            <w:vAlign w:val="center"/>
          </w:tcPr>
          <w:p w14:paraId="5A0BCB89">
            <w:pPr>
              <w:jc w:val="center"/>
              <w:rPr>
                <w:rFonts w:asciiTheme="minorEastAsia" w:hAnsiTheme="minorEastAsia" w:eastAsiaTheme="minorEastAsia" w:cstheme="minorEastAsia"/>
                <w:color w:val="auto"/>
                <w:sz w:val="22"/>
                <w:szCs w:val="22"/>
                <w:highlight w:val="none"/>
              </w:rPr>
            </w:pPr>
          </w:p>
        </w:tc>
        <w:tc>
          <w:tcPr>
            <w:tcW w:w="1130" w:type="dxa"/>
            <w:vAlign w:val="center"/>
          </w:tcPr>
          <w:p w14:paraId="2BB72B99">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3FF240B">
            <w:pPr>
              <w:jc w:val="center"/>
              <w:rPr>
                <w:rFonts w:asciiTheme="minorEastAsia" w:hAnsiTheme="minorEastAsia" w:eastAsiaTheme="minorEastAsia" w:cstheme="minorEastAsia"/>
                <w:color w:val="auto"/>
                <w:sz w:val="22"/>
                <w:szCs w:val="22"/>
                <w:highlight w:val="none"/>
              </w:rPr>
            </w:pPr>
          </w:p>
        </w:tc>
        <w:tc>
          <w:tcPr>
            <w:tcW w:w="1420" w:type="dxa"/>
            <w:vAlign w:val="center"/>
          </w:tcPr>
          <w:p w14:paraId="73F8E07B">
            <w:pPr>
              <w:jc w:val="center"/>
              <w:rPr>
                <w:rFonts w:asciiTheme="minorEastAsia" w:hAnsiTheme="minorEastAsia" w:eastAsiaTheme="minorEastAsia" w:cstheme="minorEastAsia"/>
                <w:color w:val="auto"/>
                <w:sz w:val="22"/>
                <w:szCs w:val="22"/>
                <w:highlight w:val="none"/>
              </w:rPr>
            </w:pPr>
          </w:p>
        </w:tc>
        <w:tc>
          <w:tcPr>
            <w:tcW w:w="617" w:type="dxa"/>
            <w:vAlign w:val="center"/>
          </w:tcPr>
          <w:p w14:paraId="5A6E64D7">
            <w:pPr>
              <w:jc w:val="center"/>
              <w:rPr>
                <w:rFonts w:asciiTheme="minorEastAsia" w:hAnsiTheme="minorEastAsia" w:eastAsiaTheme="minorEastAsia" w:cstheme="minorEastAsia"/>
                <w:color w:val="auto"/>
                <w:sz w:val="22"/>
                <w:szCs w:val="22"/>
                <w:highlight w:val="none"/>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w:t>
            </w:r>
          </w:p>
        </w:tc>
        <w:tc>
          <w:tcPr>
            <w:tcW w:w="1458" w:type="dxa"/>
            <w:vAlign w:val="center"/>
          </w:tcPr>
          <w:p w14:paraId="3F905766">
            <w:pPr>
              <w:jc w:val="center"/>
              <w:rPr>
                <w:rFonts w:asciiTheme="minorEastAsia" w:hAnsiTheme="minorEastAsia" w:eastAsiaTheme="minorEastAsia" w:cstheme="minorEastAsia"/>
                <w:color w:val="auto"/>
                <w:sz w:val="22"/>
                <w:szCs w:val="22"/>
                <w:highlight w:val="none"/>
              </w:rPr>
            </w:pPr>
          </w:p>
        </w:tc>
        <w:tc>
          <w:tcPr>
            <w:tcW w:w="1776" w:type="dxa"/>
            <w:vAlign w:val="center"/>
          </w:tcPr>
          <w:p w14:paraId="447E9961">
            <w:pPr>
              <w:jc w:val="center"/>
              <w:rPr>
                <w:rFonts w:asciiTheme="minorEastAsia" w:hAnsiTheme="minorEastAsia" w:eastAsiaTheme="minorEastAsia" w:cstheme="minorEastAsia"/>
                <w:color w:val="auto"/>
                <w:sz w:val="22"/>
                <w:szCs w:val="22"/>
                <w:highlight w:val="none"/>
              </w:rPr>
            </w:pPr>
          </w:p>
        </w:tc>
        <w:tc>
          <w:tcPr>
            <w:tcW w:w="925" w:type="dxa"/>
            <w:vAlign w:val="center"/>
          </w:tcPr>
          <w:p w14:paraId="596A99E3">
            <w:pPr>
              <w:jc w:val="center"/>
              <w:rPr>
                <w:rFonts w:asciiTheme="minorEastAsia" w:hAnsiTheme="minorEastAsia" w:eastAsiaTheme="minorEastAsia" w:cstheme="minorEastAsia"/>
                <w:color w:val="auto"/>
                <w:sz w:val="22"/>
                <w:szCs w:val="22"/>
                <w:highlight w:val="none"/>
              </w:rPr>
            </w:pPr>
          </w:p>
        </w:tc>
        <w:tc>
          <w:tcPr>
            <w:tcW w:w="1130" w:type="dxa"/>
            <w:vAlign w:val="center"/>
          </w:tcPr>
          <w:p w14:paraId="0A89900E">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CE88457">
            <w:pPr>
              <w:jc w:val="center"/>
              <w:rPr>
                <w:rFonts w:asciiTheme="minorEastAsia" w:hAnsiTheme="minorEastAsia" w:eastAsiaTheme="minorEastAsia" w:cstheme="minorEastAsia"/>
                <w:color w:val="auto"/>
                <w:sz w:val="22"/>
                <w:szCs w:val="22"/>
                <w:highlight w:val="none"/>
              </w:rPr>
            </w:pPr>
          </w:p>
        </w:tc>
        <w:tc>
          <w:tcPr>
            <w:tcW w:w="1420" w:type="dxa"/>
            <w:vAlign w:val="center"/>
          </w:tcPr>
          <w:p w14:paraId="073E6C96">
            <w:pPr>
              <w:jc w:val="center"/>
              <w:rPr>
                <w:rFonts w:asciiTheme="minorEastAsia" w:hAnsiTheme="minorEastAsia" w:eastAsiaTheme="minorEastAsia" w:cstheme="minorEastAsia"/>
                <w:color w:val="auto"/>
                <w:sz w:val="22"/>
                <w:szCs w:val="22"/>
                <w:highlight w:val="none"/>
              </w:rPr>
            </w:pPr>
          </w:p>
        </w:tc>
        <w:tc>
          <w:tcPr>
            <w:tcW w:w="617" w:type="dxa"/>
            <w:vAlign w:val="center"/>
          </w:tcPr>
          <w:p w14:paraId="3C5FB26D">
            <w:pPr>
              <w:jc w:val="center"/>
              <w:rPr>
                <w:rFonts w:asciiTheme="minorEastAsia" w:hAnsiTheme="minorEastAsia" w:eastAsiaTheme="minorEastAsia" w:cstheme="minorEastAsia"/>
                <w:color w:val="auto"/>
                <w:sz w:val="22"/>
                <w:szCs w:val="22"/>
                <w:highlight w:val="none"/>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auto"/>
                <w:sz w:val="22"/>
                <w:szCs w:val="22"/>
                <w:highlight w:val="none"/>
              </w:rPr>
            </w:pPr>
          </w:p>
          <w:p w14:paraId="03776583">
            <w:pP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合计(元)</w:t>
            </w:r>
          </w:p>
        </w:tc>
        <w:tc>
          <w:tcPr>
            <w:tcW w:w="5182" w:type="dxa"/>
            <w:gridSpan w:val="5"/>
            <w:vAlign w:val="center"/>
          </w:tcPr>
          <w:p w14:paraId="70476E38">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auto"/>
                <w:sz w:val="22"/>
                <w:szCs w:val="22"/>
                <w:highlight w:val="none"/>
              </w:rPr>
            </w:pPr>
          </w:p>
        </w:tc>
        <w:tc>
          <w:tcPr>
            <w:tcW w:w="5182" w:type="dxa"/>
            <w:gridSpan w:val="5"/>
            <w:vAlign w:val="center"/>
          </w:tcPr>
          <w:p w14:paraId="577C060A">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小写：</w:t>
            </w:r>
            <w:r>
              <w:rPr>
                <w:rFonts w:hint="eastAsia" w:asciiTheme="minorEastAsia" w:hAnsiTheme="minorEastAsia" w:eastAsiaTheme="minorEastAsia" w:cstheme="minorEastAsia"/>
                <w:color w:val="auto"/>
                <w:sz w:val="22"/>
                <w:szCs w:val="22"/>
                <w:highlight w:val="none"/>
                <w:u w:val="single"/>
                <w:lang w:eastAsia="zh-CN"/>
              </w:rPr>
              <w:t xml:space="preserve">           </w:t>
            </w:r>
            <w:r>
              <w:rPr>
                <w:rFonts w:hint="eastAsia" w:asciiTheme="minorEastAsia" w:hAnsiTheme="minorEastAsia" w:eastAsiaTheme="minorEastAsia" w:cstheme="minorEastAsia"/>
                <w:color w:val="auto"/>
                <w:sz w:val="22"/>
                <w:szCs w:val="22"/>
                <w:highlight w:val="none"/>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 合同总额是指设备到达陕西能源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 xml:space="preserve">1.4.2 </w:t>
      </w:r>
      <w:r>
        <w:rPr>
          <w:rFonts w:hint="eastAsia" w:asciiTheme="minorEastAsia" w:hAnsiTheme="minorEastAsia" w:eastAsiaTheme="minorEastAsia" w:cstheme="minorEastAsia"/>
          <w:b w:val="0"/>
          <w:bCs w:val="0"/>
          <w:color w:val="auto"/>
          <w:sz w:val="24"/>
          <w:szCs w:val="24"/>
          <w:highlight w:val="none"/>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3.2 合同签订后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产品质量保证期自最终验收合格之日起计算，其中：硬件设备质保期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小时，并在</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小时内</w:t>
      </w:r>
      <w:r>
        <w:rPr>
          <w:rFonts w:hint="eastAsia" w:asciiTheme="minorEastAsia" w:hAnsiTheme="minorEastAsia" w:eastAsiaTheme="minorEastAsia" w:cstheme="minorEastAsia"/>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。质保期内乙方应每季度上门巡检不少于</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a.重新测试直至合格为止；</w:t>
      </w:r>
    </w:p>
    <w:p w14:paraId="5FB3893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7.1.1 乙方应在收到中标(成交)通知书后、合同签订前</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个工作日内，向甲方提交合同总价</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eastAsia="zh-CN"/>
        </w:rPr>
        <w:t>签订合同后，设备到达指定地点、安装调试完成并验收合格后，</w:t>
      </w:r>
      <w:r>
        <w:rPr>
          <w:rFonts w:hint="eastAsia" w:ascii="仿宋_GB2312" w:hAnsi="仿宋_GB2312" w:eastAsia="仿宋_GB2312" w:cs="仿宋_GB2312"/>
          <w:color w:val="auto"/>
          <w:sz w:val="24"/>
          <w:szCs w:val="24"/>
          <w:highlight w:val="none"/>
          <w:u w:val="single"/>
        </w:rPr>
        <w:t>并完成甲方所有内部付款审批程序，满足付款条件起</w:t>
      </w:r>
      <w:r>
        <w:rPr>
          <w:rFonts w:hint="eastAsia" w:ascii="仿宋_GB2312" w:hAnsi="仿宋_GB2312" w:eastAsia="仿宋_GB2312" w:cs="仿宋_GB2312"/>
          <w:color w:val="auto"/>
          <w:sz w:val="24"/>
          <w:szCs w:val="24"/>
          <w:highlight w:val="none"/>
          <w:u w:val="single"/>
          <w:lang w:val="en-US" w:eastAsia="zh-CN"/>
        </w:rPr>
        <w:t>3</w:t>
      </w:r>
      <w:r>
        <w:rPr>
          <w:rFonts w:hint="eastAsia" w:ascii="仿宋_GB2312" w:hAnsi="仿宋_GB2312" w:eastAsia="仿宋_GB2312" w:cs="仿宋_GB2312"/>
          <w:color w:val="auto"/>
          <w:sz w:val="24"/>
          <w:szCs w:val="24"/>
          <w:highlight w:val="none"/>
          <w:u w:val="single"/>
        </w:rPr>
        <w:t>0个工</w:t>
      </w:r>
      <w:bookmarkStart w:id="8" w:name="_GoBack"/>
      <w:bookmarkEnd w:id="8"/>
      <w:r>
        <w:rPr>
          <w:rFonts w:hint="eastAsia" w:ascii="仿宋_GB2312" w:hAnsi="仿宋_GB2312" w:eastAsia="仿宋_GB2312" w:cs="仿宋_GB2312"/>
          <w:color w:val="auto"/>
          <w:sz w:val="24"/>
          <w:szCs w:val="24"/>
          <w:highlight w:val="none"/>
          <w:u w:val="single"/>
        </w:rPr>
        <w:t>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9.3 乙方收到甲方发出的索赔通知之日起</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10.7 乙方</w:t>
      </w:r>
      <w:r>
        <w:rPr>
          <w:rFonts w:hint="eastAsia" w:asciiTheme="minorEastAsia" w:hAnsiTheme="minorEastAsia" w:eastAsiaTheme="minorEastAsia" w:cstheme="minorEastAsia"/>
          <w:color w:val="auto"/>
          <w:sz w:val="24"/>
          <w:szCs w:val="24"/>
          <w:highlight w:val="none"/>
          <w:lang w:eastAsia="zh-CN"/>
        </w:rPr>
        <w:t>对所供产品出现的问题推诿、拖延，</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0.5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bookmarkStart w:id="0" w:name="_Toc14186"/>
      <w:bookmarkStart w:id="1" w:name="_Toc26328"/>
      <w:bookmarkStart w:id="2" w:name="_Toc495505745"/>
      <w:bookmarkStart w:id="3" w:name="_Toc23280"/>
      <w:r>
        <w:rPr>
          <w:rFonts w:hint="eastAsia" w:asciiTheme="minorEastAsia" w:hAnsiTheme="minorEastAsia" w:eastAsiaTheme="minorEastAsia" w:cstheme="minorEastAsia"/>
          <w:b w:val="0"/>
          <w:bCs w:val="0"/>
          <w:color w:val="auto"/>
          <w:sz w:val="24"/>
          <w:szCs w:val="24"/>
          <w:highlight w:val="none"/>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13.1</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13.2</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13.3</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r>
        <w:rPr>
          <w:rFonts w:hint="eastAsia" w:asciiTheme="minorEastAsia" w:hAnsiTheme="minorEastAsia" w:eastAsiaTheme="minorEastAsia" w:cstheme="minorEastAsia"/>
          <w:color w:val="auto"/>
          <w:kern w:val="0"/>
          <w:sz w:val="24"/>
          <w:szCs w:val="24"/>
          <w:highlight w:val="none"/>
          <w:lang w:eastAsia="zh-CN"/>
        </w:rPr>
        <w:t>4</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14.其他事项</w:t>
      </w:r>
    </w:p>
    <w:p w14:paraId="2F63D5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a.合同附件（设备和软件的具体配置及技术参数，</w:t>
      </w:r>
      <w:r>
        <w:rPr>
          <w:rFonts w:hint="eastAsia" w:asciiTheme="minorEastAsia" w:hAnsiTheme="minorEastAsia" w:eastAsiaTheme="minorEastAsia" w:cstheme="minorEastAsia"/>
          <w:color w:val="auto"/>
          <w:sz w:val="24"/>
          <w:szCs w:val="24"/>
          <w:highlight w:val="none"/>
          <w:lang w:eastAsia="zh-CN"/>
        </w:rPr>
        <w:t>培训内容、标准和安排</w:t>
      </w:r>
      <w:r>
        <w:rPr>
          <w:rFonts w:hint="eastAsia" w:asciiTheme="minorEastAsia" w:hAnsiTheme="minorEastAsia" w:eastAsiaTheme="minorEastAsia" w:cstheme="minorEastAsia"/>
          <w:color w:val="auto"/>
          <w:sz w:val="24"/>
          <w:szCs w:val="24"/>
          <w:highlight w:val="none"/>
          <w:lang w:val="en-US" w:eastAsia="zh-CN"/>
        </w:rPr>
        <w:t>）；</w:t>
      </w:r>
    </w:p>
    <w:p w14:paraId="1258281C">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b.招标文件；</w:t>
      </w:r>
    </w:p>
    <w:p w14:paraId="7B8967E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c.投标文件；</w:t>
      </w:r>
    </w:p>
    <w:p w14:paraId="3C02867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d.进出口代理协议；</w:t>
      </w:r>
    </w:p>
    <w:p w14:paraId="4376EB17">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d.中标通知书。</w:t>
      </w:r>
    </w:p>
    <w:p w14:paraId="1E9B2B3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bookmarkStart w:id="4" w:name="_Toc495505746"/>
      <w:bookmarkStart w:id="5" w:name="_Toc18101"/>
      <w:bookmarkStart w:id="6" w:name="_Toc11939"/>
      <w:bookmarkStart w:id="7" w:name="_Toc1081"/>
      <w:r>
        <w:rPr>
          <w:rFonts w:hint="eastAsia" w:asciiTheme="minorEastAsia" w:hAnsiTheme="minorEastAsia" w:eastAsiaTheme="minorEastAsia" w:cstheme="minorEastAsia"/>
          <w:b w:val="0"/>
          <w:bCs w:val="0"/>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b w:val="0"/>
          <w:bCs w:val="0"/>
          <w:color w:val="auto"/>
          <w:sz w:val="24"/>
          <w:szCs w:val="24"/>
          <w:highlight w:val="none"/>
          <w:lang w:eastAsia="zh-CN"/>
        </w:rPr>
        <w:t>.4</w:t>
      </w:r>
      <w:bookmarkEnd w:id="4"/>
      <w:bookmarkEnd w:id="5"/>
      <w:bookmarkEnd w:id="6"/>
      <w:bookmarkEnd w:id="7"/>
      <w:r>
        <w:rPr>
          <w:rFonts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p>
    <w:p w14:paraId="23B64909">
      <w:pPr>
        <w:spacing w:beforeLines="50" w:afterLines="5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合同签订地点：陕西能源职业技术学院</w:t>
      </w:r>
    </w:p>
    <w:p w14:paraId="29BBFC5F">
      <w:pPr>
        <w:spacing w:beforeLines="50" w:afterLines="5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合同签订时间：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日</w:t>
      </w:r>
    </w:p>
    <w:tbl>
      <w:tblPr>
        <w:tblStyle w:val="11"/>
        <w:tblW w:w="88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4"/>
        <w:gridCol w:w="441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4464" w:type="dxa"/>
            <w:vAlign w:val="center"/>
          </w:tcPr>
          <w:p w14:paraId="65687C73">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甲方(盖章):陕西能源职业技术学院</w:t>
            </w:r>
          </w:p>
        </w:tc>
        <w:tc>
          <w:tcPr>
            <w:tcW w:w="4415" w:type="dxa"/>
            <w:vAlign w:val="center"/>
          </w:tcPr>
          <w:p w14:paraId="28012D89">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4464" w:type="dxa"/>
            <w:vAlign w:val="center"/>
          </w:tcPr>
          <w:p w14:paraId="456BFEF4">
            <w:pPr>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地址：</w:t>
            </w:r>
            <w:r>
              <w:rPr>
                <w:rFonts w:hint="eastAsia" w:asciiTheme="minorEastAsia" w:hAnsiTheme="minorEastAsia" w:eastAsiaTheme="minorEastAsia" w:cstheme="minorEastAsia"/>
                <w:color w:val="auto"/>
                <w:sz w:val="24"/>
                <w:szCs w:val="24"/>
                <w:highlight w:val="none"/>
                <w:lang w:val="en-US" w:eastAsia="zh-CN"/>
              </w:rPr>
              <w:t>咸阳市文林路</w:t>
            </w:r>
          </w:p>
        </w:tc>
        <w:tc>
          <w:tcPr>
            <w:tcW w:w="4415" w:type="dxa"/>
            <w:vAlign w:val="center"/>
          </w:tcPr>
          <w:p w14:paraId="303BBBFF">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 w:hRule="atLeast"/>
        </w:trPr>
        <w:tc>
          <w:tcPr>
            <w:tcW w:w="4464" w:type="dxa"/>
            <w:vAlign w:val="center"/>
          </w:tcPr>
          <w:p w14:paraId="674C58E7">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c>
          <w:tcPr>
            <w:tcW w:w="4415" w:type="dxa"/>
            <w:vAlign w:val="center"/>
          </w:tcPr>
          <w:p w14:paraId="62C678F8">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4464" w:type="dxa"/>
            <w:vAlign w:val="center"/>
          </w:tcPr>
          <w:p w14:paraId="1D8C8CB0">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c>
          <w:tcPr>
            <w:tcW w:w="4415" w:type="dxa"/>
            <w:vAlign w:val="center"/>
          </w:tcPr>
          <w:p w14:paraId="0DDD38C5">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4464" w:type="dxa"/>
            <w:vAlign w:val="center"/>
          </w:tcPr>
          <w:p w14:paraId="41BF14DE">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c>
          <w:tcPr>
            <w:tcW w:w="4415" w:type="dxa"/>
            <w:vAlign w:val="center"/>
          </w:tcPr>
          <w:p w14:paraId="5286686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4464" w:type="dxa"/>
            <w:vAlign w:val="center"/>
          </w:tcPr>
          <w:p w14:paraId="0608D30B">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c>
          <w:tcPr>
            <w:tcW w:w="4415" w:type="dxa"/>
            <w:vAlign w:val="center"/>
          </w:tcPr>
          <w:p w14:paraId="7C0BF57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4464" w:type="dxa"/>
            <w:vAlign w:val="center"/>
          </w:tcPr>
          <w:p w14:paraId="475C412C">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c>
          <w:tcPr>
            <w:tcW w:w="4415" w:type="dxa"/>
            <w:vAlign w:val="center"/>
          </w:tcPr>
          <w:p w14:paraId="4525FD96">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r>
    </w:tbl>
    <w:p w14:paraId="0F5CC6AF">
      <w:pPr>
        <w:rPr>
          <w:rFonts w:hint="eastAsia" w:asciiTheme="minorEastAsia" w:hAnsiTheme="minorEastAsia" w:eastAsiaTheme="minorEastAsia" w:cstheme="minorEastAsia"/>
          <w:color w:val="auto"/>
          <w:highlight w:val="none"/>
          <w:lang w:eastAsia="zh-CN"/>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CE95B503-2016-491D-BF68-B3B930DB1F6E}"/>
  </w:font>
  <w:font w:name="仿宋_GB2312">
    <w:panose1 w:val="02010609030101010101"/>
    <w:charset w:val="86"/>
    <w:family w:val="auto"/>
    <w:pitch w:val="default"/>
    <w:sig w:usb0="00000001" w:usb1="080E0000" w:usb2="00000000" w:usb3="00000000" w:csb0="00040000" w:csb1="00000000"/>
    <w:embedRegular r:id="rId2" w:fontKey="{42D212DB-6235-4549-9671-8256043182E0}"/>
  </w:font>
  <w:font w:name="WPSEMBED1">
    <w:panose1 w:val="02000500000000000000"/>
    <w:charset w:val="86"/>
    <w:family w:val="auto"/>
    <w:pitch w:val="default"/>
    <w:sig w:usb0="A00002BF" w:usb1="38CF7CFA" w:usb2="00000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B10E44"/>
    <w:rsid w:val="1E1B62F5"/>
    <w:rsid w:val="1F5844BB"/>
    <w:rsid w:val="22AD1941"/>
    <w:rsid w:val="230010F2"/>
    <w:rsid w:val="23B65E20"/>
    <w:rsid w:val="242A1B68"/>
    <w:rsid w:val="258129BE"/>
    <w:rsid w:val="25E72643"/>
    <w:rsid w:val="25FA62CC"/>
    <w:rsid w:val="2F974B8C"/>
    <w:rsid w:val="30B73737"/>
    <w:rsid w:val="30C46236"/>
    <w:rsid w:val="37A94BA8"/>
    <w:rsid w:val="37AA2989"/>
    <w:rsid w:val="384004B6"/>
    <w:rsid w:val="3CB46D7D"/>
    <w:rsid w:val="3F9904AC"/>
    <w:rsid w:val="408E30B3"/>
    <w:rsid w:val="439B4FE7"/>
    <w:rsid w:val="47EF5D35"/>
    <w:rsid w:val="4DDA685F"/>
    <w:rsid w:val="528B3483"/>
    <w:rsid w:val="54637566"/>
    <w:rsid w:val="58CB4F3F"/>
    <w:rsid w:val="5BEA0612"/>
    <w:rsid w:val="61D5316E"/>
    <w:rsid w:val="6283046C"/>
    <w:rsid w:val="62DB47B4"/>
    <w:rsid w:val="62E263C2"/>
    <w:rsid w:val="64F8789F"/>
    <w:rsid w:val="65784102"/>
    <w:rsid w:val="677B47B7"/>
    <w:rsid w:val="68751207"/>
    <w:rsid w:val="6A535578"/>
    <w:rsid w:val="6AE73408"/>
    <w:rsid w:val="6C185516"/>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FollowedHyperlink"/>
    <w:basedOn w:val="8"/>
    <w:semiHidden/>
    <w:unhideWhenUsed/>
    <w:qFormat/>
    <w:uiPriority w:val="99"/>
    <w:rPr>
      <w:color w:val="666666"/>
      <w:u w:val="none"/>
    </w:rPr>
  </w:style>
  <w:style w:type="character" w:styleId="10">
    <w:name w:val="Hyperlink"/>
    <w:basedOn w:val="8"/>
    <w:semiHidden/>
    <w:unhideWhenUsed/>
    <w:qFormat/>
    <w:uiPriority w:val="99"/>
    <w:rPr>
      <w:color w:val="666666"/>
      <w:u w:val="none"/>
    </w:rPr>
  </w:style>
  <w:style w:type="table" w:customStyle="1" w:styleId="11">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2">
    <w:name w:val="_Style 10"/>
    <w:basedOn w:val="1"/>
    <w:next w:val="1"/>
    <w:qFormat/>
    <w:uiPriority w:val="0"/>
    <w:pPr>
      <w:pBdr>
        <w:bottom w:val="single" w:color="auto" w:sz="6" w:space="1"/>
      </w:pBdr>
      <w:jc w:val="center"/>
    </w:pPr>
    <w:rPr>
      <w:rFonts w:ascii="Arial" w:eastAsia="宋体"/>
      <w:vanish/>
      <w:sz w:val="16"/>
    </w:rPr>
  </w:style>
  <w:style w:type="paragraph" w:customStyle="1" w:styleId="13">
    <w:name w:val="_Style 11"/>
    <w:basedOn w:val="1"/>
    <w:next w:val="1"/>
    <w:qFormat/>
    <w:uiPriority w:val="0"/>
    <w:pPr>
      <w:pBdr>
        <w:top w:val="single" w:color="auto" w:sz="6" w:space="1"/>
      </w:pBdr>
      <w:jc w:val="center"/>
    </w:pPr>
    <w:rPr>
      <w:rFonts w:ascii="Arial" w:eastAsia="宋体"/>
      <w:vanish/>
      <w:sz w:val="16"/>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6551</Words>
  <Characters>6841</Characters>
  <Lines>48</Lines>
  <Paragraphs>13</Paragraphs>
  <TotalTime>8</TotalTime>
  <ScaleCrop>false</ScaleCrop>
  <LinksUpToDate>false</LinksUpToDate>
  <CharactersWithSpaces>7041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你都如何回忆我、</cp:lastModifiedBy>
  <cp:lastPrinted>2026-07-14T02:08:00Z</cp:lastPrinted>
  <dcterms:modified xsi:type="dcterms:W3CDTF">2026-08-03T10:34:10Z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eyJoZGlkIjoiYzRhNmUyYmVlYTA3NTUwMmY3YjExODVkZTY5MjY1NDYiLCJ1c2VySWQiOiIxMjQ3Nzk4Nzc4In0=</vt:lpwstr>
  </property>
  <property fmtid="{D5CDD505-2E9C-101B-9397-08002B2CF9AE}" pid="3" name="KSOProductBuildVer">
    <vt:lpwstr>2052-12.1.0.26895</vt:lpwstr>
  </property>
  <property fmtid="{D5CDD505-2E9C-101B-9397-08002B2CF9AE}" pid="4" name="ICV">
    <vt:lpwstr>E8483CA908E84B0A9C57B52CE0FEDCF4_13</vt:lpwstr>
  </property>
</Properties>
</file>