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A62BE4">
      <w:pPr>
        <w:jc w:val="both"/>
        <w:rPr>
          <w:rFonts w:hint="default" w:ascii="宋体" w:hAnsi="宋体"/>
          <w:b/>
          <w:bCs/>
          <w:color w:val="auto"/>
          <w:sz w:val="32"/>
          <w:szCs w:val="32"/>
          <w:highlight w:val="none"/>
          <w:lang w:val="en-US" w:eastAsia="zh-CN"/>
        </w:rPr>
      </w:pPr>
      <w:bookmarkStart w:id="0" w:name="_Toc26935"/>
      <w:bookmarkStart w:id="1" w:name="_Toc426457695"/>
      <w:bookmarkStart w:id="2" w:name="_Toc476"/>
      <w:bookmarkStart w:id="3" w:name="_Toc28117"/>
      <w:r>
        <w:rPr>
          <w:rFonts w:hint="eastAsia" w:ascii="宋体" w:hAnsi="宋体"/>
          <w:b/>
          <w:bCs/>
          <w:color w:val="auto"/>
          <w:sz w:val="32"/>
          <w:szCs w:val="32"/>
          <w:highlight w:val="none"/>
          <w:lang w:val="en-US" w:eastAsia="zh-CN"/>
        </w:rPr>
        <w:t>包1合同：</w:t>
      </w:r>
    </w:p>
    <w:p w14:paraId="632EBDB1">
      <w:pPr>
        <w:jc w:val="center"/>
        <w:rPr>
          <w:rFonts w:hint="eastAsia" w:ascii="宋体" w:hAnsi="宋体" w:eastAsia="宋体"/>
          <w:color w:val="auto"/>
          <w:sz w:val="24"/>
          <w:szCs w:val="24"/>
          <w:highlight w:val="none"/>
          <w:lang w:eastAsia="zh-CN"/>
        </w:rPr>
      </w:pPr>
      <w:r>
        <w:rPr>
          <w:rFonts w:hint="eastAsia" w:ascii="宋体" w:hAnsi="宋体"/>
          <w:b/>
          <w:bCs/>
          <w:color w:val="auto"/>
          <w:sz w:val="32"/>
          <w:szCs w:val="32"/>
          <w:highlight w:val="none"/>
          <w:lang w:eastAsia="zh-CN"/>
        </w:rPr>
        <w:t>合同通用条款</w:t>
      </w:r>
    </w:p>
    <w:p w14:paraId="07B71A3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1.定义</w:t>
      </w:r>
    </w:p>
    <w:p w14:paraId="6664B01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本合同下列术语应解释为</w:t>
      </w:r>
      <w:r>
        <w:rPr>
          <w:rFonts w:hint="eastAsia" w:ascii="宋体" w:hAnsi="宋体" w:eastAsia="宋体" w:cs="宋体"/>
          <w:color w:val="auto"/>
          <w:sz w:val="24"/>
          <w:szCs w:val="24"/>
          <w:highlight w:val="none"/>
          <w:lang w:eastAsia="zh-CN"/>
        </w:rPr>
        <w:t>：</w:t>
      </w:r>
    </w:p>
    <w:p w14:paraId="2E48FF5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1.1“合同”系指买卖双方签署的、合同格式中载明的买卖双方所达成的协议,包括所有的附件、附录和上述文件所提到的构成合同的所有文件。</w:t>
      </w:r>
    </w:p>
    <w:p w14:paraId="1377C2E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1.2“合同价”系指根据本合同规定，卖方在正确地完全履行合同义务后买方应支付给卖方的价格。</w:t>
      </w:r>
    </w:p>
    <w:p w14:paraId="23A5609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1.3“服务”系指根据合同规定，卖方提</w:t>
      </w:r>
      <w:bookmarkStart w:id="19" w:name="_GoBack"/>
      <w:bookmarkEnd w:id="19"/>
      <w:r>
        <w:rPr>
          <w:rFonts w:hint="eastAsia" w:ascii="宋体" w:hAnsi="宋体" w:eastAsia="宋体" w:cs="宋体"/>
          <w:color w:val="auto"/>
          <w:sz w:val="24"/>
          <w:szCs w:val="24"/>
          <w:highlight w:val="none"/>
        </w:rPr>
        <w:t>供的服务。</w:t>
      </w:r>
    </w:p>
    <w:p w14:paraId="4C882D9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1.4“合同条款”系指本合同条款。</w:t>
      </w:r>
    </w:p>
    <w:p w14:paraId="050F6FB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1.5“买方”系指在合同专用条款中指明的购买货物和服务的单位。</w:t>
      </w:r>
    </w:p>
    <w:p w14:paraId="30F68A6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1.6“卖方”系指签署本合同，提供本合同项下货物和服务的单位。</w:t>
      </w:r>
    </w:p>
    <w:p w14:paraId="70D6E73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1.7“服务地点”系指本合同(包括附件)指明的提供服务的地点。</w:t>
      </w:r>
    </w:p>
    <w:p w14:paraId="6DE1702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1.8“天”指日历天数。</w:t>
      </w:r>
    </w:p>
    <w:p w14:paraId="3E0D763A">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2.服务要求</w:t>
      </w:r>
    </w:p>
    <w:p w14:paraId="37DF15D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2.1卖方提供服务应与本合同所指明的服务(包括合同附件)相一致。</w:t>
      </w:r>
    </w:p>
    <w:p w14:paraId="4D97FF3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2.2见合同专用条款。</w:t>
      </w:r>
    </w:p>
    <w:p w14:paraId="1694FC79">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3.专利权</w:t>
      </w:r>
    </w:p>
    <w:p w14:paraId="6C09AA0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3.1卖方应保证买方在使用该服务或其任何一部分时免受第三方提出侵犯其专利权·商标权、工业设计权或其他知识产权的起诉。</w:t>
      </w:r>
    </w:p>
    <w:p w14:paraId="026BBB4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4.服务地点和服务期限</w:t>
      </w:r>
    </w:p>
    <w:p w14:paraId="36C6449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4.1见合同专用条款。</w:t>
      </w:r>
    </w:p>
    <w:p w14:paraId="3E36E73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5.保险</w:t>
      </w:r>
    </w:p>
    <w:p w14:paraId="45EEF3A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5.1卖方应为所提供服务的人员等购买保险。</w:t>
      </w:r>
    </w:p>
    <w:p w14:paraId="6F622265">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6.付款</w:t>
      </w:r>
    </w:p>
    <w:p w14:paraId="65EAA7D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6.1本合同以人民币付款。</w:t>
      </w:r>
    </w:p>
    <w:p w14:paraId="748F4EC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6.2卖方应按照双方签订的合同规定提供服务,服务成果由买方验收合格并出具验收书后，连同合同一并送政府采购管理部门办理结算。</w:t>
      </w:r>
    </w:p>
    <w:p w14:paraId="4BE3F89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6.3见合同专用条款。</w:t>
      </w:r>
    </w:p>
    <w:p w14:paraId="3BBD5363">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7.质量保证及索赔</w:t>
      </w:r>
    </w:p>
    <w:p w14:paraId="2DD4476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7.1卖方应保证所供服务完全符合合同规定的要求。</w:t>
      </w:r>
    </w:p>
    <w:p w14:paraId="25ED8C1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7.2在服务期限内，如果服务与合同有任何一项不符，买方应尽快以书面形式向卖方提出索赔。同时应向政府采购管理部门报告。</w:t>
      </w:r>
    </w:p>
    <w:p w14:paraId="46D307F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7.3卖方在收到买方的通知后，应及时纠正。具体响应时限见专用合同条款。</w:t>
      </w:r>
    </w:p>
    <w:p w14:paraId="5339A29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如果卖方在收到通知后，没有在上述专用合同条款中规定的时限内及时纠正和弥补，买方可采取必要的补救措施，但其风险和费用将由卖方承担，买方根据合同规定对卖方行使的其它权力不受影响。买方亦可从合同款和卖方履约保证金中扣回索赔金额。</w:t>
      </w:r>
    </w:p>
    <w:p w14:paraId="35C7FBF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8.检验和验收</w:t>
      </w:r>
    </w:p>
    <w:p w14:paraId="542053A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8.1在完成每项服务内容前，供应商应对服务的内容、实施的效果等进行准确而全面的检验，并出具相关证明文件。</w:t>
      </w:r>
    </w:p>
    <w:p w14:paraId="35C76B6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8.2服务成果，由采购单位根据合同规定的标准要求进行验收，并出具验收书。验收书应当包括履约情况。</w:t>
      </w:r>
    </w:p>
    <w:p w14:paraId="6E00DFF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8.3履约验收方案以合同约定为准。</w:t>
      </w:r>
    </w:p>
    <w:p w14:paraId="7F220AB8">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9.违约责任</w:t>
      </w:r>
    </w:p>
    <w:p w14:paraId="10BDF5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9.1合同一方不履行合同义务、履行合同义务不符合约定或者违反合同项下所作保证的，应向对方承担继续履行、采取修理、更换、退货等补救措施或者赔偿损失等违约责任。</w:t>
      </w:r>
    </w:p>
    <w:p w14:paraId="222B2E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9.2如卖方事先未征得买方同意并得到买方的谅解而单方面延迟提供服务的情况，将按违约终止合同。</w:t>
      </w:r>
    </w:p>
    <w:p w14:paraId="10E143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9.3在履行合同过程中，如果卖方遇到可能妨碍按时提供服务的情况，应及时以书面形式将拖延的事实,可能拖延的期限和理由通知买方。买方在收到卖方通知后，应尽快对情况进行评价，并确定是否通过修改合同，酌情延长服务期限或对卖方加收误期赔偿金。误期赔偿金以每周0.5%计。</w:t>
      </w:r>
    </w:p>
    <w:p w14:paraId="6E8A8185">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4"/>
          <w:rFonts w:hint="eastAsia" w:ascii="宋体" w:hAnsi="宋体" w:eastAsia="宋体" w:cs="宋体"/>
          <w:color w:val="auto"/>
          <w:sz w:val="24"/>
          <w:szCs w:val="24"/>
          <w:highlight w:val="none"/>
        </w:rPr>
      </w:pPr>
      <w:r>
        <w:rPr>
          <w:rStyle w:val="14"/>
          <w:rFonts w:hint="eastAsia" w:ascii="宋体" w:hAnsi="宋体" w:eastAsia="宋体" w:cs="宋体"/>
          <w:color w:val="auto"/>
          <w:sz w:val="24"/>
          <w:szCs w:val="24"/>
          <w:highlight w:val="none"/>
        </w:rPr>
        <w:t>9.4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1D044863">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4"/>
          <w:rFonts w:hint="eastAsia" w:ascii="宋体" w:hAnsi="宋体" w:eastAsia="宋体" w:cs="宋体"/>
          <w:color w:val="auto"/>
          <w:sz w:val="24"/>
          <w:szCs w:val="24"/>
          <w:highlight w:val="none"/>
        </w:rPr>
      </w:pPr>
      <w:r>
        <w:rPr>
          <w:rStyle w:val="14"/>
          <w:rFonts w:hint="eastAsia" w:ascii="宋体" w:hAnsi="宋体" w:eastAsia="宋体" w:cs="宋体"/>
          <w:color w:val="auto"/>
          <w:sz w:val="24"/>
          <w:szCs w:val="24"/>
          <w:highlight w:val="none"/>
        </w:rPr>
        <w:t>9.5受影响一方应在不可抗力事件发生后尽快用书面形式通知对方，并于不可抗力事件发生后十四（14）天内将有关当局出具的证明文件用特快专递或挂号信寄给对方审阅确认。</w:t>
      </w:r>
    </w:p>
    <w:p w14:paraId="5A321668">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4"/>
          <w:rFonts w:hint="eastAsia" w:ascii="宋体" w:hAnsi="宋体" w:eastAsia="宋体" w:cs="宋体"/>
          <w:color w:val="auto"/>
          <w:sz w:val="24"/>
          <w:szCs w:val="24"/>
          <w:highlight w:val="none"/>
        </w:rPr>
      </w:pPr>
      <w:r>
        <w:rPr>
          <w:rStyle w:val="14"/>
          <w:rFonts w:hint="eastAsia" w:ascii="宋体" w:hAnsi="宋体" w:eastAsia="宋体" w:cs="宋体"/>
          <w:color w:val="auto"/>
          <w:sz w:val="24"/>
          <w:szCs w:val="24"/>
          <w:highlight w:val="none"/>
        </w:rPr>
        <w:t>9.6因合同一方迟延履行合同后发生不可抗力的，不能免除迟延履行方的相应责任。</w:t>
      </w:r>
    </w:p>
    <w:p w14:paraId="1B65D9C8">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4"/>
          <w:rFonts w:hint="eastAsia" w:ascii="宋体" w:hAnsi="宋体" w:eastAsia="宋体" w:cs="宋体"/>
          <w:color w:val="auto"/>
          <w:sz w:val="24"/>
          <w:szCs w:val="24"/>
          <w:highlight w:val="none"/>
          <w:lang w:val="en-US" w:eastAsia="zh-CN"/>
        </w:rPr>
      </w:pPr>
      <w:r>
        <w:rPr>
          <w:rStyle w:val="14"/>
          <w:rFonts w:hint="eastAsia" w:ascii="宋体" w:hAnsi="宋体" w:eastAsia="宋体" w:cs="宋体"/>
          <w:color w:val="auto"/>
          <w:sz w:val="24"/>
          <w:szCs w:val="24"/>
          <w:highlight w:val="none"/>
          <w:lang w:val="en-US" w:eastAsia="zh-CN"/>
        </w:rPr>
        <w:t>9.7其他责任：</w:t>
      </w:r>
    </w:p>
    <w:p w14:paraId="512F36A4">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4"/>
          <w:rFonts w:hint="default" w:ascii="宋体" w:hAnsi="宋体" w:eastAsia="宋体" w:cs="宋体"/>
          <w:color w:val="auto"/>
          <w:sz w:val="24"/>
          <w:szCs w:val="24"/>
          <w:highlight w:val="none"/>
          <w:lang w:val="en-US" w:eastAsia="zh-CN"/>
        </w:rPr>
      </w:pPr>
      <w:r>
        <w:rPr>
          <w:rStyle w:val="14"/>
          <w:rFonts w:hint="eastAsia" w:ascii="宋体" w:hAnsi="宋体" w:eastAsia="宋体" w:cs="宋体"/>
          <w:color w:val="auto"/>
          <w:sz w:val="24"/>
          <w:szCs w:val="24"/>
          <w:highlight w:val="none"/>
          <w:lang w:val="en-US" w:eastAsia="zh-CN"/>
        </w:rPr>
        <w:t>（1）卖方</w:t>
      </w:r>
      <w:r>
        <w:rPr>
          <w:rStyle w:val="14"/>
          <w:rFonts w:hint="default" w:ascii="宋体" w:hAnsi="宋体" w:eastAsia="宋体" w:cs="宋体"/>
          <w:color w:val="auto"/>
          <w:sz w:val="24"/>
          <w:szCs w:val="24"/>
          <w:highlight w:val="none"/>
          <w:lang w:val="en-US" w:eastAsia="zh-CN"/>
        </w:rPr>
        <w:t>所提供的服务如不符合招投标文件要求，应及时更换，更换不及时的按逾期交货处罚</w:t>
      </w:r>
      <w:r>
        <w:rPr>
          <w:rStyle w:val="14"/>
          <w:rFonts w:hint="eastAsia" w:ascii="宋体" w:hAnsi="宋体" w:eastAsia="宋体" w:cs="宋体"/>
          <w:color w:val="auto"/>
          <w:sz w:val="24"/>
          <w:szCs w:val="24"/>
          <w:highlight w:val="none"/>
          <w:lang w:val="en-US" w:eastAsia="zh-CN"/>
        </w:rPr>
        <w:t>；</w:t>
      </w:r>
      <w:r>
        <w:rPr>
          <w:rStyle w:val="14"/>
          <w:rFonts w:hint="default" w:ascii="宋体" w:hAnsi="宋体" w:eastAsia="宋体" w:cs="宋体"/>
          <w:color w:val="auto"/>
          <w:sz w:val="24"/>
          <w:szCs w:val="24"/>
          <w:highlight w:val="none"/>
          <w:lang w:val="en-US" w:eastAsia="zh-CN"/>
        </w:rPr>
        <w:t>因质量问题</w:t>
      </w:r>
      <w:r>
        <w:rPr>
          <w:rStyle w:val="14"/>
          <w:rFonts w:hint="eastAsia" w:ascii="宋体" w:hAnsi="宋体" w:eastAsia="宋体" w:cs="宋体"/>
          <w:color w:val="auto"/>
          <w:sz w:val="24"/>
          <w:szCs w:val="24"/>
          <w:highlight w:val="none"/>
          <w:lang w:val="en-US" w:eastAsia="zh-CN"/>
        </w:rPr>
        <w:t>买方</w:t>
      </w:r>
      <w:r>
        <w:rPr>
          <w:rStyle w:val="14"/>
          <w:rFonts w:hint="default" w:ascii="宋体" w:hAnsi="宋体" w:eastAsia="宋体" w:cs="宋体"/>
          <w:color w:val="auto"/>
          <w:sz w:val="24"/>
          <w:szCs w:val="24"/>
          <w:highlight w:val="none"/>
          <w:lang w:val="en-US" w:eastAsia="zh-CN"/>
        </w:rPr>
        <w:t>不同意接收的或特殊情况</w:t>
      </w:r>
      <w:r>
        <w:rPr>
          <w:rStyle w:val="14"/>
          <w:rFonts w:hint="eastAsia" w:ascii="宋体" w:hAnsi="宋体" w:eastAsia="宋体" w:cs="宋体"/>
          <w:color w:val="auto"/>
          <w:sz w:val="24"/>
          <w:szCs w:val="24"/>
          <w:highlight w:val="none"/>
          <w:lang w:val="en-US" w:eastAsia="zh-CN"/>
        </w:rPr>
        <w:t>买方</w:t>
      </w:r>
      <w:r>
        <w:rPr>
          <w:rStyle w:val="14"/>
          <w:rFonts w:hint="default" w:ascii="宋体" w:hAnsi="宋体" w:eastAsia="宋体" w:cs="宋体"/>
          <w:color w:val="auto"/>
          <w:sz w:val="24"/>
          <w:szCs w:val="24"/>
          <w:highlight w:val="none"/>
          <w:lang w:val="en-US" w:eastAsia="zh-CN"/>
        </w:rPr>
        <w:t>同意接收的，</w:t>
      </w:r>
      <w:r>
        <w:rPr>
          <w:rStyle w:val="14"/>
          <w:rFonts w:hint="eastAsia" w:ascii="宋体" w:hAnsi="宋体" w:eastAsia="宋体" w:cs="宋体"/>
          <w:color w:val="auto"/>
          <w:sz w:val="24"/>
          <w:szCs w:val="24"/>
          <w:highlight w:val="none"/>
          <w:lang w:val="en-US" w:eastAsia="zh-CN"/>
        </w:rPr>
        <w:t>卖方</w:t>
      </w:r>
      <w:r>
        <w:rPr>
          <w:rStyle w:val="14"/>
          <w:rFonts w:hint="default" w:ascii="宋体" w:hAnsi="宋体" w:eastAsia="宋体" w:cs="宋体"/>
          <w:color w:val="auto"/>
          <w:sz w:val="24"/>
          <w:szCs w:val="24"/>
          <w:highlight w:val="none"/>
          <w:lang w:val="en-US" w:eastAsia="zh-CN"/>
        </w:rPr>
        <w:t>应向</w:t>
      </w:r>
      <w:r>
        <w:rPr>
          <w:rStyle w:val="14"/>
          <w:rFonts w:hint="eastAsia" w:ascii="宋体" w:hAnsi="宋体" w:eastAsia="宋体" w:cs="宋体"/>
          <w:color w:val="auto"/>
          <w:sz w:val="24"/>
          <w:szCs w:val="24"/>
          <w:highlight w:val="none"/>
          <w:lang w:val="en-US" w:eastAsia="zh-CN"/>
        </w:rPr>
        <w:t>买方</w:t>
      </w:r>
      <w:r>
        <w:rPr>
          <w:rStyle w:val="14"/>
          <w:rFonts w:hint="default" w:ascii="宋体" w:hAnsi="宋体" w:eastAsia="宋体" w:cs="宋体"/>
          <w:color w:val="auto"/>
          <w:sz w:val="24"/>
          <w:szCs w:val="24"/>
          <w:highlight w:val="none"/>
          <w:lang w:val="en-US" w:eastAsia="zh-CN"/>
        </w:rPr>
        <w:t>支付违约货款额5%违约金并赔偿</w:t>
      </w:r>
      <w:r>
        <w:rPr>
          <w:rStyle w:val="14"/>
          <w:rFonts w:hint="eastAsia" w:ascii="宋体" w:hAnsi="宋体" w:eastAsia="宋体" w:cs="宋体"/>
          <w:color w:val="auto"/>
          <w:sz w:val="24"/>
          <w:szCs w:val="24"/>
          <w:highlight w:val="none"/>
          <w:lang w:val="en-US" w:eastAsia="zh-CN"/>
        </w:rPr>
        <w:t>买方</w:t>
      </w:r>
      <w:r>
        <w:rPr>
          <w:rStyle w:val="14"/>
          <w:rFonts w:hint="default" w:ascii="宋体" w:hAnsi="宋体" w:eastAsia="宋体" w:cs="宋体"/>
          <w:color w:val="auto"/>
          <w:sz w:val="24"/>
          <w:szCs w:val="24"/>
          <w:highlight w:val="none"/>
          <w:lang w:val="en-US" w:eastAsia="zh-CN"/>
        </w:rPr>
        <w:t>经济损失。</w:t>
      </w:r>
    </w:p>
    <w:p w14:paraId="7E8F6FDD">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4"/>
          <w:rFonts w:hint="default" w:ascii="宋体" w:hAnsi="宋体" w:eastAsia="宋体" w:cs="宋体"/>
          <w:color w:val="auto"/>
          <w:sz w:val="24"/>
          <w:szCs w:val="24"/>
          <w:highlight w:val="none"/>
          <w:lang w:val="en-US" w:eastAsia="zh-CN"/>
        </w:rPr>
      </w:pPr>
      <w:r>
        <w:rPr>
          <w:rStyle w:val="14"/>
          <w:rFonts w:hint="eastAsia" w:ascii="宋体" w:hAnsi="宋体" w:eastAsia="宋体" w:cs="宋体"/>
          <w:color w:val="auto"/>
          <w:sz w:val="24"/>
          <w:szCs w:val="24"/>
          <w:highlight w:val="none"/>
          <w:lang w:val="en-US" w:eastAsia="zh-CN"/>
        </w:rPr>
        <w:t>（2）卖方</w:t>
      </w:r>
      <w:r>
        <w:rPr>
          <w:rStyle w:val="14"/>
          <w:rFonts w:hint="default" w:ascii="宋体" w:hAnsi="宋体" w:eastAsia="宋体" w:cs="宋体"/>
          <w:color w:val="auto"/>
          <w:sz w:val="24"/>
          <w:szCs w:val="24"/>
          <w:highlight w:val="none"/>
          <w:lang w:val="en-US" w:eastAsia="zh-CN"/>
        </w:rPr>
        <w:t>提供的货物如侵犯第三方合法权益而引发的任何纠纷或诉讼，均由</w:t>
      </w:r>
      <w:r>
        <w:rPr>
          <w:rStyle w:val="14"/>
          <w:rFonts w:hint="eastAsia" w:ascii="宋体" w:hAnsi="宋体" w:eastAsia="宋体" w:cs="宋体"/>
          <w:color w:val="auto"/>
          <w:sz w:val="24"/>
          <w:szCs w:val="24"/>
          <w:highlight w:val="none"/>
          <w:lang w:val="en-US" w:eastAsia="zh-CN"/>
        </w:rPr>
        <w:t>卖方</w:t>
      </w:r>
      <w:r>
        <w:rPr>
          <w:rStyle w:val="14"/>
          <w:rFonts w:hint="default" w:ascii="宋体" w:hAnsi="宋体" w:eastAsia="宋体" w:cs="宋体"/>
          <w:color w:val="auto"/>
          <w:sz w:val="24"/>
          <w:szCs w:val="24"/>
          <w:highlight w:val="none"/>
          <w:lang w:val="en-US" w:eastAsia="zh-CN"/>
        </w:rPr>
        <w:t>负责交涉并承担全部责任。</w:t>
      </w:r>
    </w:p>
    <w:p w14:paraId="57BE6AB7">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4"/>
          <w:rFonts w:hint="default" w:ascii="宋体" w:hAnsi="宋体" w:eastAsia="宋体" w:cs="宋体"/>
          <w:color w:val="auto"/>
          <w:sz w:val="24"/>
          <w:szCs w:val="24"/>
          <w:highlight w:val="none"/>
          <w:lang w:val="en-US" w:eastAsia="zh-CN"/>
        </w:rPr>
      </w:pPr>
      <w:r>
        <w:rPr>
          <w:rStyle w:val="14"/>
          <w:rFonts w:hint="eastAsia" w:ascii="宋体" w:hAnsi="宋体" w:eastAsia="宋体" w:cs="宋体"/>
          <w:color w:val="auto"/>
          <w:sz w:val="24"/>
          <w:szCs w:val="24"/>
          <w:highlight w:val="none"/>
          <w:lang w:val="en-US" w:eastAsia="zh-CN"/>
        </w:rPr>
        <w:t>（3）卖方</w:t>
      </w:r>
      <w:r>
        <w:rPr>
          <w:rStyle w:val="14"/>
          <w:rFonts w:hint="default" w:ascii="宋体" w:hAnsi="宋体" w:eastAsia="宋体" w:cs="宋体"/>
          <w:color w:val="auto"/>
          <w:sz w:val="24"/>
          <w:szCs w:val="24"/>
          <w:highlight w:val="none"/>
          <w:lang w:val="en-US" w:eastAsia="zh-CN"/>
        </w:rPr>
        <w:t>未按本合同和投标文件中规定的服务承诺提供售后服务的，</w:t>
      </w:r>
      <w:r>
        <w:rPr>
          <w:rStyle w:val="14"/>
          <w:rFonts w:hint="eastAsia" w:ascii="宋体" w:hAnsi="宋体" w:eastAsia="宋体" w:cs="宋体"/>
          <w:color w:val="auto"/>
          <w:sz w:val="24"/>
          <w:szCs w:val="24"/>
          <w:highlight w:val="none"/>
          <w:lang w:val="en-US" w:eastAsia="zh-CN"/>
        </w:rPr>
        <w:t>卖方</w:t>
      </w:r>
      <w:r>
        <w:rPr>
          <w:rStyle w:val="14"/>
          <w:rFonts w:hint="default" w:ascii="宋体" w:hAnsi="宋体" w:eastAsia="宋体" w:cs="宋体"/>
          <w:color w:val="auto"/>
          <w:sz w:val="24"/>
          <w:szCs w:val="24"/>
          <w:highlight w:val="none"/>
          <w:lang w:val="en-US" w:eastAsia="zh-CN"/>
        </w:rPr>
        <w:t>应按本合同合计金额5%向</w:t>
      </w:r>
      <w:r>
        <w:rPr>
          <w:rStyle w:val="14"/>
          <w:rFonts w:hint="eastAsia" w:ascii="宋体" w:hAnsi="宋体" w:eastAsia="宋体" w:cs="宋体"/>
          <w:color w:val="auto"/>
          <w:sz w:val="24"/>
          <w:szCs w:val="24"/>
          <w:highlight w:val="none"/>
          <w:lang w:val="en-US" w:eastAsia="zh-CN"/>
        </w:rPr>
        <w:t>买方</w:t>
      </w:r>
      <w:r>
        <w:rPr>
          <w:rStyle w:val="14"/>
          <w:rFonts w:hint="default" w:ascii="宋体" w:hAnsi="宋体" w:eastAsia="宋体" w:cs="宋体"/>
          <w:color w:val="auto"/>
          <w:sz w:val="24"/>
          <w:szCs w:val="24"/>
          <w:highlight w:val="none"/>
          <w:lang w:val="en-US" w:eastAsia="zh-CN"/>
        </w:rPr>
        <w:t>支付违约金。</w:t>
      </w:r>
    </w:p>
    <w:p w14:paraId="12BE917B">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4"/>
          <w:rFonts w:hint="default" w:ascii="宋体" w:hAnsi="宋体" w:eastAsia="宋体" w:cs="宋体"/>
          <w:color w:val="auto"/>
          <w:sz w:val="24"/>
          <w:szCs w:val="24"/>
          <w:highlight w:val="none"/>
          <w:lang w:val="en-US" w:eastAsia="zh-CN"/>
        </w:rPr>
      </w:pPr>
      <w:r>
        <w:rPr>
          <w:rStyle w:val="14"/>
          <w:rFonts w:hint="eastAsia" w:ascii="宋体" w:hAnsi="宋体" w:eastAsia="宋体" w:cs="宋体"/>
          <w:color w:val="auto"/>
          <w:sz w:val="24"/>
          <w:szCs w:val="24"/>
          <w:highlight w:val="none"/>
          <w:lang w:val="en-US" w:eastAsia="zh-CN"/>
        </w:rPr>
        <w:t>（4）卖方</w:t>
      </w:r>
      <w:r>
        <w:rPr>
          <w:rStyle w:val="14"/>
          <w:rFonts w:hint="default" w:ascii="宋体" w:hAnsi="宋体" w:eastAsia="宋体" w:cs="宋体"/>
          <w:color w:val="auto"/>
          <w:sz w:val="24"/>
          <w:szCs w:val="24"/>
          <w:highlight w:val="none"/>
          <w:lang w:val="en-US" w:eastAsia="zh-CN"/>
        </w:rPr>
        <w:t>提供的服务在质量保证期内，因设计、录制的缺陷和其他其他质量原因造成的问题，由</w:t>
      </w:r>
      <w:r>
        <w:rPr>
          <w:rStyle w:val="14"/>
          <w:rFonts w:hint="eastAsia" w:ascii="宋体" w:hAnsi="宋体" w:eastAsia="宋体" w:cs="宋体"/>
          <w:color w:val="auto"/>
          <w:sz w:val="24"/>
          <w:szCs w:val="24"/>
          <w:highlight w:val="none"/>
          <w:lang w:val="en-US" w:eastAsia="zh-CN"/>
        </w:rPr>
        <w:t>卖方</w:t>
      </w:r>
      <w:r>
        <w:rPr>
          <w:rStyle w:val="14"/>
          <w:rFonts w:hint="default" w:ascii="宋体" w:hAnsi="宋体" w:eastAsia="宋体" w:cs="宋体"/>
          <w:color w:val="auto"/>
          <w:sz w:val="24"/>
          <w:szCs w:val="24"/>
          <w:highlight w:val="none"/>
          <w:lang w:val="en-US" w:eastAsia="zh-CN"/>
        </w:rPr>
        <w:t>负责</w:t>
      </w:r>
      <w:r>
        <w:rPr>
          <w:rStyle w:val="14"/>
          <w:rFonts w:hint="eastAsia" w:ascii="宋体" w:hAnsi="宋体" w:eastAsia="宋体" w:cs="宋体"/>
          <w:color w:val="auto"/>
          <w:sz w:val="24"/>
          <w:szCs w:val="24"/>
          <w:highlight w:val="none"/>
          <w:lang w:val="en-US" w:eastAsia="zh-CN"/>
        </w:rPr>
        <w:t>。</w:t>
      </w:r>
    </w:p>
    <w:p w14:paraId="481F1AF2">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10.违约终止合同</w:t>
      </w:r>
    </w:p>
    <w:p w14:paraId="2120BE7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10.1在卖方违约的情况下，买方报告政府采购管理部门后，有权终止合同，并依法向卖方进行索赔。</w:t>
      </w:r>
    </w:p>
    <w:p w14:paraId="360C1054">
      <w:pPr>
        <w:pStyle w:val="16"/>
        <w:pageBreakBefore w:val="0"/>
        <w:widowControl w:val="0"/>
        <w:tabs>
          <w:tab w:val="left" w:pos="720"/>
        </w:tabs>
        <w:kinsoku/>
        <w:wordWrap/>
        <w:overflowPunct/>
        <w:topLinePunct w:val="0"/>
        <w:autoSpaceDE/>
        <w:autoSpaceDN/>
        <w:bidi w:val="0"/>
        <w:adjustRightInd/>
        <w:snapToGrid/>
        <w:spacing w:before="0" w:after="0" w:line="360" w:lineRule="auto"/>
        <w:textAlignment w:val="auto"/>
        <w:rPr>
          <w:rStyle w:val="14"/>
          <w:rFonts w:hint="eastAsia" w:ascii="宋体" w:hAnsi="宋体" w:eastAsia="宋体" w:cs="宋体"/>
          <w:color w:val="auto"/>
          <w:sz w:val="24"/>
          <w:szCs w:val="24"/>
          <w:highlight w:val="none"/>
        </w:rPr>
      </w:pPr>
      <w:r>
        <w:rPr>
          <w:rStyle w:val="14"/>
          <w:rFonts w:hint="eastAsia" w:ascii="宋体" w:hAnsi="宋体" w:eastAsia="宋体" w:cs="宋体"/>
          <w:color w:val="auto"/>
          <w:sz w:val="24"/>
          <w:szCs w:val="24"/>
          <w:highlight w:val="none"/>
        </w:rPr>
        <w:t>12.争议的解决</w:t>
      </w:r>
    </w:p>
    <w:p w14:paraId="10481338">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4"/>
          <w:rFonts w:hint="eastAsia" w:ascii="宋体" w:hAnsi="宋体" w:eastAsia="宋体" w:cs="宋体"/>
          <w:color w:val="auto"/>
          <w:sz w:val="24"/>
          <w:szCs w:val="24"/>
          <w:highlight w:val="none"/>
        </w:rPr>
      </w:pPr>
      <w:r>
        <w:rPr>
          <w:rStyle w:val="14"/>
          <w:rFonts w:hint="eastAsia" w:ascii="宋体" w:hAnsi="宋体" w:eastAsia="宋体" w:cs="宋体"/>
          <w:color w:val="auto"/>
          <w:sz w:val="24"/>
          <w:szCs w:val="24"/>
          <w:highlight w:val="none"/>
        </w:rPr>
        <w:t>12.1因执行本合同所发生的或与本合同有关的一切争议,双方应通过友好协商解决。如果协商开始后六十（60）天还不能解决，任何一方均可按中华人民共和国有关法律的规定提交仲裁。仲裁地点见“合同专用条款”。</w:t>
      </w:r>
    </w:p>
    <w:p w14:paraId="26CA67D8">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4"/>
          <w:rFonts w:hint="eastAsia" w:ascii="宋体" w:hAnsi="宋体" w:eastAsia="宋体" w:cs="宋体"/>
          <w:color w:val="auto"/>
          <w:sz w:val="24"/>
          <w:szCs w:val="24"/>
          <w:highlight w:val="none"/>
        </w:rPr>
      </w:pPr>
      <w:r>
        <w:rPr>
          <w:rStyle w:val="14"/>
          <w:rFonts w:hint="eastAsia" w:ascii="宋体" w:hAnsi="宋体" w:eastAsia="宋体" w:cs="宋体"/>
          <w:color w:val="auto"/>
          <w:sz w:val="24"/>
          <w:szCs w:val="24"/>
          <w:highlight w:val="none"/>
        </w:rPr>
        <w:t>12.2仲裁裁决应为最终裁决，对双方均具有约束力。</w:t>
      </w:r>
    </w:p>
    <w:p w14:paraId="728B9D56">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Style w:val="14"/>
          <w:rFonts w:hint="eastAsia" w:ascii="宋体" w:hAnsi="宋体" w:eastAsia="宋体" w:cs="宋体"/>
          <w:color w:val="auto"/>
          <w:sz w:val="24"/>
          <w:szCs w:val="24"/>
          <w:highlight w:val="none"/>
        </w:rPr>
      </w:pPr>
      <w:r>
        <w:rPr>
          <w:rStyle w:val="14"/>
          <w:rFonts w:hint="eastAsia" w:ascii="宋体" w:hAnsi="宋体" w:eastAsia="宋体" w:cs="宋体"/>
          <w:color w:val="auto"/>
          <w:sz w:val="24"/>
          <w:szCs w:val="24"/>
          <w:highlight w:val="none"/>
        </w:rPr>
        <w:t>12.3仲裁费除仲裁机关另有裁决外均应由败诉方负担。</w:t>
      </w:r>
    </w:p>
    <w:p w14:paraId="63941773">
      <w:pPr>
        <w:keepNext w:val="0"/>
        <w:keepLines w:val="0"/>
        <w:pageBreakBefore w:val="0"/>
        <w:widowControl w:val="0"/>
        <w:tabs>
          <w:tab w:val="left" w:pos="7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color w:val="auto"/>
          <w:sz w:val="24"/>
          <w:szCs w:val="24"/>
          <w:highlight w:val="none"/>
        </w:rPr>
      </w:pPr>
      <w:r>
        <w:rPr>
          <w:rStyle w:val="14"/>
          <w:rFonts w:hint="eastAsia" w:ascii="宋体" w:hAnsi="宋体" w:eastAsia="宋体" w:cs="宋体"/>
          <w:color w:val="auto"/>
          <w:sz w:val="24"/>
          <w:szCs w:val="24"/>
          <w:highlight w:val="none"/>
        </w:rPr>
        <w:t>12.4在仲裁期间，除正在进行仲裁的部分外，本合同其它部分应继续执行。</w:t>
      </w:r>
    </w:p>
    <w:p w14:paraId="18F21F6E">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13.适用法律</w:t>
      </w:r>
    </w:p>
    <w:p w14:paraId="532DD7E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13.1本合同应按照中华人民共和国的现行法律进行解释。</w:t>
      </w:r>
    </w:p>
    <w:p w14:paraId="4CB8163B">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14.合同生效及其它</w:t>
      </w:r>
    </w:p>
    <w:p w14:paraId="5B06DC0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14.1本合同在买卖双方签字、盖章之后生效。</w:t>
      </w:r>
    </w:p>
    <w:p w14:paraId="3F7695C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14.2本合同正本一式二份，副本一式四份，均以中文书写。买方执正本一份、副本二份；卖方执正本一份，副本一份；政府采购管理部门备案副本一份。</w:t>
      </w:r>
    </w:p>
    <w:p w14:paraId="11E2F33D">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15.合同修改</w:t>
      </w:r>
    </w:p>
    <w:p w14:paraId="647011B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15.1本合同在执行过程中，如提出修改，须报政府采购管理部门同意后，由买、卖双方签署书面修改协议，并成为本合同不可分割的一部分。除此之外，本合同的条件不得有任何变化或修改。</w:t>
      </w:r>
    </w:p>
    <w:p w14:paraId="60087944">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16.合同附件</w:t>
      </w:r>
    </w:p>
    <w:p w14:paraId="02DDF34D">
      <w:pPr>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olor w:val="auto"/>
          <w:sz w:val="24"/>
          <w:highlight w:val="none"/>
        </w:rPr>
      </w:pPr>
      <w:r>
        <w:rPr>
          <w:rFonts w:hint="eastAsia" w:ascii="宋体" w:hAnsi="宋体" w:eastAsia="宋体" w:cs="宋体"/>
          <w:color w:val="auto"/>
          <w:sz w:val="24"/>
          <w:szCs w:val="24"/>
          <w:highlight w:val="none"/>
        </w:rPr>
        <w:t>16.1本合同所有附件是本合同不可分割的部分,与主合同具有同等法律效力。</w:t>
      </w:r>
    </w:p>
    <w:p w14:paraId="29E2E416">
      <w:pPr>
        <w:keepNext w:val="0"/>
        <w:keepLines w:val="0"/>
        <w:pageBreakBefore w:val="0"/>
        <w:widowControl w:val="0"/>
        <w:kinsoku/>
        <w:wordWrap/>
        <w:overflowPunct/>
        <w:topLinePunct w:val="0"/>
        <w:autoSpaceDE/>
        <w:autoSpaceDN/>
        <w:bidi w:val="0"/>
        <w:adjustRightInd/>
        <w:snapToGrid/>
        <w:jc w:val="center"/>
        <w:textAlignment w:val="auto"/>
        <w:outlineLvl w:val="9"/>
        <w:rPr>
          <w:rStyle w:val="17"/>
          <w:rFonts w:hint="eastAsia" w:ascii="宋体" w:hAnsi="宋体" w:cs="宋体"/>
          <w:b/>
          <w:bCs/>
          <w:color w:val="auto"/>
          <w:kern w:val="0"/>
          <w:sz w:val="36"/>
          <w:szCs w:val="36"/>
          <w:highlight w:val="none"/>
        </w:rPr>
      </w:pPr>
      <w:r>
        <w:rPr>
          <w:rFonts w:hint="eastAsia" w:ascii="宋体" w:hAnsi="宋体"/>
          <w:b/>
          <w:color w:val="auto"/>
          <w:sz w:val="36"/>
          <w:highlight w:val="none"/>
        </w:rPr>
        <w:br w:type="page"/>
      </w:r>
      <w:bookmarkStart w:id="4" w:name="_Toc3785"/>
      <w:bookmarkStart w:id="5" w:name="_Toc27467"/>
      <w:bookmarkStart w:id="6" w:name="_Toc18695"/>
      <w:r>
        <w:rPr>
          <w:rStyle w:val="17"/>
          <w:rFonts w:hint="eastAsia" w:ascii="宋体" w:hAnsi="宋体" w:cs="宋体"/>
          <w:b/>
          <w:bCs/>
          <w:color w:val="auto"/>
          <w:kern w:val="0"/>
          <w:sz w:val="32"/>
          <w:szCs w:val="32"/>
          <w:highlight w:val="none"/>
        </w:rPr>
        <w:t>合同专用条款</w:t>
      </w:r>
      <w:bookmarkEnd w:id="4"/>
    </w:p>
    <w:bookmarkEnd w:id="5"/>
    <w:bookmarkEnd w:id="6"/>
    <w:p w14:paraId="01E15855">
      <w:pPr>
        <w:keepNext w:val="0"/>
        <w:keepLines w:val="0"/>
        <w:pageBreakBefore w:val="0"/>
        <w:widowControl w:val="0"/>
        <w:kinsoku/>
        <w:wordWrap/>
        <w:overflowPunct/>
        <w:topLinePunct w:val="0"/>
        <w:autoSpaceDE/>
        <w:autoSpaceDN/>
        <w:bidi w:val="0"/>
        <w:adjustRightInd/>
        <w:snapToGrid/>
        <w:textAlignment w:val="auto"/>
        <w:outlineLvl w:val="9"/>
        <w:rPr>
          <w:rFonts w:hint="eastAsia"/>
          <w:color w:val="auto"/>
          <w:highlight w:val="none"/>
        </w:rPr>
      </w:pPr>
    </w:p>
    <w:p w14:paraId="2C27E137">
      <w:pPr>
        <w:ind w:firstLine="480" w:firstLineChars="200"/>
        <w:rPr>
          <w:rFonts w:hint="eastAsia"/>
          <w:color w:val="auto"/>
          <w:sz w:val="24"/>
          <w:szCs w:val="24"/>
          <w:highlight w:val="none"/>
        </w:rPr>
      </w:pPr>
      <w:r>
        <w:rPr>
          <w:rFonts w:hint="eastAsia"/>
          <w:color w:val="auto"/>
          <w:sz w:val="24"/>
          <w:szCs w:val="24"/>
          <w:highlight w:val="none"/>
        </w:rPr>
        <w:t>本表是对《合同通用条款》的具体补充和修改，如有矛盾，应以本表为准。</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19"/>
        <w:gridCol w:w="6843"/>
      </w:tblGrid>
      <w:tr w14:paraId="7153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908" w:type="pct"/>
            <w:tcBorders>
              <w:tl2br w:val="nil"/>
              <w:tr2bl w:val="nil"/>
            </w:tcBorders>
            <w:noWrap/>
            <w:vAlign w:val="center"/>
          </w:tcPr>
          <w:p w14:paraId="3EA9486C">
            <w:pPr>
              <w:jc w:val="center"/>
              <w:rPr>
                <w:rFonts w:ascii="宋体" w:hAnsi="宋体" w:cs="宋体"/>
                <w:color w:val="auto"/>
                <w:sz w:val="24"/>
                <w:szCs w:val="24"/>
                <w:highlight w:val="none"/>
              </w:rPr>
            </w:pPr>
            <w:r>
              <w:rPr>
                <w:rFonts w:hint="eastAsia" w:ascii="宋体" w:hAnsi="宋体" w:cs="宋体"/>
                <w:color w:val="auto"/>
                <w:sz w:val="24"/>
                <w:szCs w:val="24"/>
                <w:highlight w:val="none"/>
              </w:rPr>
              <w:t>条款号</w:t>
            </w:r>
          </w:p>
        </w:tc>
        <w:tc>
          <w:tcPr>
            <w:tcW w:w="4091" w:type="pct"/>
            <w:tcBorders>
              <w:tl2br w:val="nil"/>
              <w:tr2bl w:val="nil"/>
            </w:tcBorders>
            <w:noWrap/>
            <w:vAlign w:val="center"/>
          </w:tcPr>
          <w:p w14:paraId="09080DAD">
            <w:pPr>
              <w:jc w:val="center"/>
              <w:rPr>
                <w:rFonts w:ascii="宋体" w:hAnsi="宋体" w:cs="宋体"/>
                <w:b/>
                <w:color w:val="auto"/>
                <w:sz w:val="24"/>
                <w:szCs w:val="24"/>
                <w:highlight w:val="none"/>
              </w:rPr>
            </w:pPr>
            <w:r>
              <w:rPr>
                <w:rFonts w:hint="eastAsia" w:ascii="宋体" w:hAnsi="宋体" w:cs="宋体"/>
                <w:b/>
                <w:color w:val="auto"/>
                <w:sz w:val="24"/>
                <w:szCs w:val="24"/>
                <w:highlight w:val="none"/>
              </w:rPr>
              <w:t>内      容</w:t>
            </w:r>
          </w:p>
        </w:tc>
      </w:tr>
      <w:tr w14:paraId="7456B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40" w:hRule="atLeast"/>
        </w:trPr>
        <w:tc>
          <w:tcPr>
            <w:tcW w:w="908" w:type="pct"/>
            <w:tcBorders>
              <w:tl2br w:val="nil"/>
              <w:tr2bl w:val="nil"/>
            </w:tcBorders>
            <w:noWrap/>
            <w:vAlign w:val="center"/>
          </w:tcPr>
          <w:p w14:paraId="13023975">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4091" w:type="pct"/>
            <w:tcBorders>
              <w:tl2br w:val="nil"/>
              <w:tr2bl w:val="nil"/>
            </w:tcBorders>
            <w:noWrap/>
            <w:vAlign w:val="center"/>
          </w:tcPr>
          <w:p w14:paraId="2A59760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olor w:val="auto"/>
                <w:sz w:val="24"/>
                <w:highlight w:val="none"/>
              </w:rPr>
            </w:pPr>
            <w:r>
              <w:rPr>
                <w:rFonts w:hint="eastAsia"/>
                <w:color w:val="auto"/>
                <w:sz w:val="24"/>
                <w:highlight w:val="none"/>
              </w:rPr>
              <w:t>买方名称：西安市体育训练中心（西安市人民体育场）</w:t>
            </w:r>
          </w:p>
          <w:p w14:paraId="78779C0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olor w:val="auto"/>
                <w:sz w:val="24"/>
                <w:highlight w:val="none"/>
              </w:rPr>
            </w:pPr>
            <w:r>
              <w:rPr>
                <w:rFonts w:hint="eastAsia"/>
                <w:color w:val="auto"/>
                <w:sz w:val="24"/>
                <w:highlight w:val="none"/>
              </w:rPr>
              <w:t>地址：西安市国际港务区港务西路西安市体育训练中心</w:t>
            </w:r>
          </w:p>
        </w:tc>
      </w:tr>
      <w:tr w14:paraId="161AC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40" w:hRule="atLeast"/>
        </w:trPr>
        <w:tc>
          <w:tcPr>
            <w:tcW w:w="908" w:type="pct"/>
            <w:tcBorders>
              <w:tl2br w:val="nil"/>
              <w:tr2bl w:val="nil"/>
            </w:tcBorders>
            <w:noWrap/>
            <w:vAlign w:val="center"/>
          </w:tcPr>
          <w:p w14:paraId="6FF1125E">
            <w:pPr>
              <w:jc w:val="center"/>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2</w:t>
            </w:r>
          </w:p>
        </w:tc>
        <w:tc>
          <w:tcPr>
            <w:tcW w:w="4091" w:type="pct"/>
            <w:tcBorders>
              <w:tl2br w:val="nil"/>
              <w:tr2bl w:val="nil"/>
            </w:tcBorders>
            <w:noWrap/>
            <w:vAlign w:val="center"/>
          </w:tcPr>
          <w:p w14:paraId="7DF8745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highlight w:val="none"/>
                <w:lang w:eastAsia="zh-CN"/>
              </w:rPr>
            </w:pPr>
            <w:r>
              <w:rPr>
                <w:rFonts w:hint="eastAsia"/>
                <w:color w:val="auto"/>
                <w:sz w:val="24"/>
                <w:highlight w:val="none"/>
                <w:lang w:eastAsia="zh-CN"/>
              </w:rPr>
              <w:t>服</w:t>
            </w:r>
            <w:r>
              <w:rPr>
                <w:rFonts w:hint="eastAsia" w:ascii="宋体" w:hAnsi="宋体" w:eastAsia="宋体" w:cs="宋体"/>
                <w:color w:val="auto"/>
                <w:sz w:val="24"/>
                <w:szCs w:val="24"/>
                <w:highlight w:val="none"/>
                <w:lang w:eastAsia="zh-CN"/>
              </w:rPr>
              <w:t>务要求：</w:t>
            </w:r>
          </w:p>
          <w:p w14:paraId="73420A2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对体育训练中心内现存在的消防设施故障维修改造。每月按规范完成专项检查，并出具小蜜蜂系统月度维护保养报告，每季度进行一次全面维护检测与常规保养，每半年开展一次系统联动功能全面试验检查。每月重点检查消防控制室主机自检、联动控制柜功能、设备供电电源、探测器动作试验、声光报警显示及备电充放电与切换试验等内容。每半年对所有探测器进行专用仪器检测，完成消防给水、应急照明、防火卷帘、气体灭火等系统的全面检测与维护。</w:t>
            </w:r>
          </w:p>
          <w:p w14:paraId="0E6CFAE1">
            <w:pPr>
              <w:pStyle w:val="13"/>
              <w:numPr>
                <w:ilvl w:val="0"/>
                <w:numId w:val="0"/>
              </w:numPr>
              <w:rPr>
                <w:rFonts w:hint="eastAsia" w:ascii="宋体" w:hAnsi="宋体" w:eastAsia="宋体" w:cs="宋体"/>
                <w:snapToGrid w:val="0"/>
                <w:color w:val="auto"/>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bidi="ar-SA"/>
              </w:rPr>
              <w:t>项目概况:</w:t>
            </w:r>
          </w:p>
          <w:p w14:paraId="0B53F78F">
            <w:pPr>
              <w:pStyle w:val="13"/>
              <w:numPr>
                <w:ilvl w:val="0"/>
                <w:numId w:val="0"/>
              </w:numPr>
              <w:rPr>
                <w:rFonts w:hint="eastAsia" w:ascii="宋体" w:hAnsi="宋体" w:eastAsia="宋体" w:cs="宋体"/>
                <w:color w:val="auto"/>
                <w:sz w:val="24"/>
                <w:szCs w:val="24"/>
                <w:highlight w:val="none"/>
                <w:lang w:val="en-US" w:eastAsia="zh-CN"/>
              </w:rPr>
            </w:pPr>
            <w:r>
              <w:rPr>
                <w:rFonts w:hint="default" w:ascii="宋体" w:hAnsi="宋体" w:eastAsia="宋体" w:cs="宋体"/>
                <w:snapToGrid w:val="0"/>
                <w:color w:val="auto"/>
                <w:kern w:val="0"/>
                <w:sz w:val="24"/>
                <w:szCs w:val="24"/>
                <w:highlight w:val="none"/>
                <w:lang w:val="en-US" w:eastAsia="zh-CN" w:bidi="ar-SA"/>
              </w:rPr>
              <w:t>西安市体育训练中心消防设施改造项目，项目位于陕西省西安市灞桥区林泓路与骏惠巷交叉口。为保障训练中心人身安全与公共财产安全，有效预防和处置火灾事故，依据《中华人民共和国消防法》等法律法规，对体育训练中心消防设施故障进行维修改造，严格按规范委托具备资质的第三方机构，定期开展消防检测与维保，确保火灾自动报警、灭火系统等关键设备随时处于完好有效状态。通过专业维保和快速维修，筑牢消防安全防线，确保消防设施时刻处于有效运行状态。</w:t>
            </w:r>
          </w:p>
          <w:p w14:paraId="2B8A599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服务内容(包括工作区域、工作内容等)</w:t>
            </w:r>
            <w:r>
              <w:rPr>
                <w:rFonts w:hint="eastAsia" w:ascii="宋体" w:hAnsi="宋体" w:eastAsia="宋体" w:cs="宋体"/>
                <w:color w:val="auto"/>
                <w:sz w:val="24"/>
                <w:szCs w:val="24"/>
                <w:highlight w:val="none"/>
                <w:lang w:eastAsia="zh-CN"/>
              </w:rPr>
              <w:t>：</w:t>
            </w:r>
          </w:p>
          <w:p w14:paraId="58CE54D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rPr>
              <w:t>西安市体育训练中心内消防设施进行改造，委托具备资质的第三方机构，定期开展消防检测与维保。西安市体育训练中心包含:田径馆、综合馆、游泳馆、公寓楼、外训楼、食堂、地下车库、两设中心、科研楼共9栋楼，目前各栋楼共涉及消防系统有:火灾自动报警系统，消防给水及消火栓系统，自动喷水灭火系统，防烟排烟系统，应急照明及疏散指示系统，防火分隔设施存在问题;依据《火灾自动报警系统设计规范》GB50116-2013，《消防给水及消火栓系统技术规范》GB50974-2014，《建筑防烟排烟系统技术标准》GB51251-2017，《消防应急照明和疏散指示系统技术标准》GB51309-2018，《建筑防火通用规范》GB55037-2022，《建筑设计防火规范》GB50016-2014(2018年版)，《消防设施通用规范》GB55036-2022。</w:t>
            </w:r>
            <w:r>
              <w:rPr>
                <w:rFonts w:hint="eastAsia" w:ascii="宋体" w:hAnsi="宋体" w:eastAsia="宋体" w:cs="宋体"/>
                <w:color w:val="auto"/>
                <w:sz w:val="24"/>
                <w:szCs w:val="24"/>
                <w:highlight w:val="none"/>
                <w:lang w:val="en-US" w:eastAsia="zh-CN"/>
              </w:rPr>
              <w:t>针对田径馆共计44项问题、综合楼共计72项问题、游泳馆共计42项问题、公寓楼共计55项问题、外训楼共计41项问题、食堂楼共计14项问题、地下车库共计36项问题、两设中心共计46项问题、科研楼共计22项问题;所有问题按照各消防系统进行归纳总结，并梳理问题情况，属于程序问题，邀请青鸟技术人员现场支持，属于施工遗留问题，按照图纸、规范要求修复;属于功能故障或功能缺失的，进行针对修复;总依据及方法:先易后难，先整体后单点进行，先单栋楼后</w:t>
            </w:r>
            <w:r>
              <w:rPr>
                <w:rFonts w:hint="eastAsia" w:ascii="宋体" w:hAnsi="宋体" w:eastAsia="宋体" w:cs="宋体"/>
                <w:b w:val="0"/>
                <w:bCs w:val="0"/>
                <w:color w:val="auto"/>
                <w:sz w:val="24"/>
                <w:szCs w:val="24"/>
                <w:highlight w:val="none"/>
                <w:lang w:val="en-US" w:eastAsia="zh-CN"/>
              </w:rPr>
              <w:t>系统整体进行施工维修，以达到各个消防系统满足规范要求。</w:t>
            </w:r>
          </w:p>
          <w:p w14:paraId="78CD079D">
            <w:pPr>
              <w:pStyle w:val="13"/>
              <w:numPr>
                <w:ilvl w:val="0"/>
                <w:numId w:val="0"/>
              </w:numPr>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技术要求：</w:t>
            </w:r>
          </w:p>
          <w:p w14:paraId="23B31E94">
            <w:pPr>
              <w:pStyle w:val="13"/>
              <w:numPr>
                <w:ilvl w:val="0"/>
                <w:numId w:val="0"/>
              </w:numPr>
              <w:rPr>
                <w:rFonts w:hint="eastAsia" w:ascii="宋体" w:hAnsi="宋体" w:eastAsia="宋体" w:cs="宋体"/>
                <w:snapToGrid w:val="0"/>
                <w:color w:val="auto"/>
                <w:kern w:val="0"/>
                <w:sz w:val="24"/>
                <w:szCs w:val="24"/>
                <w:highlight w:val="none"/>
                <w:lang w:val="en-US" w:eastAsia="zh-CN" w:bidi="ar-SA"/>
              </w:rPr>
            </w:pPr>
            <w:r>
              <w:rPr>
                <w:rFonts w:hint="eastAsia" w:ascii="宋体" w:hAnsi="宋体" w:eastAsia="宋体" w:cs="宋体"/>
                <w:b w:val="0"/>
                <w:bCs w:val="0"/>
                <w:snapToGrid w:val="0"/>
                <w:color w:val="auto"/>
                <w:kern w:val="0"/>
                <w:sz w:val="24"/>
                <w:szCs w:val="24"/>
                <w:highlight w:val="none"/>
                <w:lang w:val="en-US" w:eastAsia="zh-CN" w:bidi="ar-SA"/>
              </w:rPr>
              <w:t>需严格遵循</w:t>
            </w:r>
            <w:r>
              <w:rPr>
                <w:rFonts w:hint="eastAsia" w:ascii="宋体" w:hAnsi="宋体" w:eastAsia="宋体" w:cs="宋体"/>
                <w:snapToGrid w:val="0"/>
                <w:color w:val="auto"/>
                <w:kern w:val="0"/>
                <w:sz w:val="24"/>
                <w:szCs w:val="24"/>
                <w:highlight w:val="none"/>
                <w:lang w:val="en-US" w:eastAsia="zh-CN" w:bidi="ar-SA"/>
              </w:rPr>
              <w:t>《建筑消防设施的维护管理》(GB25201-2010)、《建筑消防设施检测技术规程》(XF503-2004)及国家、陕西省、西安市现行消防相关标准规范，保证消防设施运转正常，通过消防部门日常检查及消防技术服务机构消防年度检测。</w:t>
            </w:r>
          </w:p>
          <w:p w14:paraId="63C18B27">
            <w:pPr>
              <w:pStyle w:val="13"/>
              <w:numPr>
                <w:ilvl w:val="0"/>
                <w:numId w:val="0"/>
              </w:numPr>
              <w:rPr>
                <w:rFonts w:hint="default" w:ascii="宋体" w:hAnsi="宋体" w:eastAsia="宋体" w:cs="宋体"/>
                <w:snapToGrid w:val="0"/>
                <w:color w:val="auto"/>
                <w:kern w:val="0"/>
                <w:sz w:val="24"/>
                <w:szCs w:val="24"/>
                <w:highlight w:val="none"/>
                <w:lang w:val="en-US" w:eastAsia="zh-CN" w:bidi="ar-SA"/>
              </w:rPr>
            </w:pPr>
            <w:r>
              <w:rPr>
                <w:rFonts w:hint="default" w:ascii="宋体" w:hAnsi="宋体" w:eastAsia="宋体" w:cs="宋体"/>
                <w:snapToGrid w:val="0"/>
                <w:color w:val="auto"/>
                <w:kern w:val="0"/>
                <w:sz w:val="24"/>
                <w:szCs w:val="24"/>
                <w:highlight w:val="none"/>
                <w:lang w:val="en-US" w:eastAsia="zh-CN" w:bidi="ar-SA"/>
              </w:rPr>
              <w:t>进度要求</w:t>
            </w:r>
            <w:r>
              <w:rPr>
                <w:rFonts w:hint="eastAsia" w:ascii="宋体" w:hAnsi="宋体" w:eastAsia="宋体" w:cs="宋体"/>
                <w:snapToGrid w:val="0"/>
                <w:color w:val="auto"/>
                <w:kern w:val="0"/>
                <w:sz w:val="24"/>
                <w:szCs w:val="24"/>
                <w:highlight w:val="none"/>
                <w:lang w:val="en-US" w:eastAsia="zh-CN" w:bidi="ar-SA"/>
              </w:rPr>
              <w:t>:</w:t>
            </w:r>
          </w:p>
          <w:p w14:paraId="459B084A">
            <w:pPr>
              <w:pStyle w:val="13"/>
              <w:numPr>
                <w:ilvl w:val="0"/>
                <w:numId w:val="0"/>
              </w:numPr>
              <w:rPr>
                <w:rFonts w:hint="default" w:ascii="宋体" w:hAnsi="宋体" w:eastAsia="宋体" w:cs="宋体"/>
                <w:snapToGrid w:val="0"/>
                <w:color w:val="auto"/>
                <w:kern w:val="0"/>
                <w:sz w:val="24"/>
                <w:szCs w:val="24"/>
                <w:highlight w:val="none"/>
                <w:lang w:val="en-US" w:eastAsia="zh-CN" w:bidi="ar-SA"/>
              </w:rPr>
            </w:pPr>
            <w:r>
              <w:rPr>
                <w:rFonts w:hint="default" w:ascii="宋体" w:hAnsi="宋体" w:eastAsia="宋体" w:cs="宋体"/>
                <w:snapToGrid w:val="0"/>
                <w:color w:val="auto"/>
                <w:kern w:val="0"/>
                <w:sz w:val="24"/>
                <w:szCs w:val="24"/>
                <w:highlight w:val="none"/>
                <w:lang w:val="en-US" w:eastAsia="zh-CN" w:bidi="ar-SA"/>
              </w:rPr>
              <w:t>按规范进行维护保养工作并提供详细的月度、季度及年度维保报告。</w:t>
            </w:r>
          </w:p>
          <w:p w14:paraId="300FA7C2">
            <w:pPr>
              <w:pStyle w:val="13"/>
              <w:numPr>
                <w:ilvl w:val="0"/>
                <w:numId w:val="0"/>
              </w:numPr>
              <w:rPr>
                <w:rFonts w:hint="default" w:ascii="宋体" w:hAnsi="宋体" w:eastAsia="宋体" w:cs="宋体"/>
                <w:snapToGrid w:val="0"/>
                <w:color w:val="auto"/>
                <w:kern w:val="0"/>
                <w:sz w:val="24"/>
                <w:szCs w:val="24"/>
                <w:highlight w:val="none"/>
                <w:lang w:val="en-US" w:eastAsia="zh-CN" w:bidi="ar-SA"/>
              </w:rPr>
            </w:pPr>
            <w:r>
              <w:rPr>
                <w:rFonts w:hint="default" w:ascii="宋体" w:hAnsi="宋体" w:eastAsia="宋体" w:cs="宋体"/>
                <w:snapToGrid w:val="0"/>
                <w:color w:val="auto"/>
                <w:kern w:val="0"/>
                <w:sz w:val="24"/>
                <w:szCs w:val="24"/>
                <w:highlight w:val="none"/>
                <w:lang w:val="en-US" w:eastAsia="zh-CN" w:bidi="ar-SA"/>
              </w:rPr>
              <w:t>成果交付要求</w:t>
            </w:r>
            <w:r>
              <w:rPr>
                <w:rFonts w:hint="eastAsia" w:ascii="宋体" w:hAnsi="宋体" w:eastAsia="宋体" w:cs="宋体"/>
                <w:snapToGrid w:val="0"/>
                <w:color w:val="auto"/>
                <w:kern w:val="0"/>
                <w:sz w:val="24"/>
                <w:szCs w:val="24"/>
                <w:highlight w:val="none"/>
                <w:lang w:val="en-US" w:eastAsia="zh-CN" w:bidi="ar-SA"/>
              </w:rPr>
              <w:t>:</w:t>
            </w:r>
          </w:p>
          <w:p w14:paraId="00B30E29">
            <w:pPr>
              <w:pStyle w:val="13"/>
              <w:numPr>
                <w:ilvl w:val="0"/>
                <w:numId w:val="0"/>
              </w:numPr>
              <w:rPr>
                <w:rFonts w:hint="default" w:ascii="宋体" w:hAnsi="宋体" w:eastAsia="宋体" w:cs="宋体"/>
                <w:snapToGrid w:val="0"/>
                <w:color w:val="auto"/>
                <w:kern w:val="0"/>
                <w:sz w:val="24"/>
                <w:szCs w:val="24"/>
                <w:highlight w:val="none"/>
                <w:lang w:val="en-US" w:eastAsia="zh-CN" w:bidi="ar-SA"/>
              </w:rPr>
            </w:pPr>
            <w:r>
              <w:rPr>
                <w:rFonts w:hint="default" w:ascii="宋体" w:hAnsi="宋体" w:eastAsia="宋体" w:cs="宋体"/>
                <w:snapToGrid w:val="0"/>
                <w:color w:val="auto"/>
                <w:kern w:val="0"/>
                <w:sz w:val="24"/>
                <w:szCs w:val="24"/>
                <w:highlight w:val="none"/>
                <w:lang w:val="en-US" w:eastAsia="zh-CN" w:bidi="ar-SA"/>
              </w:rPr>
              <w:t>1、合同期满提交服务期限内的维保报告。</w:t>
            </w:r>
          </w:p>
          <w:p w14:paraId="7B4E74B6">
            <w:pPr>
              <w:pStyle w:val="13"/>
              <w:numPr>
                <w:ilvl w:val="0"/>
                <w:numId w:val="0"/>
              </w:numPr>
              <w:rPr>
                <w:rFonts w:hint="default" w:ascii="宋体" w:hAnsi="宋体" w:eastAsia="宋体" w:cs="宋体"/>
                <w:snapToGrid w:val="0"/>
                <w:color w:val="auto"/>
                <w:kern w:val="0"/>
                <w:sz w:val="24"/>
                <w:szCs w:val="24"/>
                <w:highlight w:val="none"/>
                <w:lang w:val="en-US" w:eastAsia="zh-CN" w:bidi="ar-SA"/>
              </w:rPr>
            </w:pPr>
            <w:r>
              <w:rPr>
                <w:rFonts w:hint="default" w:ascii="宋体" w:hAnsi="宋体" w:eastAsia="宋体" w:cs="宋体"/>
                <w:snapToGrid w:val="0"/>
                <w:color w:val="auto"/>
                <w:kern w:val="0"/>
                <w:sz w:val="24"/>
                <w:szCs w:val="24"/>
                <w:highlight w:val="none"/>
                <w:lang w:val="en-US" w:eastAsia="zh-CN" w:bidi="ar-SA"/>
              </w:rPr>
              <w:t>2、合同期满前提交消防年度检测报告。</w:t>
            </w:r>
          </w:p>
          <w:p w14:paraId="00BC64F6">
            <w:pPr>
              <w:pStyle w:val="13"/>
              <w:numPr>
                <w:ilvl w:val="0"/>
                <w:numId w:val="0"/>
              </w:numPr>
              <w:rPr>
                <w:rFonts w:hint="default" w:ascii="宋体" w:hAnsi="宋体" w:eastAsia="宋体" w:cs="宋体"/>
                <w:snapToGrid w:val="0"/>
                <w:color w:val="auto"/>
                <w:kern w:val="0"/>
                <w:sz w:val="24"/>
                <w:szCs w:val="24"/>
                <w:highlight w:val="none"/>
                <w:lang w:val="en-US" w:eastAsia="zh-CN" w:bidi="ar-SA"/>
              </w:rPr>
            </w:pPr>
            <w:r>
              <w:rPr>
                <w:rFonts w:hint="default" w:ascii="宋体" w:hAnsi="宋体" w:eastAsia="宋体" w:cs="宋体"/>
                <w:snapToGrid w:val="0"/>
                <w:color w:val="auto"/>
                <w:kern w:val="0"/>
                <w:sz w:val="24"/>
                <w:szCs w:val="24"/>
                <w:highlight w:val="none"/>
                <w:lang w:val="en-US" w:eastAsia="zh-CN" w:bidi="ar-SA"/>
              </w:rPr>
              <w:t>质量验收标准或规范</w:t>
            </w:r>
            <w:r>
              <w:rPr>
                <w:rFonts w:hint="eastAsia" w:ascii="宋体" w:hAnsi="宋体" w:eastAsia="宋体" w:cs="宋体"/>
                <w:snapToGrid w:val="0"/>
                <w:color w:val="auto"/>
                <w:kern w:val="0"/>
                <w:sz w:val="24"/>
                <w:szCs w:val="24"/>
                <w:highlight w:val="none"/>
                <w:lang w:val="en-US" w:eastAsia="zh-CN" w:bidi="ar-SA"/>
              </w:rPr>
              <w:t>:</w:t>
            </w:r>
          </w:p>
          <w:p w14:paraId="63571B9B">
            <w:pPr>
              <w:pStyle w:val="13"/>
              <w:numPr>
                <w:ilvl w:val="0"/>
                <w:numId w:val="0"/>
              </w:numPr>
              <w:rPr>
                <w:rFonts w:hint="default" w:ascii="宋体" w:hAnsi="宋体" w:eastAsia="宋体" w:cs="宋体"/>
                <w:snapToGrid w:val="0"/>
                <w:color w:val="auto"/>
                <w:kern w:val="0"/>
                <w:sz w:val="24"/>
                <w:szCs w:val="24"/>
                <w:highlight w:val="none"/>
                <w:lang w:val="en-US" w:eastAsia="zh-CN" w:bidi="ar-SA"/>
              </w:rPr>
            </w:pPr>
            <w:r>
              <w:rPr>
                <w:rFonts w:hint="default" w:ascii="宋体" w:hAnsi="宋体" w:eastAsia="宋体" w:cs="宋体"/>
                <w:snapToGrid w:val="0"/>
                <w:color w:val="auto"/>
                <w:kern w:val="0"/>
                <w:sz w:val="24"/>
                <w:szCs w:val="24"/>
                <w:highlight w:val="none"/>
                <w:lang w:val="en-US" w:eastAsia="zh-CN" w:bidi="ar-SA"/>
              </w:rPr>
              <w:t>1、甲方按本招标文件及合同约定的标准对乙方服务进行验收。2、维保单位需建立完善的维保管理制度、人员培训机制及应急处置流程。</w:t>
            </w:r>
          </w:p>
          <w:p w14:paraId="323D002C">
            <w:pPr>
              <w:pStyle w:val="13"/>
              <w:numPr>
                <w:ilvl w:val="0"/>
                <w:numId w:val="0"/>
              </w:numPr>
              <w:rPr>
                <w:rFonts w:hint="default" w:ascii="宋体" w:hAnsi="宋体" w:eastAsia="宋体" w:cs="宋体"/>
                <w:snapToGrid w:val="0"/>
                <w:color w:val="auto"/>
                <w:kern w:val="0"/>
                <w:sz w:val="24"/>
                <w:szCs w:val="24"/>
                <w:highlight w:val="none"/>
                <w:lang w:val="en-US" w:eastAsia="zh-CN" w:bidi="ar-SA"/>
              </w:rPr>
            </w:pPr>
            <w:r>
              <w:rPr>
                <w:rFonts w:hint="default" w:ascii="宋体" w:hAnsi="宋体" w:eastAsia="宋体" w:cs="宋体"/>
                <w:snapToGrid w:val="0"/>
                <w:color w:val="auto"/>
                <w:kern w:val="0"/>
                <w:sz w:val="24"/>
                <w:szCs w:val="24"/>
                <w:highlight w:val="none"/>
                <w:lang w:val="en-US" w:eastAsia="zh-CN" w:bidi="ar-SA"/>
              </w:rPr>
              <w:t>3、若出现未按标准提供服务、应急处置不力等违约情况，按合同约定追究责任。</w:t>
            </w:r>
          </w:p>
          <w:p w14:paraId="6A6D4810">
            <w:pPr>
              <w:pStyle w:val="13"/>
              <w:numPr>
                <w:ilvl w:val="0"/>
                <w:numId w:val="0"/>
              </w:numPr>
              <w:rPr>
                <w:rFonts w:hint="eastAsia" w:ascii="宋体" w:hAnsi="宋体" w:eastAsia="仿宋_GB2312" w:cs="宋体"/>
                <w:snapToGrid w:val="0"/>
                <w:color w:val="auto"/>
                <w:kern w:val="0"/>
                <w:sz w:val="24"/>
                <w:szCs w:val="24"/>
                <w:highlight w:val="none"/>
                <w:lang w:val="en-US" w:eastAsia="zh-CN" w:bidi="ar-SA"/>
              </w:rPr>
            </w:pPr>
            <w:r>
              <w:rPr>
                <w:rFonts w:hint="eastAsia" w:ascii="宋体" w:hAnsi="宋体" w:eastAsia="宋体" w:cs="宋体"/>
                <w:snapToGrid w:val="0"/>
                <w:color w:val="auto"/>
                <w:kern w:val="0"/>
                <w:sz w:val="24"/>
                <w:szCs w:val="24"/>
                <w:highlight w:val="none"/>
                <w:lang w:val="en-US" w:eastAsia="zh-CN" w:bidi="ar-SA"/>
              </w:rPr>
              <w:t>4、</w:t>
            </w:r>
            <w:r>
              <w:rPr>
                <w:rFonts w:hint="default" w:ascii="宋体" w:hAnsi="宋体" w:eastAsia="宋体" w:cs="宋体"/>
                <w:snapToGrid w:val="0"/>
                <w:color w:val="auto"/>
                <w:kern w:val="0"/>
                <w:sz w:val="24"/>
                <w:szCs w:val="24"/>
                <w:highlight w:val="none"/>
                <w:lang w:val="en-US" w:eastAsia="zh-CN" w:bidi="ar-SA"/>
              </w:rPr>
              <w:t>具有履行合同所必需的专业技术能力人员</w:t>
            </w:r>
            <w:r>
              <w:rPr>
                <w:rFonts w:hint="eastAsia" w:ascii="宋体" w:hAnsi="宋体" w:eastAsia="宋体" w:cs="宋体"/>
                <w:snapToGrid w:val="0"/>
                <w:color w:val="auto"/>
                <w:kern w:val="0"/>
                <w:sz w:val="24"/>
                <w:szCs w:val="24"/>
                <w:highlight w:val="none"/>
                <w:lang w:val="en-US" w:eastAsia="zh-CN" w:bidi="ar-SA"/>
              </w:rPr>
              <w:t>，</w:t>
            </w:r>
            <w:r>
              <w:rPr>
                <w:rFonts w:hint="default" w:ascii="宋体" w:hAnsi="宋体" w:eastAsia="宋体" w:cs="宋体"/>
                <w:snapToGrid w:val="0"/>
                <w:color w:val="auto"/>
                <w:kern w:val="0"/>
                <w:sz w:val="24"/>
                <w:szCs w:val="24"/>
                <w:highlight w:val="none"/>
                <w:lang w:val="en-US" w:eastAsia="zh-CN" w:bidi="ar-SA"/>
              </w:rPr>
              <w:t>具有履行合同所必需的设施设备</w:t>
            </w:r>
            <w:r>
              <w:rPr>
                <w:rFonts w:hint="eastAsia" w:ascii="宋体" w:hAnsi="宋体" w:eastAsia="宋体" w:cs="宋体"/>
                <w:snapToGrid w:val="0"/>
                <w:color w:val="auto"/>
                <w:kern w:val="0"/>
                <w:sz w:val="24"/>
                <w:szCs w:val="24"/>
                <w:highlight w:val="none"/>
                <w:lang w:val="en-US" w:eastAsia="zh-CN" w:bidi="ar-SA"/>
              </w:rPr>
              <w:t>。</w:t>
            </w:r>
          </w:p>
        </w:tc>
      </w:tr>
      <w:tr w14:paraId="7F0C4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40" w:hRule="atLeast"/>
        </w:trPr>
        <w:tc>
          <w:tcPr>
            <w:tcW w:w="908" w:type="pct"/>
            <w:tcBorders>
              <w:tl2br w:val="nil"/>
              <w:tr2bl w:val="nil"/>
            </w:tcBorders>
            <w:noWrap/>
            <w:vAlign w:val="center"/>
          </w:tcPr>
          <w:p w14:paraId="38FF9AB2">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4091" w:type="pct"/>
            <w:tcBorders>
              <w:tl2br w:val="nil"/>
              <w:tr2bl w:val="nil"/>
            </w:tcBorders>
            <w:noWrap/>
            <w:vAlign w:val="center"/>
          </w:tcPr>
          <w:p w14:paraId="7DA575D7">
            <w:pPr>
              <w:keepNext w:val="0"/>
              <w:keepLines w:val="0"/>
              <w:pageBreakBefore w:val="0"/>
              <w:widowControl w:val="0"/>
              <w:kinsoku/>
              <w:wordWrap/>
              <w:overflowPunct/>
              <w:topLinePunct w:val="0"/>
              <w:autoSpaceDE/>
              <w:autoSpaceDN/>
              <w:bidi w:val="0"/>
              <w:adjustRightInd/>
              <w:snapToGrid/>
              <w:spacing w:line="360" w:lineRule="exact"/>
              <w:textAlignment w:val="auto"/>
              <w:rPr>
                <w:color w:val="auto"/>
                <w:sz w:val="24"/>
                <w:highlight w:val="none"/>
              </w:rPr>
            </w:pPr>
            <w:r>
              <w:rPr>
                <w:rFonts w:hint="eastAsia"/>
                <w:color w:val="auto"/>
                <w:sz w:val="24"/>
                <w:highlight w:val="none"/>
              </w:rPr>
              <w:t>服务</w:t>
            </w:r>
            <w:r>
              <w:rPr>
                <w:rFonts w:hint="eastAsia" w:eastAsia="宋体"/>
                <w:color w:val="auto"/>
                <w:sz w:val="24"/>
                <w:highlight w:val="none"/>
                <w:lang w:eastAsia="zh-CN"/>
              </w:rPr>
              <w:t>期限</w:t>
            </w:r>
            <w:r>
              <w:rPr>
                <w:rFonts w:hint="eastAsia"/>
                <w:color w:val="auto"/>
                <w:sz w:val="24"/>
                <w:highlight w:val="none"/>
                <w:lang w:eastAsia="zh-CN"/>
              </w:rPr>
              <w:t>：</w:t>
            </w:r>
            <w:r>
              <w:rPr>
                <w:rFonts w:hint="eastAsia"/>
                <w:color w:val="auto"/>
                <w:sz w:val="24"/>
                <w:highlight w:val="none"/>
                <w:lang w:val="en-US" w:eastAsia="zh-CN"/>
              </w:rPr>
              <w:t>本项目服务期限为1年，自合同签订之日起计算</w:t>
            </w:r>
            <w:r>
              <w:rPr>
                <w:rFonts w:hint="eastAsia"/>
                <w:color w:val="auto"/>
                <w:sz w:val="24"/>
                <w:highlight w:val="none"/>
                <w:lang w:eastAsia="zh-CN"/>
              </w:rPr>
              <w:t>。</w:t>
            </w:r>
          </w:p>
          <w:p w14:paraId="263D911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color w:val="auto"/>
                <w:sz w:val="24"/>
                <w:highlight w:val="none"/>
              </w:rPr>
            </w:pPr>
            <w:r>
              <w:rPr>
                <w:rFonts w:hint="eastAsia"/>
                <w:color w:val="auto"/>
                <w:sz w:val="24"/>
                <w:highlight w:val="none"/>
              </w:rPr>
              <w:t>服务地点</w:t>
            </w:r>
            <w:r>
              <w:rPr>
                <w:rFonts w:hint="eastAsia"/>
                <w:color w:val="auto"/>
                <w:sz w:val="24"/>
                <w:highlight w:val="none"/>
                <w:lang w:eastAsia="zh-CN"/>
              </w:rPr>
              <w:t>：西安市体育训练中心</w:t>
            </w:r>
          </w:p>
        </w:tc>
      </w:tr>
      <w:tr w14:paraId="4A05F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0" w:hRule="atLeast"/>
        </w:trPr>
        <w:tc>
          <w:tcPr>
            <w:tcW w:w="908" w:type="pct"/>
            <w:tcBorders>
              <w:tl2br w:val="nil"/>
              <w:tr2bl w:val="nil"/>
            </w:tcBorders>
            <w:noWrap/>
            <w:vAlign w:val="center"/>
          </w:tcPr>
          <w:p w14:paraId="55393DBF">
            <w:pPr>
              <w:jc w:val="center"/>
              <w:rPr>
                <w:rFonts w:ascii="宋体" w:hAnsi="宋体" w:cs="宋体"/>
                <w:color w:val="auto"/>
                <w:sz w:val="24"/>
                <w:szCs w:val="24"/>
                <w:highlight w:val="none"/>
              </w:rPr>
            </w:pPr>
            <w:r>
              <w:rPr>
                <w:rFonts w:hint="eastAsia" w:ascii="宋体" w:hAnsi="宋体" w:cs="宋体"/>
                <w:color w:val="auto"/>
                <w:sz w:val="24"/>
                <w:szCs w:val="24"/>
                <w:highlight w:val="none"/>
              </w:rPr>
              <w:t>7.3</w:t>
            </w:r>
          </w:p>
        </w:tc>
        <w:tc>
          <w:tcPr>
            <w:tcW w:w="4091" w:type="pct"/>
            <w:tcBorders>
              <w:tl2br w:val="nil"/>
              <w:tr2bl w:val="nil"/>
            </w:tcBorders>
            <w:noWrap/>
            <w:vAlign w:val="center"/>
          </w:tcPr>
          <w:p w14:paraId="71FCDB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0" w:firstLineChars="0"/>
              <w:jc w:val="left"/>
              <w:textAlignment w:val="auto"/>
              <w:rPr>
                <w:rFonts w:ascii="宋体" w:hAnsi="宋体" w:cs="宋体"/>
                <w:color w:val="auto"/>
                <w:sz w:val="24"/>
                <w:szCs w:val="24"/>
                <w:highlight w:val="none"/>
              </w:rPr>
            </w:pPr>
            <w:r>
              <w:rPr>
                <w:rFonts w:hint="eastAsia" w:ascii="宋体" w:hAnsi="宋体" w:eastAsia="宋体" w:cs="宋体"/>
                <w:b w:val="0"/>
                <w:bCs w:val="0"/>
                <w:color w:val="auto"/>
                <w:kern w:val="2"/>
                <w:sz w:val="24"/>
                <w:szCs w:val="24"/>
                <w:highlight w:val="none"/>
                <w:lang w:val="en-US" w:eastAsia="zh-CN" w:bidi="ar"/>
              </w:rPr>
              <w:t>付款计划：1.按季度据实结算；2.合同签订后，每满三个月后5个工作日内支付该时间段的服务费用。乙方维保工作完后3个工作日内向甲方递交一份工作报告表，甲乙双方签字确认后则视为工作已完成。付款前乙方应向甲方提供合法有效的增值税专用发票。</w:t>
            </w:r>
          </w:p>
        </w:tc>
      </w:tr>
      <w:tr w14:paraId="59E04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trPr>
        <w:tc>
          <w:tcPr>
            <w:tcW w:w="908" w:type="pct"/>
            <w:tcBorders>
              <w:tl2br w:val="nil"/>
              <w:tr2bl w:val="nil"/>
            </w:tcBorders>
            <w:noWrap/>
            <w:vAlign w:val="center"/>
          </w:tcPr>
          <w:p w14:paraId="19FFC200">
            <w:pPr>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p>
        </w:tc>
        <w:tc>
          <w:tcPr>
            <w:tcW w:w="4091" w:type="pct"/>
            <w:tcBorders>
              <w:tl2br w:val="nil"/>
              <w:tr2bl w:val="nil"/>
            </w:tcBorders>
            <w:noWrap/>
            <w:vAlign w:val="center"/>
          </w:tcPr>
          <w:p w14:paraId="3963B0A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违约责任：</w:t>
            </w:r>
          </w:p>
          <w:p w14:paraId="625A213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1、卖方提供的服务不合格：卖方所提供的服务不合格的，应及时更正。更正不及时的按逾期交付服务处理，因服务质量问题买方不同意接收的或特殊情况买方不同意接收的，卖方应向买方支付按本台同合计金额一定比例的违约金（如10%）并赔偿买方经济损失。</w:t>
            </w:r>
          </w:p>
          <w:p w14:paraId="3BC7C76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2、卖方服务侵犯第三方权益：卖方提供的服务如侵犯了第三方合法权益而引发的任何纠纷或诉讼，均由卖方负责交涉并承担全部责任。</w:t>
            </w:r>
          </w:p>
          <w:p w14:paraId="3F255B4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3、买方无故延期接收：买方无故延期接收的，每天向对方偿付违约货款额一定比例的违约金（如2%）但违约金累计不得超过合同合计金额的某一比例（如5%）。超过一定天数（如15天）对方有权解除合同。违约方承担因此给对方造成的经济损失。买方延期付货款的，每天向卖方偿付延期货款额的滞纳金（如2%），但滞纳金累计不得超过合同额的某一比例（如5%）。</w:t>
            </w:r>
          </w:p>
          <w:p w14:paraId="5B06011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4、卖方未提供规定售后服务：卖方未按本合同和投标文件中规定的服务承诺提供售后服务的，卖方应按本合同合计金额一定比例（如5%）向采购人支付违约金。</w:t>
            </w:r>
          </w:p>
          <w:p w14:paraId="7BDEC60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5、卖方服务在履约质量保证期内造成损失：卖方提供的服务在履约质量保证期内，因服务水准及基它原因造成的损失，由卖方负责。</w:t>
            </w:r>
          </w:p>
        </w:tc>
      </w:tr>
      <w:tr w14:paraId="6A215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34" w:hRule="atLeast"/>
        </w:trPr>
        <w:tc>
          <w:tcPr>
            <w:tcW w:w="908" w:type="pct"/>
            <w:tcBorders>
              <w:tl2br w:val="nil"/>
              <w:tr2bl w:val="nil"/>
            </w:tcBorders>
            <w:noWrap/>
            <w:vAlign w:val="center"/>
          </w:tcPr>
          <w:p w14:paraId="7FC41824">
            <w:pPr>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12</w:t>
            </w:r>
          </w:p>
        </w:tc>
        <w:tc>
          <w:tcPr>
            <w:tcW w:w="4091" w:type="pct"/>
            <w:tcBorders>
              <w:tl2br w:val="nil"/>
              <w:tr2bl w:val="nil"/>
            </w:tcBorders>
            <w:noWrap/>
            <w:vAlign w:val="center"/>
          </w:tcPr>
          <w:p w14:paraId="419D9B3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rPr>
              <w:t>争议的解决</w:t>
            </w:r>
            <w:r>
              <w:rPr>
                <w:rFonts w:hint="eastAsia" w:ascii="宋体" w:hAnsi="宋体" w:cs="宋体"/>
                <w:b/>
                <w:bCs/>
                <w:color w:val="auto"/>
                <w:sz w:val="24"/>
                <w:szCs w:val="24"/>
                <w:highlight w:val="none"/>
                <w:lang w:eastAsia="zh-CN"/>
              </w:rPr>
              <w:t>：</w:t>
            </w:r>
            <w:r>
              <w:rPr>
                <w:rFonts w:hint="eastAsia" w:ascii="宋体" w:hAnsi="宋体" w:cs="宋体"/>
                <w:color w:val="auto"/>
                <w:sz w:val="24"/>
                <w:szCs w:val="24"/>
                <w:highlight w:val="none"/>
                <w:lang w:eastAsia="zh-CN"/>
              </w:rPr>
              <w:t>因服务方案问题发生争议的，应聘请国家认可的相关部门进行鉴定。服务符合标准的，鉴定费由买方承担；服务不符合标准的，鉴定费由卖方承担。因履行本合同引起的或与本合同有关的争议，甲乙双方应首先通过友好协商解决，如果协商不能解决，可向仲裁委员会申请仲裁或向人民法院提起诉讼。</w:t>
            </w:r>
          </w:p>
        </w:tc>
      </w:tr>
    </w:tbl>
    <w:p w14:paraId="2D93B89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color w:val="auto"/>
          <w:szCs w:val="21"/>
          <w:highlight w:val="none"/>
        </w:rPr>
      </w:pPr>
    </w:p>
    <w:p w14:paraId="7C0B1B75">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Style w:val="17"/>
          <w:rFonts w:hint="eastAsia" w:ascii="宋体" w:hAnsi="宋体" w:cs="宋体"/>
          <w:b/>
          <w:bCs/>
          <w:color w:val="auto"/>
          <w:kern w:val="0"/>
          <w:sz w:val="36"/>
          <w:szCs w:val="36"/>
          <w:highlight w:val="none"/>
        </w:rPr>
      </w:pPr>
      <w:r>
        <w:rPr>
          <w:color w:val="auto"/>
          <w:szCs w:val="21"/>
          <w:highlight w:val="none"/>
        </w:rPr>
        <w:br w:type="page"/>
      </w:r>
      <w:bookmarkStart w:id="7" w:name="_Toc11119"/>
      <w:bookmarkStart w:id="8" w:name="_Toc6324"/>
      <w:bookmarkStart w:id="9" w:name="_Toc13293"/>
      <w:r>
        <w:rPr>
          <w:rStyle w:val="17"/>
          <w:rFonts w:hint="eastAsia" w:ascii="宋体" w:hAnsi="宋体" w:cs="宋体"/>
          <w:b/>
          <w:bCs/>
          <w:color w:val="auto"/>
          <w:kern w:val="0"/>
          <w:sz w:val="32"/>
          <w:szCs w:val="32"/>
          <w:highlight w:val="none"/>
        </w:rPr>
        <w:t>合同格式</w:t>
      </w:r>
      <w:bookmarkEnd w:id="7"/>
    </w:p>
    <w:bookmarkEnd w:id="8"/>
    <w:bookmarkEnd w:id="9"/>
    <w:p w14:paraId="61252919">
      <w:pPr>
        <w:rPr>
          <w:rFonts w:hint="eastAsia"/>
          <w:color w:val="auto"/>
          <w:sz w:val="28"/>
          <w:szCs w:val="28"/>
          <w:highlight w:val="none"/>
        </w:rPr>
      </w:pPr>
      <w:r>
        <w:rPr>
          <w:rFonts w:hint="eastAsia"/>
          <w:color w:val="auto"/>
          <w:sz w:val="28"/>
          <w:szCs w:val="28"/>
          <w:highlight w:val="none"/>
        </w:rPr>
        <w:br w:type="page"/>
      </w:r>
      <w:r>
        <w:rPr>
          <w:rFonts w:hint="eastAsia"/>
          <w:color w:val="auto"/>
          <w:sz w:val="28"/>
          <w:szCs w:val="28"/>
          <w:highlight w:val="none"/>
        </w:rPr>
        <w:t>1、合同封面格式</w:t>
      </w:r>
    </w:p>
    <w:tbl>
      <w:tblPr>
        <w:tblStyle w:val="10"/>
        <w:tblW w:w="8295" w:type="dxa"/>
        <w:tblInd w:w="0" w:type="dxa"/>
        <w:tblLayout w:type="fixed"/>
        <w:tblCellMar>
          <w:top w:w="0" w:type="dxa"/>
          <w:left w:w="0" w:type="dxa"/>
          <w:bottom w:w="0" w:type="dxa"/>
          <w:right w:w="0" w:type="dxa"/>
        </w:tblCellMar>
      </w:tblPr>
      <w:tblGrid>
        <w:gridCol w:w="2548"/>
        <w:gridCol w:w="5747"/>
      </w:tblGrid>
      <w:tr w14:paraId="3178AA0C">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3801429D">
            <w:pPr>
              <w:ind w:firstLine="5946" w:firstLineChars="1851"/>
              <w:rPr>
                <w:rFonts w:ascii="宋体" w:hAnsi="宋体" w:cs="宋体"/>
                <w:b/>
                <w:bCs/>
                <w:color w:val="auto"/>
                <w:sz w:val="32"/>
                <w:szCs w:val="32"/>
                <w:highlight w:val="none"/>
              </w:rPr>
            </w:pPr>
            <w:r>
              <w:rPr>
                <w:rFonts w:hint="eastAsia"/>
                <w:b/>
                <w:bCs/>
                <w:color w:val="auto"/>
                <w:sz w:val="32"/>
                <w:szCs w:val="32"/>
                <w:highlight w:val="none"/>
              </w:rPr>
              <w:t>项目</w:t>
            </w:r>
          </w:p>
        </w:tc>
      </w:tr>
      <w:tr w14:paraId="60A0B41C">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4C0C91D9">
            <w:pPr>
              <w:jc w:val="center"/>
              <w:rPr>
                <w:rFonts w:ascii="宋体" w:hAnsi="宋体" w:cs="宋体"/>
                <w:b/>
                <w:bCs/>
                <w:color w:val="auto"/>
                <w:sz w:val="32"/>
                <w:szCs w:val="32"/>
                <w:highlight w:val="none"/>
              </w:rPr>
            </w:pPr>
            <w:r>
              <w:rPr>
                <w:rFonts w:hint="eastAsia"/>
                <w:b/>
                <w:bCs/>
                <w:color w:val="auto"/>
                <w:sz w:val="32"/>
                <w:szCs w:val="32"/>
                <w:highlight w:val="none"/>
                <w:lang w:eastAsia="zh-CN"/>
              </w:rPr>
              <w:t>服务</w:t>
            </w:r>
            <w:r>
              <w:rPr>
                <w:rFonts w:hint="eastAsia"/>
                <w:b/>
                <w:bCs/>
                <w:color w:val="auto"/>
                <w:sz w:val="32"/>
                <w:szCs w:val="32"/>
                <w:highlight w:val="none"/>
              </w:rPr>
              <w:t>合同</w:t>
            </w:r>
          </w:p>
        </w:tc>
      </w:tr>
      <w:tr w14:paraId="67533C4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F6E66D6">
            <w:pPr>
              <w:rPr>
                <w:rFonts w:ascii="宋体" w:hAnsi="宋体" w:cs="宋体"/>
                <w:color w:val="auto"/>
                <w:sz w:val="24"/>
                <w:szCs w:val="24"/>
                <w:highlight w:val="none"/>
              </w:rPr>
            </w:pPr>
            <w:r>
              <w:rPr>
                <w:rFonts w:hint="eastAsia" w:ascii="宋体" w:hAnsi="宋体"/>
                <w:color w:val="auto"/>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29AACF17">
            <w:pPr>
              <w:rPr>
                <w:rFonts w:ascii="宋体" w:hAnsi="宋体" w:cs="宋体"/>
                <w:color w:val="auto"/>
                <w:sz w:val="24"/>
                <w:szCs w:val="24"/>
                <w:highlight w:val="none"/>
              </w:rPr>
            </w:pPr>
          </w:p>
        </w:tc>
      </w:tr>
      <w:tr w14:paraId="382A115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7F96B85">
            <w:pPr>
              <w:rPr>
                <w:rFonts w:ascii="宋体" w:hAnsi="宋体" w:cs="宋体"/>
                <w:color w:val="auto"/>
                <w:sz w:val="24"/>
                <w:szCs w:val="24"/>
                <w:highlight w:val="none"/>
              </w:rPr>
            </w:pPr>
            <w:r>
              <w:rPr>
                <w:rFonts w:hint="eastAsia" w:ascii="宋体" w:hAnsi="宋体"/>
                <w:color w:val="auto"/>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4CCC34F2">
            <w:pPr>
              <w:rPr>
                <w:rFonts w:ascii="宋体" w:hAnsi="宋体" w:cs="宋体"/>
                <w:color w:val="auto"/>
                <w:sz w:val="24"/>
                <w:szCs w:val="24"/>
                <w:highlight w:val="none"/>
              </w:rPr>
            </w:pPr>
            <w:r>
              <w:rPr>
                <w:rFonts w:hint="eastAsia" w:ascii="宋体" w:hAnsi="宋体"/>
                <w:color w:val="auto"/>
                <w:sz w:val="24"/>
                <w:szCs w:val="24"/>
                <w:highlight w:val="none"/>
              </w:rPr>
              <w:t>202</w:t>
            </w:r>
            <w:r>
              <w:rPr>
                <w:rFonts w:hint="eastAsia" w:ascii="宋体" w:hAnsi="宋体" w:eastAsia="宋体"/>
                <w:color w:val="auto"/>
                <w:sz w:val="24"/>
                <w:szCs w:val="24"/>
                <w:highlight w:val="none"/>
                <w:lang w:val="en-US" w:eastAsia="zh-CN"/>
              </w:rPr>
              <w:t>6</w:t>
            </w:r>
            <w:r>
              <w:rPr>
                <w:rFonts w:hint="eastAsia" w:ascii="宋体" w:hAnsi="宋体"/>
                <w:color w:val="auto"/>
                <w:sz w:val="24"/>
                <w:szCs w:val="24"/>
                <w:highlight w:val="none"/>
              </w:rPr>
              <w:t>年   月   日</w:t>
            </w:r>
          </w:p>
        </w:tc>
      </w:tr>
      <w:tr w14:paraId="5D2325C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57C50AE">
            <w:pPr>
              <w:rPr>
                <w:rFonts w:ascii="宋体" w:hAnsi="宋体" w:cs="宋体"/>
                <w:color w:val="auto"/>
                <w:sz w:val="24"/>
                <w:szCs w:val="24"/>
                <w:highlight w:val="none"/>
              </w:rPr>
            </w:pPr>
            <w:r>
              <w:rPr>
                <w:rFonts w:hint="eastAsia" w:ascii="宋体" w:hAnsi="宋体"/>
                <w:color w:val="auto"/>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3CE868F5">
            <w:pPr>
              <w:rPr>
                <w:rFonts w:ascii="宋体" w:hAnsi="宋体" w:cs="宋体"/>
                <w:color w:val="auto"/>
                <w:sz w:val="24"/>
                <w:szCs w:val="24"/>
                <w:highlight w:val="none"/>
              </w:rPr>
            </w:pPr>
          </w:p>
        </w:tc>
      </w:tr>
      <w:tr w14:paraId="6F3560F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E927FD5">
            <w:pPr>
              <w:rPr>
                <w:rFonts w:ascii="宋体" w:hAnsi="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58BC43EF">
            <w:pPr>
              <w:rPr>
                <w:rFonts w:ascii="宋体" w:hAnsi="宋体" w:cs="宋体"/>
                <w:color w:val="auto"/>
                <w:sz w:val="24"/>
                <w:szCs w:val="24"/>
                <w:highlight w:val="none"/>
              </w:rPr>
            </w:pPr>
          </w:p>
        </w:tc>
      </w:tr>
      <w:tr w14:paraId="2D3FB0E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E16E9D8">
            <w:pPr>
              <w:rPr>
                <w:rFonts w:ascii="宋体" w:hAnsi="宋体" w:cs="宋体"/>
                <w:color w:val="auto"/>
                <w:sz w:val="24"/>
                <w:szCs w:val="24"/>
                <w:highlight w:val="none"/>
              </w:rPr>
            </w:pPr>
            <w:r>
              <w:rPr>
                <w:rFonts w:hint="eastAsia" w:ascii="宋体" w:hAnsi="宋体"/>
                <w:color w:val="auto"/>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38BA4135">
            <w:pPr>
              <w:rPr>
                <w:rFonts w:ascii="宋体" w:hAnsi="宋体" w:cs="宋体"/>
                <w:color w:val="auto"/>
                <w:sz w:val="24"/>
                <w:szCs w:val="24"/>
                <w:highlight w:val="none"/>
              </w:rPr>
            </w:pPr>
          </w:p>
        </w:tc>
      </w:tr>
      <w:tr w14:paraId="5EA855F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9C9581C">
            <w:pPr>
              <w:rPr>
                <w:rFonts w:ascii="宋体" w:hAnsi="宋体" w:cs="宋体"/>
                <w:color w:val="auto"/>
                <w:sz w:val="24"/>
                <w:szCs w:val="24"/>
                <w:highlight w:val="none"/>
              </w:rPr>
            </w:pPr>
            <w:r>
              <w:rPr>
                <w:rFonts w:hint="eastAsia" w:ascii="宋体" w:hAnsi="宋体"/>
                <w:color w:val="auto"/>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2598C138">
            <w:pPr>
              <w:rPr>
                <w:rFonts w:ascii="宋体" w:hAnsi="宋体" w:cs="宋体"/>
                <w:color w:val="auto"/>
                <w:sz w:val="24"/>
                <w:szCs w:val="24"/>
                <w:highlight w:val="none"/>
              </w:rPr>
            </w:pPr>
          </w:p>
        </w:tc>
      </w:tr>
      <w:tr w14:paraId="24E9E65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D7630B3">
            <w:pPr>
              <w:rPr>
                <w:rFonts w:ascii="宋体" w:hAnsi="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78C69903">
            <w:pPr>
              <w:rPr>
                <w:rFonts w:ascii="宋体" w:hAnsi="宋体" w:cs="宋体"/>
                <w:color w:val="auto"/>
                <w:sz w:val="24"/>
                <w:szCs w:val="24"/>
                <w:highlight w:val="none"/>
              </w:rPr>
            </w:pPr>
          </w:p>
        </w:tc>
      </w:tr>
      <w:tr w14:paraId="7B8B591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6D04A25">
            <w:pPr>
              <w:rPr>
                <w:rFonts w:ascii="宋体" w:hAnsi="宋体" w:cs="宋体"/>
                <w:color w:val="auto"/>
                <w:sz w:val="24"/>
                <w:szCs w:val="24"/>
                <w:highlight w:val="none"/>
              </w:rPr>
            </w:pPr>
            <w:r>
              <w:rPr>
                <w:rFonts w:hint="eastAsia" w:ascii="宋体" w:hAnsi="宋体"/>
                <w:color w:val="auto"/>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02D774EA">
            <w:pPr>
              <w:rPr>
                <w:rFonts w:ascii="宋体" w:hAnsi="宋体"/>
                <w:color w:val="auto"/>
                <w:sz w:val="24"/>
                <w:szCs w:val="24"/>
                <w:highlight w:val="none"/>
              </w:rPr>
            </w:pPr>
          </w:p>
        </w:tc>
      </w:tr>
      <w:tr w14:paraId="6BD04EBF">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692DFCD">
            <w:pPr>
              <w:rPr>
                <w:rFonts w:ascii="宋体" w:hAnsi="宋体" w:cs="宋体"/>
                <w:color w:val="auto"/>
                <w:sz w:val="24"/>
                <w:szCs w:val="24"/>
                <w:highlight w:val="none"/>
              </w:rPr>
            </w:pPr>
            <w:r>
              <w:rPr>
                <w:rFonts w:hint="eastAsia" w:ascii="宋体" w:hAnsi="宋体"/>
                <w:color w:val="auto"/>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31727120">
            <w:pPr>
              <w:rPr>
                <w:rFonts w:ascii="宋体" w:hAnsi="宋体" w:cs="宋体"/>
                <w:color w:val="auto"/>
                <w:sz w:val="24"/>
                <w:szCs w:val="24"/>
                <w:highlight w:val="none"/>
              </w:rPr>
            </w:pPr>
          </w:p>
        </w:tc>
      </w:tr>
      <w:tr w14:paraId="589AAF9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EAA4F2E">
            <w:pPr>
              <w:rPr>
                <w:rFonts w:ascii="宋体" w:hAnsi="宋体" w:cs="宋体"/>
                <w:color w:val="auto"/>
                <w:sz w:val="24"/>
                <w:szCs w:val="24"/>
                <w:highlight w:val="none"/>
              </w:rPr>
            </w:pPr>
            <w:r>
              <w:rPr>
                <w:rFonts w:hint="eastAsia" w:ascii="宋体" w:hAnsi="宋体"/>
                <w:color w:val="auto"/>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015FE517">
            <w:pPr>
              <w:rPr>
                <w:rFonts w:ascii="宋体" w:hAnsi="宋体" w:cs="宋体"/>
                <w:color w:val="auto"/>
                <w:sz w:val="24"/>
                <w:szCs w:val="24"/>
                <w:highlight w:val="none"/>
              </w:rPr>
            </w:pPr>
          </w:p>
        </w:tc>
      </w:tr>
      <w:tr w14:paraId="6027CEA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3E9E7E9">
            <w:pPr>
              <w:rPr>
                <w:rFonts w:ascii="宋体" w:hAnsi="宋体" w:cs="宋体"/>
                <w:color w:val="auto"/>
                <w:sz w:val="24"/>
                <w:szCs w:val="24"/>
                <w:highlight w:val="none"/>
              </w:rPr>
            </w:pPr>
            <w:r>
              <w:rPr>
                <w:rFonts w:hint="eastAsia" w:ascii="宋体" w:hAnsi="宋体"/>
                <w:color w:val="auto"/>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23E2C7EC">
            <w:pPr>
              <w:rPr>
                <w:rFonts w:ascii="宋体" w:hAnsi="宋体" w:cs="宋体"/>
                <w:color w:val="auto"/>
                <w:sz w:val="24"/>
                <w:szCs w:val="24"/>
                <w:highlight w:val="none"/>
              </w:rPr>
            </w:pPr>
          </w:p>
        </w:tc>
      </w:tr>
      <w:tr w14:paraId="6402E24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0734546">
            <w:pPr>
              <w:rPr>
                <w:rFonts w:ascii="宋体" w:hAnsi="宋体" w:cs="宋体"/>
                <w:color w:val="auto"/>
                <w:sz w:val="24"/>
                <w:szCs w:val="24"/>
                <w:highlight w:val="none"/>
              </w:rPr>
            </w:pPr>
            <w:r>
              <w:rPr>
                <w:rFonts w:hint="eastAsia" w:ascii="宋体" w:hAnsi="宋体"/>
                <w:color w:val="auto"/>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7B1A6964">
            <w:pPr>
              <w:rPr>
                <w:rFonts w:ascii="宋体" w:hAnsi="宋体" w:cs="宋体"/>
                <w:color w:val="auto"/>
                <w:sz w:val="24"/>
                <w:szCs w:val="24"/>
                <w:highlight w:val="none"/>
              </w:rPr>
            </w:pPr>
          </w:p>
        </w:tc>
      </w:tr>
      <w:tr w14:paraId="5A42891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D7B56E0">
            <w:pPr>
              <w:rPr>
                <w:rFonts w:ascii="宋体" w:hAnsi="宋体" w:cs="宋体"/>
                <w:color w:val="auto"/>
                <w:sz w:val="24"/>
                <w:szCs w:val="24"/>
                <w:highlight w:val="none"/>
              </w:rPr>
            </w:pPr>
            <w:r>
              <w:rPr>
                <w:rFonts w:hint="eastAsia" w:ascii="宋体" w:hAnsi="宋体"/>
                <w:color w:val="auto"/>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31BFACD9">
            <w:pPr>
              <w:rPr>
                <w:rFonts w:ascii="宋体" w:hAnsi="宋体"/>
                <w:color w:val="auto"/>
                <w:sz w:val="24"/>
                <w:szCs w:val="24"/>
                <w:highlight w:val="none"/>
              </w:rPr>
            </w:pPr>
          </w:p>
        </w:tc>
      </w:tr>
      <w:tr w14:paraId="595A63E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77B8AE1">
            <w:pPr>
              <w:rPr>
                <w:rFonts w:ascii="宋体" w:hAnsi="宋体" w:cs="宋体"/>
                <w:color w:val="auto"/>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3AF1A505">
            <w:pPr>
              <w:rPr>
                <w:rFonts w:ascii="宋体" w:hAnsi="宋体" w:cs="宋体"/>
                <w:color w:val="auto"/>
                <w:sz w:val="24"/>
                <w:szCs w:val="24"/>
                <w:highlight w:val="none"/>
              </w:rPr>
            </w:pPr>
          </w:p>
        </w:tc>
      </w:tr>
      <w:tr w14:paraId="2E86D90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6DB5DF8">
            <w:pPr>
              <w:rPr>
                <w:rFonts w:ascii="宋体" w:hAnsi="宋体" w:cs="宋体"/>
                <w:color w:val="auto"/>
                <w:sz w:val="24"/>
                <w:szCs w:val="24"/>
                <w:highlight w:val="none"/>
              </w:rPr>
            </w:pPr>
            <w:r>
              <w:rPr>
                <w:rFonts w:hint="eastAsia" w:ascii="宋体" w:hAnsi="宋体"/>
                <w:color w:val="auto"/>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7B95E77E">
            <w:pPr>
              <w:rPr>
                <w:rFonts w:ascii="宋体" w:hAnsi="宋体" w:cs="宋体"/>
                <w:color w:val="auto"/>
                <w:sz w:val="24"/>
                <w:szCs w:val="24"/>
                <w:highlight w:val="none"/>
              </w:rPr>
            </w:pPr>
          </w:p>
        </w:tc>
      </w:tr>
      <w:tr w14:paraId="605F063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0FF6727">
            <w:pPr>
              <w:rPr>
                <w:rFonts w:ascii="宋体" w:hAnsi="宋体" w:cs="宋体"/>
                <w:color w:val="auto"/>
                <w:sz w:val="24"/>
                <w:szCs w:val="24"/>
                <w:highlight w:val="none"/>
              </w:rPr>
            </w:pPr>
            <w:r>
              <w:rPr>
                <w:rFonts w:hint="eastAsia" w:ascii="宋体" w:hAnsi="宋体"/>
                <w:color w:val="auto"/>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4CCBDC47">
            <w:pPr>
              <w:rPr>
                <w:rFonts w:ascii="宋体" w:hAnsi="宋体" w:cs="宋体"/>
                <w:color w:val="auto"/>
                <w:sz w:val="24"/>
                <w:szCs w:val="24"/>
                <w:highlight w:val="none"/>
              </w:rPr>
            </w:pPr>
          </w:p>
        </w:tc>
      </w:tr>
      <w:tr w14:paraId="70D2693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A06E94F">
            <w:pPr>
              <w:rPr>
                <w:rFonts w:ascii="宋体" w:hAnsi="宋体" w:cs="宋体"/>
                <w:color w:val="auto"/>
                <w:sz w:val="24"/>
                <w:szCs w:val="24"/>
                <w:highlight w:val="none"/>
              </w:rPr>
            </w:pPr>
            <w:r>
              <w:rPr>
                <w:rFonts w:hint="eastAsia" w:ascii="宋体" w:hAnsi="宋体"/>
                <w:color w:val="auto"/>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03E248FD">
            <w:pPr>
              <w:rPr>
                <w:rFonts w:ascii="宋体" w:hAnsi="宋体"/>
                <w:color w:val="auto"/>
                <w:sz w:val="24"/>
                <w:szCs w:val="24"/>
                <w:highlight w:val="none"/>
              </w:rPr>
            </w:pPr>
          </w:p>
        </w:tc>
      </w:tr>
      <w:tr w14:paraId="5D7B913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2149FF8">
            <w:pPr>
              <w:rPr>
                <w:rFonts w:ascii="宋体" w:hAnsi="宋体" w:cs="宋体"/>
                <w:color w:val="auto"/>
                <w:sz w:val="24"/>
                <w:szCs w:val="24"/>
                <w:highlight w:val="none"/>
              </w:rPr>
            </w:pPr>
            <w:r>
              <w:rPr>
                <w:rFonts w:hint="eastAsia" w:ascii="宋体" w:hAnsi="宋体"/>
                <w:color w:val="auto"/>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38D66F12">
            <w:pPr>
              <w:rPr>
                <w:rFonts w:ascii="宋体" w:hAnsi="宋体"/>
                <w:color w:val="auto"/>
                <w:sz w:val="24"/>
                <w:szCs w:val="24"/>
                <w:highlight w:val="none"/>
              </w:rPr>
            </w:pPr>
          </w:p>
        </w:tc>
      </w:tr>
      <w:tr w14:paraId="3E3E63A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2897CF3">
            <w:pPr>
              <w:rPr>
                <w:rFonts w:ascii="宋体" w:hAnsi="宋体" w:cs="宋体"/>
                <w:color w:val="auto"/>
                <w:sz w:val="24"/>
                <w:szCs w:val="24"/>
                <w:highlight w:val="none"/>
              </w:rPr>
            </w:pPr>
            <w:r>
              <w:rPr>
                <w:rFonts w:hint="eastAsia" w:ascii="宋体" w:hAnsi="宋体"/>
                <w:color w:val="auto"/>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55680353">
            <w:pPr>
              <w:rPr>
                <w:rFonts w:ascii="宋体" w:hAnsi="宋体"/>
                <w:color w:val="auto"/>
                <w:sz w:val="24"/>
                <w:szCs w:val="24"/>
                <w:highlight w:val="none"/>
              </w:rPr>
            </w:pPr>
          </w:p>
        </w:tc>
      </w:tr>
      <w:tr w14:paraId="065B2BB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6D3EC14">
            <w:pPr>
              <w:rPr>
                <w:rFonts w:ascii="宋体" w:hAnsi="宋体" w:cs="宋体"/>
                <w:color w:val="auto"/>
                <w:sz w:val="24"/>
                <w:szCs w:val="24"/>
                <w:highlight w:val="none"/>
              </w:rPr>
            </w:pPr>
            <w:r>
              <w:rPr>
                <w:rFonts w:hint="eastAsia" w:ascii="宋体" w:hAnsi="宋体"/>
                <w:color w:val="auto"/>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32E54EC7">
            <w:pPr>
              <w:rPr>
                <w:rFonts w:ascii="宋体" w:hAnsi="宋体" w:cs="宋体"/>
                <w:color w:val="auto"/>
                <w:sz w:val="24"/>
                <w:szCs w:val="24"/>
                <w:highlight w:val="none"/>
              </w:rPr>
            </w:pPr>
          </w:p>
        </w:tc>
      </w:tr>
      <w:tr w14:paraId="565AB869">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96B516A">
            <w:pPr>
              <w:rPr>
                <w:rFonts w:ascii="宋体" w:hAnsi="宋体" w:cs="宋体"/>
                <w:color w:val="auto"/>
                <w:sz w:val="24"/>
                <w:szCs w:val="24"/>
                <w:highlight w:val="none"/>
              </w:rPr>
            </w:pPr>
            <w:r>
              <w:rPr>
                <w:rFonts w:hint="eastAsia" w:ascii="宋体" w:hAnsi="宋体"/>
                <w:color w:val="auto"/>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02472189">
            <w:pPr>
              <w:rPr>
                <w:rFonts w:ascii="宋体" w:hAnsi="宋体" w:cs="宋体"/>
                <w:color w:val="auto"/>
                <w:sz w:val="24"/>
                <w:szCs w:val="24"/>
                <w:highlight w:val="none"/>
              </w:rPr>
            </w:pPr>
          </w:p>
        </w:tc>
      </w:tr>
      <w:tr w14:paraId="3DFA2E0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89EE009">
            <w:pPr>
              <w:rPr>
                <w:rFonts w:ascii="宋体" w:hAnsi="宋体" w:cs="宋体"/>
                <w:color w:val="auto"/>
                <w:sz w:val="24"/>
                <w:szCs w:val="24"/>
                <w:highlight w:val="none"/>
              </w:rPr>
            </w:pPr>
            <w:r>
              <w:rPr>
                <w:rFonts w:hint="eastAsia" w:ascii="宋体" w:hAnsi="宋体"/>
                <w:color w:val="auto"/>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6D45DDDF">
            <w:pPr>
              <w:rPr>
                <w:rFonts w:ascii="宋体" w:hAnsi="宋体"/>
                <w:color w:val="auto"/>
                <w:sz w:val="24"/>
                <w:szCs w:val="24"/>
                <w:highlight w:val="none"/>
              </w:rPr>
            </w:pPr>
          </w:p>
        </w:tc>
      </w:tr>
      <w:tr w14:paraId="018BD60B">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noWrap w:val="0"/>
            <w:tcMar>
              <w:top w:w="15" w:type="dxa"/>
              <w:left w:w="15" w:type="dxa"/>
              <w:bottom w:w="0" w:type="dxa"/>
              <w:right w:w="15" w:type="dxa"/>
            </w:tcMar>
            <w:vAlign w:val="bottom"/>
          </w:tcPr>
          <w:p w14:paraId="552A2A36">
            <w:pPr>
              <w:ind w:firstLine="480" w:firstLineChars="200"/>
              <w:jc w:val="left"/>
              <w:rPr>
                <w:rFonts w:ascii="宋体" w:hAnsi="宋体" w:cs="宋体"/>
                <w:color w:val="auto"/>
                <w:sz w:val="24"/>
                <w:szCs w:val="24"/>
                <w:highlight w:val="none"/>
              </w:rPr>
            </w:pPr>
            <w:r>
              <w:rPr>
                <w:rFonts w:hint="eastAsia"/>
                <w:color w:val="auto"/>
                <w:sz w:val="24"/>
                <w:szCs w:val="24"/>
                <w:highlight w:val="none"/>
              </w:rPr>
              <w:t>本合同依据</w:t>
            </w:r>
            <w:r>
              <w:rPr>
                <w:rFonts w:hint="eastAsia" w:eastAsia="宋体"/>
                <w:color w:val="auto"/>
                <w:sz w:val="24"/>
                <w:szCs w:val="24"/>
                <w:highlight w:val="none"/>
                <w:lang w:eastAsia="zh-CN"/>
              </w:rPr>
              <w:t>陕西慧科工程管理咨询有限公司</w:t>
            </w:r>
            <w:r>
              <w:rPr>
                <w:rFonts w:hint="eastAsia"/>
                <w:color w:val="auto"/>
                <w:sz w:val="24"/>
                <w:szCs w:val="24"/>
                <w:highlight w:val="none"/>
              </w:rPr>
              <w:t>代理的政府采购项目（项目名称）</w:t>
            </w:r>
            <w:r>
              <w:rPr>
                <w:rFonts w:hint="eastAsia" w:eastAsia="宋体"/>
                <w:color w:val="auto"/>
                <w:sz w:val="24"/>
                <w:szCs w:val="24"/>
                <w:highlight w:val="none"/>
                <w:lang w:eastAsia="zh-CN"/>
              </w:rPr>
              <w:t>公开招标</w:t>
            </w:r>
            <w:r>
              <w:rPr>
                <w:rFonts w:hint="eastAsia"/>
                <w:color w:val="auto"/>
                <w:sz w:val="24"/>
                <w:szCs w:val="24"/>
                <w:highlight w:val="none"/>
              </w:rPr>
              <w:t>（项目编号            ）的结果而签订。</w:t>
            </w:r>
          </w:p>
        </w:tc>
      </w:tr>
    </w:tbl>
    <w:p w14:paraId="47D4A48A">
      <w:pPr>
        <w:spacing w:line="360" w:lineRule="auto"/>
        <w:jc w:val="center"/>
        <w:rPr>
          <w:rFonts w:ascii="宋体" w:hAnsi="宋体"/>
          <w:b/>
          <w:color w:val="auto"/>
          <w:sz w:val="36"/>
          <w:szCs w:val="36"/>
          <w:highlight w:val="none"/>
        </w:rPr>
      </w:pPr>
      <w:r>
        <w:rPr>
          <w:rFonts w:ascii="宋体" w:hAnsi="宋体"/>
          <w:b/>
          <w:color w:val="auto"/>
          <w:sz w:val="36"/>
          <w:szCs w:val="36"/>
          <w:highlight w:val="none"/>
        </w:rPr>
        <w:t xml:space="preserve"> </w:t>
      </w:r>
    </w:p>
    <w:p w14:paraId="6C15F10A">
      <w:pPr>
        <w:spacing w:line="360" w:lineRule="auto"/>
        <w:rPr>
          <w:rFonts w:hint="eastAsia" w:ascii="宋体" w:hAnsi="宋体"/>
          <w:color w:val="auto"/>
          <w:sz w:val="30"/>
          <w:szCs w:val="30"/>
          <w:highlight w:val="none"/>
        </w:rPr>
      </w:pPr>
      <w:r>
        <w:rPr>
          <w:rFonts w:ascii="宋体" w:hAnsi="宋体"/>
          <w:b/>
          <w:color w:val="auto"/>
          <w:sz w:val="36"/>
          <w:szCs w:val="36"/>
          <w:highlight w:val="none"/>
        </w:rPr>
        <w:br w:type="page"/>
      </w:r>
      <w:r>
        <w:rPr>
          <w:rFonts w:hint="eastAsia" w:ascii="宋体" w:hAnsi="宋体"/>
          <w:color w:val="auto"/>
          <w:sz w:val="30"/>
          <w:szCs w:val="30"/>
          <w:highlight w:val="none"/>
        </w:rPr>
        <w:t>2、</w:t>
      </w:r>
      <w:r>
        <w:rPr>
          <w:rFonts w:hint="eastAsia" w:ascii="宋体" w:hAnsi="宋体"/>
          <w:color w:val="auto"/>
          <w:sz w:val="28"/>
          <w:szCs w:val="28"/>
          <w:highlight w:val="none"/>
        </w:rPr>
        <w:t>合同协议书格式</w:t>
      </w:r>
    </w:p>
    <w:p w14:paraId="629E2261">
      <w:pPr>
        <w:spacing w:after="156" w:afterLines="50"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 xml:space="preserve"> </w:t>
      </w:r>
    </w:p>
    <w:p w14:paraId="3696694F">
      <w:pPr>
        <w:spacing w:after="156" w:afterLines="50" w:line="360" w:lineRule="auto"/>
        <w:ind w:firstLine="480" w:firstLineChars="200"/>
        <w:rPr>
          <w:rFonts w:hint="eastAsia" w:ascii="宋体" w:hAnsi="宋体"/>
          <w:color w:val="auto"/>
          <w:sz w:val="24"/>
          <w:szCs w:val="24"/>
          <w:highlight w:val="none"/>
        </w:rPr>
      </w:pPr>
      <w:r>
        <w:rPr>
          <w:rFonts w:hint="eastAsia" w:ascii="宋体" w:hAnsi="宋体"/>
          <w:color w:val="auto"/>
          <w:szCs w:val="21"/>
          <w:highlight w:val="none"/>
        </w:rPr>
        <w:t xml:space="preserve"> </w:t>
      </w:r>
      <w:r>
        <w:rPr>
          <w:rFonts w:hint="eastAsia" w:ascii="宋体" w:hAnsi="宋体"/>
          <w:color w:val="auto"/>
          <w:sz w:val="24"/>
          <w:szCs w:val="24"/>
          <w:highlight w:val="none"/>
        </w:rPr>
        <w:t>本合同于</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年</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月</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日由</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eastAsia="zh-CN"/>
        </w:rPr>
        <w:t>买</w:t>
      </w:r>
      <w:r>
        <w:rPr>
          <w:rFonts w:hint="eastAsia" w:ascii="宋体" w:hAnsi="宋体"/>
          <w:color w:val="auto"/>
          <w:sz w:val="24"/>
          <w:szCs w:val="24"/>
          <w:highlight w:val="none"/>
          <w:u w:val="single"/>
        </w:rPr>
        <w:t>方名称）</w:t>
      </w:r>
      <w:r>
        <w:rPr>
          <w:rFonts w:hint="eastAsia" w:ascii="宋体" w:hAnsi="宋体"/>
          <w:color w:val="auto"/>
          <w:sz w:val="24"/>
          <w:szCs w:val="24"/>
          <w:highlight w:val="none"/>
        </w:rPr>
        <w:t>（以下简称“</w:t>
      </w:r>
      <w:r>
        <w:rPr>
          <w:rFonts w:hint="eastAsia" w:ascii="宋体" w:hAnsi="宋体"/>
          <w:color w:val="auto"/>
          <w:sz w:val="24"/>
          <w:szCs w:val="24"/>
          <w:highlight w:val="none"/>
          <w:lang w:eastAsia="zh-CN"/>
        </w:rPr>
        <w:t>买</w:t>
      </w:r>
      <w:r>
        <w:rPr>
          <w:rFonts w:hint="eastAsia" w:ascii="宋体" w:hAnsi="宋体"/>
          <w:color w:val="auto"/>
          <w:sz w:val="24"/>
          <w:szCs w:val="24"/>
          <w:highlight w:val="none"/>
        </w:rPr>
        <w:t>方”）和</w:t>
      </w:r>
      <w:r>
        <w:rPr>
          <w:rFonts w:hint="eastAsia" w:ascii="宋体" w:hAnsi="宋体"/>
          <w:color w:val="auto"/>
          <w:sz w:val="24"/>
          <w:szCs w:val="24"/>
          <w:highlight w:val="none"/>
          <w:u w:val="single"/>
        </w:rPr>
        <w:t>（</w:t>
      </w:r>
      <w:r>
        <w:rPr>
          <w:rFonts w:hint="eastAsia" w:ascii="宋体" w:hAnsi="宋体"/>
          <w:color w:val="auto"/>
          <w:sz w:val="24"/>
          <w:szCs w:val="24"/>
          <w:highlight w:val="none"/>
          <w:u w:val="single"/>
          <w:lang w:eastAsia="zh-CN"/>
        </w:rPr>
        <w:t>卖</w:t>
      </w:r>
      <w:r>
        <w:rPr>
          <w:rFonts w:hint="eastAsia" w:ascii="宋体" w:hAnsi="宋体"/>
          <w:color w:val="auto"/>
          <w:sz w:val="24"/>
          <w:szCs w:val="24"/>
          <w:highlight w:val="none"/>
          <w:u w:val="single"/>
        </w:rPr>
        <w:t>方名称）</w:t>
      </w:r>
      <w:r>
        <w:rPr>
          <w:rFonts w:hint="eastAsia" w:ascii="宋体" w:hAnsi="宋体"/>
          <w:color w:val="auto"/>
          <w:sz w:val="24"/>
          <w:szCs w:val="24"/>
          <w:highlight w:val="none"/>
        </w:rPr>
        <w:t>（以下简称“</w:t>
      </w:r>
      <w:r>
        <w:rPr>
          <w:rFonts w:hint="eastAsia" w:ascii="宋体" w:hAnsi="宋体"/>
          <w:color w:val="auto"/>
          <w:sz w:val="24"/>
          <w:szCs w:val="24"/>
          <w:highlight w:val="none"/>
          <w:lang w:eastAsia="zh-CN"/>
        </w:rPr>
        <w:t>卖</w:t>
      </w:r>
      <w:r>
        <w:rPr>
          <w:rFonts w:hint="eastAsia" w:ascii="宋体" w:hAnsi="宋体"/>
          <w:color w:val="auto"/>
          <w:sz w:val="24"/>
          <w:szCs w:val="24"/>
          <w:highlight w:val="none"/>
        </w:rPr>
        <w:t>方”）按下述条款和条件签署。</w:t>
      </w:r>
    </w:p>
    <w:p w14:paraId="46141A4D">
      <w:pPr>
        <w:numPr>
          <w:ilvl w:val="2"/>
          <w:numId w:val="0"/>
        </w:numPr>
        <w:tabs>
          <w:tab w:val="left" w:pos="720"/>
        </w:tabs>
        <w:spacing w:after="156" w:afterLines="50" w:line="360" w:lineRule="auto"/>
        <w:ind w:left="720" w:leftChars="0" w:hanging="360" w:firstLineChars="0"/>
        <w:rPr>
          <w:rFonts w:hint="eastAsia" w:ascii="宋体" w:hAnsi="宋体"/>
          <w:color w:val="auto"/>
          <w:sz w:val="24"/>
          <w:szCs w:val="24"/>
          <w:highlight w:val="none"/>
        </w:rPr>
      </w:pPr>
      <w:r>
        <w:rPr>
          <w:rFonts w:hint="default" w:ascii="宋体" w:hAnsi="宋体"/>
          <w:color w:val="auto"/>
          <w:kern w:val="2"/>
          <w:sz w:val="24"/>
          <w:szCs w:val="24"/>
          <w:highlight w:val="none"/>
          <w:lang w:val="en-US" w:eastAsia="zh-CN" w:bidi="ar-SA"/>
        </w:rPr>
        <w:t>1.</w:t>
      </w:r>
      <w:r>
        <w:rPr>
          <w:rFonts w:hint="eastAsia" w:ascii="宋体" w:hAnsi="宋体"/>
          <w:color w:val="auto"/>
          <w:sz w:val="24"/>
          <w:szCs w:val="24"/>
          <w:highlight w:val="none"/>
        </w:rPr>
        <w:t>本合同中的词语和术语的含义与合同条款中定义的相同。</w:t>
      </w:r>
    </w:p>
    <w:p w14:paraId="07D6712D">
      <w:pPr>
        <w:numPr>
          <w:ilvl w:val="2"/>
          <w:numId w:val="0"/>
        </w:numPr>
        <w:tabs>
          <w:tab w:val="left" w:pos="720"/>
        </w:tabs>
        <w:spacing w:after="156" w:afterLines="50" w:line="360" w:lineRule="auto"/>
        <w:ind w:left="720" w:leftChars="0" w:hanging="360" w:firstLineChars="0"/>
        <w:rPr>
          <w:rFonts w:hint="eastAsia" w:ascii="宋体" w:hAnsi="宋体"/>
          <w:color w:val="auto"/>
          <w:sz w:val="24"/>
          <w:szCs w:val="24"/>
          <w:highlight w:val="none"/>
        </w:rPr>
      </w:pPr>
      <w:r>
        <w:rPr>
          <w:rFonts w:hint="default" w:ascii="宋体" w:hAnsi="宋体"/>
          <w:color w:val="auto"/>
          <w:kern w:val="2"/>
          <w:sz w:val="24"/>
          <w:szCs w:val="24"/>
          <w:highlight w:val="none"/>
          <w:lang w:val="en-US" w:eastAsia="zh-CN" w:bidi="ar-SA"/>
        </w:rPr>
        <w:t>2.</w:t>
      </w:r>
      <w:r>
        <w:rPr>
          <w:rFonts w:hint="eastAsia" w:ascii="宋体" w:hAnsi="宋体"/>
          <w:color w:val="auto"/>
          <w:sz w:val="24"/>
          <w:szCs w:val="24"/>
          <w:highlight w:val="none"/>
        </w:rPr>
        <w:t>下列文件是本合同的组成部分，并与本合同一起阅读和解释：</w:t>
      </w:r>
    </w:p>
    <w:p w14:paraId="0E0204A5">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color w:val="auto"/>
          <w:sz w:val="24"/>
          <w:szCs w:val="24"/>
          <w:highlight w:val="none"/>
        </w:rPr>
        <w:t>合同附件，如：</w:t>
      </w:r>
    </w:p>
    <w:p w14:paraId="5BEA818D">
      <w:pPr>
        <w:numPr>
          <w:ilvl w:val="1"/>
          <w:numId w:val="2"/>
        </w:numPr>
        <w:spacing w:after="156" w:afterLines="50" w:line="360" w:lineRule="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服务</w:t>
      </w:r>
      <w:r>
        <w:rPr>
          <w:rFonts w:hint="eastAsia" w:ascii="宋体" w:hAnsi="宋体"/>
          <w:color w:val="auto"/>
          <w:sz w:val="24"/>
          <w:szCs w:val="24"/>
          <w:highlight w:val="none"/>
        </w:rPr>
        <w:t>内容</w:t>
      </w:r>
      <w:r>
        <w:rPr>
          <w:rFonts w:hint="eastAsia" w:ascii="宋体" w:hAnsi="宋体"/>
          <w:color w:val="auto"/>
          <w:sz w:val="24"/>
          <w:szCs w:val="24"/>
          <w:highlight w:val="none"/>
          <w:lang w:eastAsia="zh-CN"/>
        </w:rPr>
        <w:t>及</w:t>
      </w:r>
      <w:r>
        <w:rPr>
          <w:rFonts w:hint="eastAsia" w:ascii="宋体" w:hAnsi="宋体"/>
          <w:color w:val="auto"/>
          <w:sz w:val="24"/>
          <w:szCs w:val="24"/>
          <w:highlight w:val="none"/>
        </w:rPr>
        <w:t>价格</w:t>
      </w:r>
    </w:p>
    <w:p w14:paraId="2FD9E0A2">
      <w:pPr>
        <w:numPr>
          <w:ilvl w:val="1"/>
          <w:numId w:val="2"/>
        </w:numPr>
        <w:spacing w:after="156" w:afterLines="50" w:line="360" w:lineRule="auto"/>
        <w:rPr>
          <w:rFonts w:hint="eastAsia" w:ascii="宋体" w:hAnsi="宋体"/>
          <w:color w:val="auto"/>
          <w:sz w:val="24"/>
          <w:szCs w:val="24"/>
          <w:highlight w:val="none"/>
        </w:rPr>
      </w:pPr>
      <w:r>
        <w:rPr>
          <w:rFonts w:hint="eastAsia" w:ascii="宋体" w:hAnsi="宋体"/>
          <w:color w:val="auto"/>
          <w:sz w:val="24"/>
          <w:szCs w:val="24"/>
          <w:highlight w:val="none"/>
          <w:lang w:val="en-US" w:eastAsia="zh-CN"/>
        </w:rPr>
        <w:t>服务标准、流程</w:t>
      </w:r>
    </w:p>
    <w:p w14:paraId="7ADDC430">
      <w:pPr>
        <w:numPr>
          <w:ilvl w:val="1"/>
          <w:numId w:val="2"/>
        </w:numPr>
        <w:spacing w:after="156" w:afterLines="50" w:line="360" w:lineRule="auto"/>
        <w:rPr>
          <w:rFonts w:hint="eastAsia" w:ascii="宋体" w:hAnsi="宋体"/>
          <w:color w:val="auto"/>
          <w:sz w:val="24"/>
          <w:szCs w:val="24"/>
          <w:highlight w:val="none"/>
        </w:rPr>
      </w:pPr>
      <w:r>
        <w:rPr>
          <w:rFonts w:hint="eastAsia" w:ascii="宋体" w:hAnsi="宋体"/>
          <w:color w:val="auto"/>
          <w:sz w:val="24"/>
          <w:szCs w:val="24"/>
          <w:highlight w:val="none"/>
          <w:lang w:eastAsia="zh-CN"/>
        </w:rPr>
        <w:t>开始和结束时间</w:t>
      </w:r>
    </w:p>
    <w:p w14:paraId="596CD60B">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color w:val="auto"/>
          <w:sz w:val="24"/>
          <w:szCs w:val="24"/>
          <w:highlight w:val="none"/>
        </w:rPr>
        <w:t>合同专用条款</w:t>
      </w:r>
    </w:p>
    <w:p w14:paraId="78436C33">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color w:val="auto"/>
          <w:sz w:val="24"/>
          <w:szCs w:val="24"/>
          <w:highlight w:val="none"/>
        </w:rPr>
        <w:t>合同通用条款</w:t>
      </w:r>
    </w:p>
    <w:p w14:paraId="2D481C96">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eastAsia="宋体"/>
          <w:color w:val="auto"/>
          <w:sz w:val="24"/>
          <w:szCs w:val="24"/>
          <w:highlight w:val="none"/>
          <w:lang w:val="en-US" w:eastAsia="zh-CN"/>
        </w:rPr>
        <w:t>中标</w:t>
      </w:r>
      <w:r>
        <w:rPr>
          <w:rFonts w:hint="eastAsia" w:ascii="宋体" w:hAnsi="宋体"/>
          <w:color w:val="auto"/>
          <w:sz w:val="24"/>
          <w:szCs w:val="24"/>
          <w:highlight w:val="none"/>
        </w:rPr>
        <w:t>通知书</w:t>
      </w:r>
    </w:p>
    <w:p w14:paraId="0703AFB8">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eastAsia="宋体"/>
          <w:color w:val="auto"/>
          <w:sz w:val="24"/>
          <w:szCs w:val="24"/>
          <w:highlight w:val="none"/>
          <w:lang w:val="en-US" w:eastAsia="zh-CN"/>
        </w:rPr>
        <w:t>投标</w:t>
      </w:r>
      <w:r>
        <w:rPr>
          <w:rFonts w:hint="eastAsia" w:ascii="宋体" w:hAnsi="宋体"/>
          <w:color w:val="auto"/>
          <w:sz w:val="24"/>
          <w:szCs w:val="24"/>
          <w:highlight w:val="none"/>
        </w:rPr>
        <w:t>文件</w:t>
      </w:r>
    </w:p>
    <w:p w14:paraId="3FA30567">
      <w:pPr>
        <w:numPr>
          <w:ilvl w:val="0"/>
          <w:numId w:val="1"/>
        </w:numPr>
        <w:tabs>
          <w:tab w:val="left" w:pos="1080"/>
          <w:tab w:val="clear" w:pos="1680"/>
        </w:tabs>
        <w:spacing w:after="156" w:afterLines="50" w:line="360" w:lineRule="auto"/>
        <w:ind w:left="1080" w:hanging="360"/>
        <w:rPr>
          <w:rFonts w:hint="eastAsia" w:ascii="宋体" w:hAnsi="宋体"/>
          <w:color w:val="auto"/>
          <w:sz w:val="24"/>
          <w:szCs w:val="24"/>
          <w:highlight w:val="none"/>
        </w:rPr>
      </w:pPr>
      <w:r>
        <w:rPr>
          <w:rFonts w:hint="eastAsia" w:ascii="宋体" w:hAnsi="宋体" w:eastAsia="宋体"/>
          <w:color w:val="auto"/>
          <w:sz w:val="24"/>
          <w:szCs w:val="24"/>
          <w:highlight w:val="none"/>
          <w:lang w:val="en-US" w:eastAsia="zh-CN"/>
        </w:rPr>
        <w:t>招标</w:t>
      </w:r>
      <w:r>
        <w:rPr>
          <w:rFonts w:hint="eastAsia" w:ascii="宋体" w:hAnsi="宋体"/>
          <w:color w:val="auto"/>
          <w:sz w:val="24"/>
          <w:szCs w:val="24"/>
          <w:highlight w:val="none"/>
        </w:rPr>
        <w:t>文件</w:t>
      </w:r>
    </w:p>
    <w:p w14:paraId="438E7D53">
      <w:pPr>
        <w:spacing w:after="156" w:afterLines="50" w:line="360" w:lineRule="auto"/>
        <w:ind w:left="720"/>
        <w:rPr>
          <w:rFonts w:hint="eastAsia" w:ascii="宋体" w:hAnsi="宋体"/>
          <w:color w:val="auto"/>
          <w:sz w:val="24"/>
          <w:szCs w:val="24"/>
          <w:highlight w:val="none"/>
        </w:rPr>
      </w:pPr>
      <w:r>
        <w:rPr>
          <w:rFonts w:hint="eastAsia" w:ascii="宋体" w:hAnsi="宋体"/>
          <w:color w:val="auto"/>
          <w:sz w:val="24"/>
          <w:szCs w:val="24"/>
          <w:highlight w:val="none"/>
        </w:rPr>
        <w:t>上述文件如有冲突，以排列序号小的优先。</w:t>
      </w:r>
    </w:p>
    <w:p w14:paraId="6D372508">
      <w:pPr>
        <w:keepNext w:val="0"/>
        <w:keepLines w:val="0"/>
        <w:pageBreakBefore w:val="0"/>
        <w:widowControl w:val="0"/>
        <w:numPr>
          <w:ilvl w:val="2"/>
          <w:numId w:val="0"/>
        </w:numPr>
        <w:tabs>
          <w:tab w:val="left" w:pos="720"/>
        </w:tabs>
        <w:kinsoku/>
        <w:wordWrap/>
        <w:overflowPunct/>
        <w:topLinePunct w:val="0"/>
        <w:autoSpaceDE/>
        <w:autoSpaceDN/>
        <w:bidi w:val="0"/>
        <w:adjustRightInd/>
        <w:snapToGrid/>
        <w:spacing w:after="156" w:afterLines="50" w:line="360" w:lineRule="auto"/>
        <w:ind w:left="0" w:leftChars="0" w:firstLine="480" w:firstLineChars="200"/>
        <w:textAlignment w:val="auto"/>
        <w:rPr>
          <w:rFonts w:hint="eastAsia" w:ascii="宋体" w:hAnsi="宋体"/>
          <w:color w:val="auto"/>
          <w:sz w:val="24"/>
          <w:szCs w:val="24"/>
          <w:highlight w:val="none"/>
        </w:rPr>
      </w:pPr>
      <w:r>
        <w:rPr>
          <w:rFonts w:hint="default" w:ascii="宋体" w:hAnsi="宋体"/>
          <w:color w:val="auto"/>
          <w:kern w:val="2"/>
          <w:sz w:val="24"/>
          <w:szCs w:val="24"/>
          <w:highlight w:val="none"/>
          <w:lang w:val="en-US" w:eastAsia="zh-CN" w:bidi="ar-SA"/>
        </w:rPr>
        <w:t>3.卖方在此保证全部按照合同的规定向买方提供服务，并修补缺陷，买方将按照本合同价款向卖方进行支付。</w:t>
      </w:r>
    </w:p>
    <w:p w14:paraId="76F906B7">
      <w:pPr>
        <w:keepNext w:val="0"/>
        <w:keepLines w:val="0"/>
        <w:pageBreakBefore w:val="0"/>
        <w:widowControl w:val="0"/>
        <w:numPr>
          <w:ilvl w:val="2"/>
          <w:numId w:val="0"/>
        </w:numPr>
        <w:tabs>
          <w:tab w:val="left" w:pos="720"/>
        </w:tabs>
        <w:kinsoku/>
        <w:wordWrap/>
        <w:overflowPunct/>
        <w:topLinePunct w:val="0"/>
        <w:autoSpaceDE/>
        <w:autoSpaceDN/>
        <w:bidi w:val="0"/>
        <w:adjustRightInd/>
        <w:snapToGrid/>
        <w:spacing w:after="156" w:afterLines="50" w:line="360" w:lineRule="auto"/>
        <w:ind w:left="0" w:leftChars="0" w:firstLine="480" w:firstLineChars="200"/>
        <w:textAlignment w:val="auto"/>
        <w:rPr>
          <w:rFonts w:hint="eastAsia" w:ascii="宋体" w:hAnsi="宋体"/>
          <w:color w:val="auto"/>
          <w:sz w:val="24"/>
          <w:szCs w:val="24"/>
          <w:highlight w:val="none"/>
        </w:rPr>
      </w:pPr>
      <w:r>
        <w:rPr>
          <w:rFonts w:hint="default" w:ascii="宋体" w:hAnsi="宋体"/>
          <w:color w:val="auto"/>
          <w:kern w:val="2"/>
          <w:sz w:val="24"/>
          <w:szCs w:val="24"/>
          <w:highlight w:val="none"/>
          <w:lang w:val="en-US" w:eastAsia="zh-CN" w:bidi="ar-SA"/>
        </w:rPr>
        <w:t>4.</w:t>
      </w:r>
      <w:r>
        <w:rPr>
          <w:rFonts w:hint="eastAsia" w:ascii="宋体" w:hAnsi="宋体"/>
          <w:color w:val="auto"/>
          <w:sz w:val="24"/>
          <w:szCs w:val="24"/>
          <w:highlight w:val="none"/>
        </w:rPr>
        <w:t>本合同正本一式二份，副本一式四份，均以中文书写，在双方代表签字盖章后生效。</w:t>
      </w:r>
    </w:p>
    <w:tbl>
      <w:tblPr>
        <w:tblStyle w:val="10"/>
        <w:tblW w:w="0" w:type="auto"/>
        <w:tblInd w:w="0" w:type="dxa"/>
        <w:tblLayout w:type="autofit"/>
        <w:tblCellMar>
          <w:top w:w="0" w:type="dxa"/>
          <w:left w:w="108" w:type="dxa"/>
          <w:bottom w:w="0" w:type="dxa"/>
          <w:right w:w="108" w:type="dxa"/>
        </w:tblCellMar>
      </w:tblPr>
      <w:tblGrid>
        <w:gridCol w:w="4261"/>
        <w:gridCol w:w="4261"/>
      </w:tblGrid>
      <w:tr w14:paraId="28B934DF">
        <w:tblPrEx>
          <w:tblCellMar>
            <w:top w:w="0" w:type="dxa"/>
            <w:left w:w="108" w:type="dxa"/>
            <w:bottom w:w="0" w:type="dxa"/>
            <w:right w:w="108" w:type="dxa"/>
          </w:tblCellMar>
        </w:tblPrEx>
        <w:trPr>
          <w:trHeight w:val="3727" w:hRule="atLeast"/>
        </w:trPr>
        <w:tc>
          <w:tcPr>
            <w:tcW w:w="4261" w:type="dxa"/>
            <w:noWrap w:val="0"/>
            <w:vAlign w:val="top"/>
          </w:tcPr>
          <w:p w14:paraId="26F3B239">
            <w:pPr>
              <w:spacing w:after="156" w:afterLines="50" w:line="360" w:lineRule="auto"/>
              <w:rPr>
                <w:rFonts w:hint="eastAsia" w:ascii="宋体" w:hAnsi="宋体"/>
                <w:color w:val="auto"/>
                <w:sz w:val="24"/>
                <w:highlight w:val="none"/>
                <w:u w:val="single"/>
              </w:rPr>
            </w:pPr>
            <w:r>
              <w:rPr>
                <w:rFonts w:hint="eastAsia" w:ascii="宋体" w:hAnsi="宋体"/>
                <w:color w:val="auto"/>
                <w:sz w:val="24"/>
                <w:highlight w:val="none"/>
              </w:rPr>
              <w:t>买方名称</w:t>
            </w:r>
            <w:r>
              <w:rPr>
                <w:rFonts w:hint="eastAsia" w:ascii="宋体" w:hAnsi="宋体"/>
                <w:color w:val="auto"/>
                <w:sz w:val="24"/>
                <w:highlight w:val="none"/>
                <w:u w:val="single"/>
              </w:rPr>
              <w:t xml:space="preserve">                         </w:t>
            </w:r>
          </w:p>
          <w:p w14:paraId="7CAF743D">
            <w:pPr>
              <w:spacing w:after="156" w:afterLines="50" w:line="360" w:lineRule="auto"/>
              <w:rPr>
                <w:rFonts w:hint="eastAsia" w:ascii="宋体" w:hAnsi="宋体"/>
                <w:color w:val="auto"/>
                <w:sz w:val="24"/>
                <w:highlight w:val="none"/>
              </w:rPr>
            </w:pPr>
            <w:r>
              <w:rPr>
                <w:rFonts w:hint="eastAsia" w:ascii="宋体" w:hAnsi="宋体"/>
                <w:color w:val="auto"/>
                <w:sz w:val="24"/>
                <w:highlight w:val="none"/>
              </w:rPr>
              <w:t>买方代表姓名</w:t>
            </w:r>
            <w:r>
              <w:rPr>
                <w:rFonts w:hint="eastAsia" w:ascii="宋体" w:hAnsi="宋体"/>
                <w:color w:val="auto"/>
                <w:sz w:val="24"/>
                <w:highlight w:val="none"/>
                <w:u w:val="single"/>
              </w:rPr>
              <w:t xml:space="preserve">                     </w:t>
            </w:r>
          </w:p>
          <w:p w14:paraId="4D2EA4CF">
            <w:pPr>
              <w:spacing w:after="156" w:afterLines="50" w:line="360" w:lineRule="auto"/>
              <w:rPr>
                <w:rFonts w:hint="eastAsia" w:ascii="宋体" w:hAnsi="宋体"/>
                <w:color w:val="auto"/>
                <w:sz w:val="24"/>
                <w:highlight w:val="none"/>
                <w:u w:val="single"/>
              </w:rPr>
            </w:pPr>
            <w:r>
              <w:rPr>
                <w:rFonts w:hint="eastAsia" w:ascii="宋体" w:hAnsi="宋体"/>
                <w:color w:val="auto"/>
                <w:sz w:val="24"/>
                <w:highlight w:val="none"/>
              </w:rPr>
              <w:t>买方代表签字</w:t>
            </w:r>
            <w:r>
              <w:rPr>
                <w:rFonts w:hint="eastAsia" w:ascii="宋体" w:hAnsi="宋体"/>
                <w:color w:val="auto"/>
                <w:sz w:val="24"/>
                <w:highlight w:val="none"/>
                <w:u w:val="single"/>
              </w:rPr>
              <w:t xml:space="preserve">                     </w:t>
            </w:r>
          </w:p>
          <w:p w14:paraId="458CD6E9">
            <w:pPr>
              <w:spacing w:after="156" w:afterLines="50" w:line="360" w:lineRule="auto"/>
              <w:rPr>
                <w:rFonts w:hint="eastAsia" w:ascii="宋体" w:hAnsi="宋体"/>
                <w:color w:val="auto"/>
                <w:sz w:val="24"/>
                <w:highlight w:val="none"/>
              </w:rPr>
            </w:pPr>
            <w:r>
              <w:rPr>
                <w:rFonts w:hint="eastAsia" w:ascii="宋体" w:hAnsi="宋体"/>
                <w:color w:val="auto"/>
                <w:sz w:val="24"/>
                <w:highlight w:val="none"/>
              </w:rPr>
              <w:t xml:space="preserve">签字日期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661E8107">
            <w:pPr>
              <w:spacing w:after="156" w:afterLines="50" w:line="360" w:lineRule="auto"/>
              <w:rPr>
                <w:rFonts w:hint="eastAsia" w:ascii="宋体" w:hAnsi="宋体"/>
                <w:color w:val="auto"/>
                <w:sz w:val="24"/>
                <w:highlight w:val="none"/>
              </w:rPr>
            </w:pPr>
            <w:r>
              <w:rPr>
                <w:rFonts w:hint="eastAsia" w:ascii="宋体" w:hAnsi="宋体"/>
                <w:color w:val="auto"/>
                <w:sz w:val="24"/>
                <w:highlight w:val="none"/>
              </w:rPr>
              <w:t xml:space="preserve">买方公章（或合同章） </w:t>
            </w:r>
            <w:r>
              <w:rPr>
                <w:rFonts w:hint="eastAsia" w:ascii="宋体" w:hAnsi="宋体"/>
                <w:color w:val="auto"/>
                <w:sz w:val="24"/>
                <w:highlight w:val="none"/>
                <w:u w:val="single"/>
              </w:rPr>
              <w:t xml:space="preserve">            </w:t>
            </w:r>
          </w:p>
        </w:tc>
        <w:tc>
          <w:tcPr>
            <w:tcW w:w="4261" w:type="dxa"/>
            <w:noWrap w:val="0"/>
            <w:vAlign w:val="top"/>
          </w:tcPr>
          <w:p w14:paraId="55564074">
            <w:pPr>
              <w:spacing w:after="156" w:afterLines="50" w:line="360" w:lineRule="auto"/>
              <w:rPr>
                <w:rFonts w:hint="eastAsia" w:ascii="宋体" w:hAnsi="宋体"/>
                <w:color w:val="auto"/>
                <w:sz w:val="24"/>
                <w:highlight w:val="none"/>
                <w:u w:val="single"/>
              </w:rPr>
            </w:pPr>
            <w:r>
              <w:rPr>
                <w:rFonts w:hint="eastAsia" w:ascii="宋体" w:hAnsi="宋体" w:eastAsia="宋体"/>
                <w:color w:val="auto"/>
                <w:sz w:val="24"/>
                <w:highlight w:val="none"/>
                <w:lang w:eastAsia="zh-CN"/>
              </w:rPr>
              <w:t>卖方</w:t>
            </w:r>
            <w:r>
              <w:rPr>
                <w:rFonts w:hint="eastAsia" w:ascii="宋体" w:hAnsi="宋体"/>
                <w:color w:val="auto"/>
                <w:sz w:val="24"/>
                <w:highlight w:val="none"/>
              </w:rPr>
              <w:t>名称</w:t>
            </w:r>
            <w:r>
              <w:rPr>
                <w:rFonts w:hint="eastAsia" w:ascii="宋体" w:hAnsi="宋体"/>
                <w:color w:val="auto"/>
                <w:sz w:val="24"/>
                <w:highlight w:val="none"/>
                <w:u w:val="single"/>
              </w:rPr>
              <w:t xml:space="preserve">                         </w:t>
            </w:r>
          </w:p>
          <w:p w14:paraId="21284C01">
            <w:pPr>
              <w:spacing w:after="156" w:afterLines="50" w:line="360" w:lineRule="auto"/>
              <w:rPr>
                <w:rFonts w:hint="eastAsia" w:ascii="宋体" w:hAnsi="宋体"/>
                <w:color w:val="auto"/>
                <w:sz w:val="24"/>
                <w:highlight w:val="none"/>
              </w:rPr>
            </w:pPr>
            <w:r>
              <w:rPr>
                <w:rFonts w:hint="eastAsia" w:ascii="宋体" w:hAnsi="宋体" w:eastAsia="宋体"/>
                <w:color w:val="auto"/>
                <w:sz w:val="24"/>
                <w:highlight w:val="none"/>
                <w:lang w:eastAsia="zh-CN"/>
              </w:rPr>
              <w:t>卖方</w:t>
            </w:r>
            <w:r>
              <w:rPr>
                <w:rFonts w:hint="eastAsia" w:ascii="宋体" w:hAnsi="宋体"/>
                <w:color w:val="auto"/>
                <w:sz w:val="24"/>
                <w:highlight w:val="none"/>
              </w:rPr>
              <w:t>代表姓名</w:t>
            </w:r>
            <w:r>
              <w:rPr>
                <w:rFonts w:hint="eastAsia" w:ascii="宋体" w:hAnsi="宋体"/>
                <w:color w:val="auto"/>
                <w:sz w:val="24"/>
                <w:highlight w:val="none"/>
                <w:u w:val="single"/>
              </w:rPr>
              <w:t xml:space="preserve">                     </w:t>
            </w:r>
          </w:p>
          <w:p w14:paraId="041888A3">
            <w:pPr>
              <w:spacing w:after="156" w:afterLines="50" w:line="360" w:lineRule="auto"/>
              <w:rPr>
                <w:rFonts w:hint="eastAsia" w:ascii="宋体" w:hAnsi="宋体"/>
                <w:color w:val="auto"/>
                <w:sz w:val="24"/>
                <w:highlight w:val="none"/>
                <w:u w:val="single"/>
              </w:rPr>
            </w:pPr>
            <w:r>
              <w:rPr>
                <w:rFonts w:hint="eastAsia" w:ascii="宋体" w:hAnsi="宋体" w:eastAsia="宋体"/>
                <w:color w:val="auto"/>
                <w:sz w:val="24"/>
                <w:highlight w:val="none"/>
                <w:lang w:eastAsia="zh-CN"/>
              </w:rPr>
              <w:t>卖方</w:t>
            </w:r>
            <w:r>
              <w:rPr>
                <w:rFonts w:hint="eastAsia" w:ascii="宋体" w:hAnsi="宋体"/>
                <w:color w:val="auto"/>
                <w:sz w:val="24"/>
                <w:highlight w:val="none"/>
              </w:rPr>
              <w:t>代表签字</w:t>
            </w:r>
            <w:r>
              <w:rPr>
                <w:rFonts w:hint="eastAsia" w:ascii="宋体" w:hAnsi="宋体"/>
                <w:color w:val="auto"/>
                <w:sz w:val="24"/>
                <w:highlight w:val="none"/>
                <w:u w:val="single"/>
              </w:rPr>
              <w:t xml:space="preserve">                     </w:t>
            </w:r>
          </w:p>
          <w:p w14:paraId="6738E774">
            <w:pPr>
              <w:spacing w:after="156" w:afterLines="50" w:line="360" w:lineRule="auto"/>
              <w:rPr>
                <w:rFonts w:hint="eastAsia" w:ascii="宋体" w:hAnsi="宋体"/>
                <w:color w:val="auto"/>
                <w:sz w:val="24"/>
                <w:highlight w:val="none"/>
              </w:rPr>
            </w:pPr>
            <w:r>
              <w:rPr>
                <w:rFonts w:hint="eastAsia" w:ascii="宋体" w:hAnsi="宋体"/>
                <w:color w:val="auto"/>
                <w:sz w:val="24"/>
                <w:highlight w:val="none"/>
              </w:rPr>
              <w:t xml:space="preserve">签字日期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0EB66415">
            <w:pPr>
              <w:spacing w:after="156" w:afterLines="50" w:line="360" w:lineRule="auto"/>
              <w:rPr>
                <w:rFonts w:hint="eastAsia" w:ascii="宋体" w:hAnsi="宋体"/>
                <w:color w:val="auto"/>
                <w:sz w:val="24"/>
                <w:highlight w:val="none"/>
              </w:rPr>
            </w:pPr>
            <w:r>
              <w:rPr>
                <w:rFonts w:hint="eastAsia" w:ascii="宋体" w:hAnsi="宋体" w:eastAsia="宋体"/>
                <w:color w:val="auto"/>
                <w:sz w:val="24"/>
                <w:highlight w:val="none"/>
                <w:lang w:eastAsia="zh-CN"/>
              </w:rPr>
              <w:t>卖方</w:t>
            </w:r>
            <w:r>
              <w:rPr>
                <w:rFonts w:hint="eastAsia" w:ascii="宋体" w:hAnsi="宋体"/>
                <w:color w:val="auto"/>
                <w:sz w:val="24"/>
                <w:highlight w:val="none"/>
              </w:rPr>
              <w:t xml:space="preserve">公章（或合同章） </w:t>
            </w:r>
            <w:r>
              <w:rPr>
                <w:rFonts w:hint="eastAsia" w:ascii="宋体" w:hAnsi="宋体"/>
                <w:color w:val="auto"/>
                <w:sz w:val="24"/>
                <w:highlight w:val="none"/>
                <w:u w:val="single"/>
              </w:rPr>
              <w:t xml:space="preserve">            </w:t>
            </w:r>
          </w:p>
        </w:tc>
      </w:tr>
    </w:tbl>
    <w:p w14:paraId="38E7C0F2">
      <w:pPr>
        <w:pStyle w:val="6"/>
        <w:spacing w:line="360" w:lineRule="auto"/>
        <w:ind w:left="1470" w:right="1470" w:firstLine="2400" w:firstLineChars="1000"/>
        <w:rPr>
          <w:color w:val="auto"/>
          <w:szCs w:val="21"/>
          <w:highlight w:val="none"/>
        </w:rPr>
      </w:pPr>
    </w:p>
    <w:p w14:paraId="71D8491A">
      <w:pPr>
        <w:pStyle w:val="5"/>
        <w:keepNext w:val="0"/>
        <w:keepLines w:val="0"/>
        <w:pageBreakBefore w:val="0"/>
        <w:widowControl w:val="0"/>
        <w:kinsoku w:val="0"/>
        <w:wordWrap/>
        <w:overflowPunct/>
        <w:topLinePunct w:val="0"/>
        <w:autoSpaceDE w:val="0"/>
        <w:autoSpaceDN w:val="0"/>
        <w:bidi w:val="0"/>
        <w:adjustRightInd w:val="0"/>
        <w:snapToGrid w:val="0"/>
        <w:spacing w:line="360" w:lineRule="auto"/>
        <w:ind w:left="0" w:right="0" w:firstLine="0"/>
        <w:textAlignment w:val="baseline"/>
        <w:rPr>
          <w:rFonts w:hint="eastAsia" w:ascii="宋体" w:hAnsi="宋体" w:eastAsia="宋体" w:cs="宋体"/>
          <w:b/>
          <w:bCs/>
          <w:spacing w:val="0"/>
          <w:position w:val="2"/>
          <w:sz w:val="28"/>
          <w:szCs w:val="28"/>
          <w:lang w:eastAsia="zh-CN"/>
        </w:rPr>
      </w:pPr>
    </w:p>
    <w:p w14:paraId="1DBBE9C6">
      <w:pPr>
        <w:pStyle w:val="3"/>
        <w:spacing w:before="0" w:after="0"/>
        <w:ind w:left="0"/>
        <w:jc w:val="center"/>
        <w:rPr>
          <w:rFonts w:hint="eastAsia"/>
        </w:rPr>
      </w:pPr>
    </w:p>
    <w:p w14:paraId="3BA9ED43">
      <w:pPr>
        <w:rPr>
          <w:rFonts w:hint="eastAsia"/>
        </w:rPr>
      </w:pPr>
    </w:p>
    <w:p w14:paraId="677D2300">
      <w:pPr>
        <w:rPr>
          <w:rFonts w:hint="eastAsia"/>
        </w:rPr>
      </w:pPr>
    </w:p>
    <w:p w14:paraId="4E08B06F">
      <w:pPr>
        <w:rPr>
          <w:rFonts w:hint="eastAsia"/>
        </w:rPr>
      </w:pPr>
    </w:p>
    <w:p w14:paraId="6F2C092A">
      <w:pPr>
        <w:rPr>
          <w:rFonts w:hint="eastAsia"/>
        </w:rPr>
      </w:pPr>
    </w:p>
    <w:p w14:paraId="395E8C1E">
      <w:pPr>
        <w:rPr>
          <w:rFonts w:hint="eastAsia"/>
        </w:rPr>
      </w:pPr>
    </w:p>
    <w:p w14:paraId="29869E11">
      <w:pPr>
        <w:rPr>
          <w:rFonts w:hint="eastAsia"/>
        </w:rPr>
      </w:pPr>
    </w:p>
    <w:p w14:paraId="5636ECAC">
      <w:pPr>
        <w:rPr>
          <w:rFonts w:hint="eastAsia"/>
        </w:rPr>
      </w:pPr>
    </w:p>
    <w:p w14:paraId="7D5C448D">
      <w:pPr>
        <w:rPr>
          <w:rFonts w:hint="eastAsia"/>
        </w:rPr>
      </w:pPr>
    </w:p>
    <w:p w14:paraId="127225E0">
      <w:pPr>
        <w:rPr>
          <w:rFonts w:hint="eastAsia"/>
        </w:rPr>
      </w:pPr>
    </w:p>
    <w:p w14:paraId="3A13C108">
      <w:pPr>
        <w:rPr>
          <w:rFonts w:hint="eastAsia"/>
        </w:rPr>
      </w:pPr>
    </w:p>
    <w:p w14:paraId="097B836B">
      <w:pPr>
        <w:rPr>
          <w:rFonts w:hint="eastAsia"/>
        </w:rPr>
      </w:pPr>
    </w:p>
    <w:p w14:paraId="557B196F">
      <w:pPr>
        <w:pStyle w:val="3"/>
        <w:spacing w:before="0" w:after="0"/>
        <w:ind w:left="0"/>
        <w:jc w:val="center"/>
        <w:rPr>
          <w:rFonts w:hint="eastAsia"/>
          <w:lang w:val="en-US" w:eastAsia="zh-CN"/>
        </w:rPr>
      </w:pPr>
      <w:r>
        <w:rPr>
          <w:rFonts w:hint="eastAsia"/>
          <w:lang w:val="en-US" w:eastAsia="zh-CN"/>
        </w:rPr>
        <w:t xml:space="preserve"> </w:t>
      </w:r>
    </w:p>
    <w:p w14:paraId="0BF7CC51">
      <w:pPr>
        <w:rPr>
          <w:rFonts w:hint="eastAsia"/>
          <w:lang w:val="en-US" w:eastAsia="zh-CN"/>
        </w:rPr>
      </w:pPr>
      <w:r>
        <w:rPr>
          <w:rFonts w:hint="eastAsia"/>
          <w:lang w:val="en-US" w:eastAsia="zh-CN"/>
        </w:rPr>
        <w:br w:type="page"/>
      </w:r>
    </w:p>
    <w:p w14:paraId="27B66301">
      <w:pPr>
        <w:pStyle w:val="3"/>
        <w:spacing w:before="0" w:after="0"/>
        <w:ind w:left="0"/>
        <w:jc w:val="both"/>
        <w:rPr>
          <w:rFonts w:hint="eastAsia"/>
          <w:b/>
          <w:bCs/>
          <w:lang w:val="en-US" w:eastAsia="zh-CN"/>
        </w:rPr>
      </w:pPr>
      <w:r>
        <w:rPr>
          <w:rFonts w:hint="eastAsia"/>
          <w:b/>
          <w:bCs/>
          <w:lang w:val="en-US" w:eastAsia="zh-CN"/>
        </w:rPr>
        <w:t>包2合同：</w:t>
      </w:r>
    </w:p>
    <w:p w14:paraId="20EB0618">
      <w:pPr>
        <w:pStyle w:val="3"/>
        <w:spacing w:before="0" w:after="0"/>
        <w:ind w:left="0"/>
        <w:jc w:val="center"/>
        <w:rPr>
          <w:rFonts w:ascii="宋体" w:hAnsi="宋体" w:cs="宋体"/>
        </w:rPr>
      </w:pPr>
      <w:r>
        <w:rPr>
          <w:rFonts w:hint="eastAsia"/>
        </w:rPr>
        <w:t>合同条款及格式前附表</w:t>
      </w:r>
      <w:bookmarkEnd w:id="0"/>
      <w:bookmarkEnd w:id="1"/>
      <w:bookmarkEnd w:id="2"/>
      <w:bookmarkEnd w:id="3"/>
    </w:p>
    <w:p w14:paraId="65C359F0">
      <w:r>
        <w:rPr>
          <w:rFonts w:hint="eastAsia"/>
          <w:b/>
          <w:bCs/>
        </w:rPr>
        <w:t>本表是对合同条款的具体补充和修改，如有矛盾，应以本资料表为准。</w:t>
      </w:r>
    </w:p>
    <w:tbl>
      <w:tblPr>
        <w:tblStyle w:val="10"/>
        <w:tblW w:w="941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65"/>
        <w:gridCol w:w="8546"/>
      </w:tblGrid>
      <w:tr w14:paraId="5C9DB8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1" w:hRule="atLeast"/>
        </w:trPr>
        <w:tc>
          <w:tcPr>
            <w:tcW w:w="865" w:type="dxa"/>
            <w:vAlign w:val="center"/>
          </w:tcPr>
          <w:p w14:paraId="1AFA48B4">
            <w:pPr>
              <w:spacing w:line="360" w:lineRule="auto"/>
              <w:jc w:val="center"/>
              <w:rPr>
                <w:rFonts w:hAnsi="宋体" w:cs="宋体"/>
                <w:b/>
                <w:szCs w:val="24"/>
              </w:rPr>
            </w:pPr>
            <w:bookmarkStart w:id="10" w:name="_Toc3798"/>
            <w:bookmarkStart w:id="11" w:name="_Toc403077645"/>
            <w:bookmarkStart w:id="12" w:name="_Toc426457694"/>
            <w:bookmarkStart w:id="13" w:name="_Toc11810"/>
            <w:bookmarkStart w:id="14" w:name="_Toc15898"/>
            <w:r>
              <w:rPr>
                <w:rFonts w:hint="eastAsia" w:hAnsi="宋体" w:cs="宋体"/>
                <w:b/>
                <w:szCs w:val="24"/>
              </w:rPr>
              <w:t>序号</w:t>
            </w:r>
          </w:p>
        </w:tc>
        <w:tc>
          <w:tcPr>
            <w:tcW w:w="8546" w:type="dxa"/>
            <w:vAlign w:val="center"/>
          </w:tcPr>
          <w:p w14:paraId="295CC8DF">
            <w:pPr>
              <w:spacing w:line="360" w:lineRule="auto"/>
              <w:jc w:val="center"/>
              <w:rPr>
                <w:rFonts w:hAnsi="宋体" w:cs="宋体"/>
                <w:b/>
                <w:szCs w:val="24"/>
              </w:rPr>
            </w:pPr>
            <w:r>
              <w:rPr>
                <w:rFonts w:hint="eastAsia" w:hAnsi="宋体" w:cs="宋体"/>
                <w:b/>
                <w:szCs w:val="24"/>
              </w:rPr>
              <w:t>内      容</w:t>
            </w:r>
          </w:p>
        </w:tc>
      </w:tr>
      <w:tr w14:paraId="65869E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8" w:hRule="atLeast"/>
        </w:trPr>
        <w:tc>
          <w:tcPr>
            <w:tcW w:w="865" w:type="dxa"/>
            <w:vAlign w:val="center"/>
          </w:tcPr>
          <w:p w14:paraId="7F98BD37">
            <w:pPr>
              <w:spacing w:line="360" w:lineRule="auto"/>
              <w:jc w:val="center"/>
              <w:rPr>
                <w:rFonts w:hAnsi="宋体" w:cs="宋体"/>
                <w:szCs w:val="24"/>
              </w:rPr>
            </w:pPr>
            <w:r>
              <w:rPr>
                <w:rFonts w:hint="eastAsia" w:hAnsi="宋体" w:cs="宋体"/>
                <w:szCs w:val="24"/>
              </w:rPr>
              <w:t>1</w:t>
            </w:r>
          </w:p>
        </w:tc>
        <w:tc>
          <w:tcPr>
            <w:tcW w:w="8546" w:type="dxa"/>
            <w:vAlign w:val="center"/>
          </w:tcPr>
          <w:p w14:paraId="0DF8DF74">
            <w:pPr>
              <w:spacing w:line="360" w:lineRule="auto"/>
              <w:rPr>
                <w:rFonts w:hAnsi="宋体" w:cs="宋体"/>
                <w:szCs w:val="24"/>
              </w:rPr>
            </w:pPr>
            <w:r>
              <w:rPr>
                <w:rFonts w:hint="eastAsia" w:hAnsi="宋体" w:cs="宋体"/>
                <w:b/>
                <w:szCs w:val="24"/>
              </w:rPr>
              <w:t>采购人名称</w:t>
            </w:r>
            <w:r>
              <w:rPr>
                <w:rFonts w:hint="eastAsia" w:hAnsi="宋体" w:cs="宋体"/>
                <w:szCs w:val="24"/>
              </w:rPr>
              <w:t>：西安市体育训练中心（西安市人民体育场）</w:t>
            </w:r>
          </w:p>
          <w:p w14:paraId="32160B97">
            <w:pPr>
              <w:spacing w:line="360" w:lineRule="auto"/>
              <w:rPr>
                <w:rFonts w:hAnsi="宋体" w:cs="宋体"/>
                <w:szCs w:val="24"/>
              </w:rPr>
            </w:pPr>
            <w:r>
              <w:rPr>
                <w:rFonts w:hint="eastAsia" w:hAnsi="宋体" w:cs="宋体"/>
                <w:b/>
                <w:szCs w:val="24"/>
              </w:rPr>
              <w:t>项目名称</w:t>
            </w:r>
            <w:r>
              <w:rPr>
                <w:rFonts w:hint="eastAsia" w:hAnsi="宋体" w:cs="宋体"/>
                <w:szCs w:val="24"/>
              </w:rPr>
              <w:t xml:space="preserve">：监控设备采购及安装  </w:t>
            </w:r>
          </w:p>
          <w:p w14:paraId="07B9C1EA">
            <w:pPr>
              <w:spacing w:line="360" w:lineRule="auto"/>
              <w:rPr>
                <w:rFonts w:hAnsi="宋体" w:cs="宋体"/>
                <w:szCs w:val="24"/>
              </w:rPr>
            </w:pPr>
            <w:r>
              <w:rPr>
                <w:rFonts w:hint="eastAsia" w:hAnsi="宋体" w:cs="宋体"/>
                <w:b/>
                <w:szCs w:val="24"/>
              </w:rPr>
              <w:t>资金来源：</w:t>
            </w:r>
            <w:r>
              <w:rPr>
                <w:rFonts w:hint="eastAsia" w:hAnsi="宋体" w:cs="宋体"/>
                <w:szCs w:val="24"/>
              </w:rPr>
              <w:t>财政拨款</w:t>
            </w:r>
          </w:p>
        </w:tc>
      </w:tr>
      <w:tr w14:paraId="05F8BB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933" w:hRule="atLeast"/>
        </w:trPr>
        <w:tc>
          <w:tcPr>
            <w:tcW w:w="865" w:type="dxa"/>
            <w:vAlign w:val="center"/>
          </w:tcPr>
          <w:p w14:paraId="6D7E93D7">
            <w:pPr>
              <w:spacing w:line="360" w:lineRule="auto"/>
              <w:jc w:val="center"/>
              <w:rPr>
                <w:rFonts w:hAnsi="宋体" w:cs="宋体"/>
                <w:szCs w:val="24"/>
              </w:rPr>
            </w:pPr>
            <w:r>
              <w:rPr>
                <w:rFonts w:hint="eastAsia" w:hAnsi="宋体" w:cs="宋体"/>
                <w:szCs w:val="24"/>
              </w:rPr>
              <w:t>2</w:t>
            </w:r>
          </w:p>
        </w:tc>
        <w:tc>
          <w:tcPr>
            <w:tcW w:w="8546" w:type="dxa"/>
            <w:vAlign w:val="center"/>
          </w:tcPr>
          <w:p w14:paraId="6FD7DB76">
            <w:pPr>
              <w:spacing w:line="360" w:lineRule="auto"/>
              <w:rPr>
                <w:rFonts w:hAnsi="宋体" w:cs="宋体"/>
                <w:szCs w:val="24"/>
              </w:rPr>
            </w:pPr>
            <w:r>
              <w:rPr>
                <w:rFonts w:hint="eastAsia" w:hAnsi="宋体" w:cs="宋体"/>
                <w:b/>
                <w:szCs w:val="24"/>
              </w:rPr>
              <w:t>名词解释：</w:t>
            </w:r>
            <w:r>
              <w:rPr>
                <w:rFonts w:hint="eastAsia" w:hAnsi="宋体" w:cs="宋体"/>
                <w:szCs w:val="24"/>
              </w:rPr>
              <w:t>本章节中出现的 “投标人”，在招标投标阶段措辞为“投标人”；在项目招标结束，中标结果确定后，措辞由“投标人”转为“中标人”；在采购人与中标人签订合同，履约、实施阶段，措辞由“中标人”转为“投标人”。</w:t>
            </w:r>
          </w:p>
        </w:tc>
      </w:tr>
      <w:tr w14:paraId="607AE2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24" w:hRule="atLeast"/>
        </w:trPr>
        <w:tc>
          <w:tcPr>
            <w:tcW w:w="865" w:type="dxa"/>
            <w:vAlign w:val="center"/>
          </w:tcPr>
          <w:p w14:paraId="63354C23">
            <w:pPr>
              <w:spacing w:line="360" w:lineRule="auto"/>
              <w:jc w:val="center"/>
              <w:rPr>
                <w:rFonts w:hAnsi="宋体" w:cs="宋体"/>
                <w:szCs w:val="24"/>
              </w:rPr>
            </w:pPr>
            <w:r>
              <w:rPr>
                <w:rFonts w:hint="eastAsia" w:hAnsi="宋体" w:cs="宋体"/>
                <w:szCs w:val="24"/>
              </w:rPr>
              <w:t>3</w:t>
            </w:r>
          </w:p>
        </w:tc>
        <w:tc>
          <w:tcPr>
            <w:tcW w:w="8546" w:type="dxa"/>
            <w:vAlign w:val="center"/>
          </w:tcPr>
          <w:p w14:paraId="0ADA5892">
            <w:pPr>
              <w:spacing w:line="360" w:lineRule="auto"/>
              <w:rPr>
                <w:rFonts w:hAnsi="宋体" w:cs="宋体"/>
                <w:b/>
                <w:szCs w:val="24"/>
              </w:rPr>
            </w:pPr>
            <w:r>
              <w:rPr>
                <w:rFonts w:hint="eastAsia" w:hAnsi="宋体" w:cs="宋体"/>
                <w:b/>
                <w:szCs w:val="24"/>
              </w:rPr>
              <w:t>项目实施地点：采购人指定地点</w:t>
            </w:r>
          </w:p>
        </w:tc>
      </w:tr>
      <w:tr w14:paraId="2861A3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69" w:hRule="exact"/>
        </w:trPr>
        <w:tc>
          <w:tcPr>
            <w:tcW w:w="865" w:type="dxa"/>
            <w:vAlign w:val="center"/>
          </w:tcPr>
          <w:p w14:paraId="70747B02">
            <w:pPr>
              <w:spacing w:line="360" w:lineRule="auto"/>
              <w:jc w:val="center"/>
              <w:rPr>
                <w:rFonts w:hAnsi="宋体" w:cs="宋体"/>
                <w:szCs w:val="24"/>
              </w:rPr>
            </w:pPr>
            <w:r>
              <w:rPr>
                <w:rFonts w:hint="eastAsia" w:hAnsi="宋体" w:cs="宋体"/>
                <w:szCs w:val="24"/>
              </w:rPr>
              <w:t>4</w:t>
            </w:r>
          </w:p>
        </w:tc>
        <w:tc>
          <w:tcPr>
            <w:tcW w:w="8546" w:type="dxa"/>
            <w:vAlign w:val="center"/>
          </w:tcPr>
          <w:p w14:paraId="669CC0C5">
            <w:pPr>
              <w:spacing w:line="360" w:lineRule="auto"/>
              <w:rPr>
                <w:szCs w:val="24"/>
              </w:rPr>
            </w:pPr>
            <w:bookmarkStart w:id="15" w:name="OLE_LINK6"/>
            <w:bookmarkStart w:id="16" w:name="OLE_LINK5"/>
            <w:r>
              <w:rPr>
                <w:rFonts w:hint="eastAsia" w:hAnsi="宋体" w:cs="宋体"/>
                <w:b/>
                <w:szCs w:val="24"/>
              </w:rPr>
              <w:t>合同履行期限（交货期）：</w:t>
            </w:r>
            <w:bookmarkEnd w:id="15"/>
            <w:bookmarkEnd w:id="16"/>
            <w:r>
              <w:rPr>
                <w:rFonts w:hint="eastAsia" w:hAnsi="宋体" w:cs="宋体"/>
                <w:b/>
                <w:szCs w:val="24"/>
              </w:rPr>
              <w:t>合同签订后，甲方场地符合安装条件时，由甲方及时告知乙方。乙方自收到甲方送货通知后30 个工作日完成合同约定货物的送货、安装及调试工作，并交付采购人验收合格；</w:t>
            </w:r>
          </w:p>
        </w:tc>
      </w:tr>
      <w:tr w14:paraId="324447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34" w:hRule="exact"/>
        </w:trPr>
        <w:tc>
          <w:tcPr>
            <w:tcW w:w="865" w:type="dxa"/>
            <w:vAlign w:val="center"/>
          </w:tcPr>
          <w:p w14:paraId="57F06546">
            <w:pPr>
              <w:spacing w:line="360" w:lineRule="auto"/>
              <w:jc w:val="center"/>
              <w:rPr>
                <w:rFonts w:hAnsi="宋体" w:cs="宋体"/>
                <w:szCs w:val="24"/>
              </w:rPr>
            </w:pPr>
            <w:r>
              <w:rPr>
                <w:rFonts w:hint="eastAsia" w:hAnsi="宋体" w:cs="宋体"/>
                <w:szCs w:val="24"/>
              </w:rPr>
              <w:t>5</w:t>
            </w:r>
          </w:p>
        </w:tc>
        <w:tc>
          <w:tcPr>
            <w:tcW w:w="8546" w:type="dxa"/>
            <w:vAlign w:val="center"/>
          </w:tcPr>
          <w:p w14:paraId="0B000C1F">
            <w:pPr>
              <w:spacing w:line="360" w:lineRule="auto"/>
              <w:rPr>
                <w:rFonts w:hAnsi="宋体" w:cs="宋体"/>
                <w:b/>
                <w:szCs w:val="24"/>
              </w:rPr>
            </w:pPr>
            <w:r>
              <w:rPr>
                <w:rFonts w:hint="eastAsia" w:hAnsi="宋体" w:cs="宋体"/>
                <w:b/>
                <w:szCs w:val="24"/>
              </w:rPr>
              <w:t>质保期：自验收合格之日起两年</w:t>
            </w:r>
          </w:p>
        </w:tc>
      </w:tr>
      <w:tr w14:paraId="4FBE96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15" w:hRule="exact"/>
        </w:trPr>
        <w:tc>
          <w:tcPr>
            <w:tcW w:w="865" w:type="dxa"/>
            <w:vAlign w:val="center"/>
          </w:tcPr>
          <w:p w14:paraId="685CC60B">
            <w:pPr>
              <w:spacing w:line="360" w:lineRule="auto"/>
              <w:jc w:val="center"/>
              <w:rPr>
                <w:rFonts w:hAnsi="宋体" w:cs="宋体"/>
                <w:szCs w:val="24"/>
              </w:rPr>
            </w:pPr>
            <w:r>
              <w:rPr>
                <w:rFonts w:hint="eastAsia" w:hAnsi="宋体" w:cs="宋体"/>
                <w:szCs w:val="24"/>
              </w:rPr>
              <w:t>6</w:t>
            </w:r>
          </w:p>
        </w:tc>
        <w:tc>
          <w:tcPr>
            <w:tcW w:w="8546" w:type="dxa"/>
            <w:vAlign w:val="center"/>
          </w:tcPr>
          <w:p w14:paraId="26795C3C">
            <w:pPr>
              <w:spacing w:line="360" w:lineRule="auto"/>
              <w:rPr>
                <w:rFonts w:hAnsi="宋体" w:cs="宋体"/>
                <w:b/>
                <w:szCs w:val="24"/>
              </w:rPr>
            </w:pPr>
            <w:r>
              <w:rPr>
                <w:rFonts w:hint="eastAsia" w:hAnsi="宋体" w:cs="宋体"/>
                <w:b/>
                <w:szCs w:val="24"/>
              </w:rPr>
              <w:t>付款：</w:t>
            </w:r>
          </w:p>
          <w:p w14:paraId="7DADCD7D">
            <w:pPr>
              <w:spacing w:line="360" w:lineRule="auto"/>
              <w:rPr>
                <w:rFonts w:hAnsi="宋体" w:cs="宋体"/>
                <w:bCs/>
                <w:szCs w:val="24"/>
              </w:rPr>
            </w:pPr>
            <w:r>
              <w:rPr>
                <w:rFonts w:hint="eastAsia" w:hAnsi="宋体" w:cs="宋体"/>
                <w:bCs/>
                <w:szCs w:val="24"/>
              </w:rPr>
              <w:t>1.合同总价即中标价，不受市场价变化或实际工作量变化的影响。</w:t>
            </w:r>
          </w:p>
          <w:p w14:paraId="4F4E6618">
            <w:pPr>
              <w:spacing w:line="360" w:lineRule="auto"/>
              <w:rPr>
                <w:rFonts w:hAnsi="宋体" w:cs="宋体"/>
                <w:bCs/>
                <w:szCs w:val="24"/>
              </w:rPr>
            </w:pPr>
            <w:r>
              <w:rPr>
                <w:rFonts w:hint="eastAsia" w:hAnsi="宋体" w:cs="宋体"/>
                <w:bCs/>
                <w:szCs w:val="24"/>
              </w:rPr>
              <w:t>2.付款方式和程序：</w:t>
            </w:r>
          </w:p>
          <w:p w14:paraId="7FCD9F0A">
            <w:pPr>
              <w:spacing w:line="360" w:lineRule="auto"/>
              <w:rPr>
                <w:rFonts w:hAnsi="宋体" w:cs="宋体"/>
                <w:bCs/>
                <w:szCs w:val="24"/>
              </w:rPr>
            </w:pPr>
            <w:r>
              <w:rPr>
                <w:rFonts w:hint="eastAsia" w:hAnsi="宋体" w:cs="宋体"/>
                <w:bCs/>
                <w:szCs w:val="24"/>
              </w:rPr>
              <w:t>2.1由采购人负责结算，在付款前，投标人必须开具全额发票给采购人（附详细清单）。</w:t>
            </w:r>
          </w:p>
          <w:p w14:paraId="5258A134">
            <w:pPr>
              <w:spacing w:line="360" w:lineRule="auto"/>
              <w:rPr>
                <w:rFonts w:hAnsi="宋体" w:cs="宋体"/>
                <w:bCs/>
                <w:szCs w:val="24"/>
              </w:rPr>
            </w:pPr>
            <w:r>
              <w:rPr>
                <w:rFonts w:hint="eastAsia" w:hAnsi="宋体" w:cs="宋体"/>
                <w:bCs/>
                <w:szCs w:val="24"/>
              </w:rPr>
              <w:t>2.2付款方式：</w:t>
            </w:r>
          </w:p>
          <w:p w14:paraId="3ED3275E">
            <w:pPr>
              <w:spacing w:line="360" w:lineRule="auto"/>
              <w:rPr>
                <w:rFonts w:hAnsi="宋体" w:cs="宋体"/>
                <w:bCs/>
                <w:szCs w:val="24"/>
              </w:rPr>
            </w:pPr>
            <w:r>
              <w:rPr>
                <w:rFonts w:hint="eastAsia" w:hAnsi="宋体" w:cs="宋体"/>
                <w:bCs/>
                <w:szCs w:val="24"/>
              </w:rPr>
              <w:t>本项目款分两次进行支付，第一次付款: 合同签定、乙方进场后 15 日内付合同总价款的 60%;第二次付款项目最终经甲方或甲方指定的第三方验收单位验收合格后 15 日内，根据评审或审计结论，甲方付清剩余款项，付款前中标人须开具发票。</w:t>
            </w:r>
          </w:p>
          <w:p w14:paraId="5CDD8B72">
            <w:pPr>
              <w:spacing w:line="360" w:lineRule="auto"/>
              <w:rPr>
                <w:rFonts w:hAnsi="宋体" w:cs="宋体"/>
                <w:b/>
                <w:szCs w:val="24"/>
              </w:rPr>
            </w:pPr>
            <w:r>
              <w:rPr>
                <w:rFonts w:hint="eastAsia" w:hAnsi="宋体" w:cs="宋体"/>
                <w:bCs/>
                <w:szCs w:val="24"/>
              </w:rPr>
              <w:t>2.3支付方式：银行转账</w:t>
            </w:r>
          </w:p>
        </w:tc>
      </w:tr>
      <w:tr w14:paraId="407CA3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6" w:hRule="atLeast"/>
        </w:trPr>
        <w:tc>
          <w:tcPr>
            <w:tcW w:w="865" w:type="dxa"/>
            <w:vAlign w:val="center"/>
          </w:tcPr>
          <w:p w14:paraId="690F6FAA">
            <w:pPr>
              <w:spacing w:line="360" w:lineRule="auto"/>
              <w:jc w:val="center"/>
              <w:rPr>
                <w:rFonts w:hAnsi="宋体" w:cs="宋体"/>
                <w:szCs w:val="24"/>
              </w:rPr>
            </w:pPr>
            <w:r>
              <w:rPr>
                <w:rFonts w:hint="eastAsia" w:hAnsi="宋体" w:cs="宋体"/>
                <w:szCs w:val="24"/>
              </w:rPr>
              <w:t>7</w:t>
            </w:r>
          </w:p>
        </w:tc>
        <w:tc>
          <w:tcPr>
            <w:tcW w:w="8546" w:type="dxa"/>
            <w:vAlign w:val="center"/>
          </w:tcPr>
          <w:p w14:paraId="458CFB7B">
            <w:pPr>
              <w:spacing w:line="360" w:lineRule="auto"/>
              <w:rPr>
                <w:rFonts w:hAnsi="宋体" w:cs="宋体"/>
                <w:b/>
                <w:szCs w:val="24"/>
              </w:rPr>
            </w:pPr>
            <w:r>
              <w:rPr>
                <w:rFonts w:hint="eastAsia" w:hAnsi="宋体" w:cs="宋体"/>
                <w:b/>
                <w:szCs w:val="24"/>
              </w:rPr>
              <w:t>运输、安装、调试要求：</w:t>
            </w:r>
          </w:p>
          <w:p w14:paraId="0BBBACD1">
            <w:pPr>
              <w:spacing w:line="360" w:lineRule="auto"/>
              <w:ind w:firstLine="480" w:firstLineChars="200"/>
              <w:jc w:val="left"/>
              <w:rPr>
                <w:rFonts w:hAnsi="宋体" w:cs="宋体"/>
                <w:szCs w:val="24"/>
              </w:rPr>
            </w:pPr>
            <w:r>
              <w:rPr>
                <w:rFonts w:hint="eastAsia" w:hAnsi="宋体" w:cs="宋体"/>
                <w:szCs w:val="24"/>
              </w:rPr>
              <w:t>1.供应商根据产品特性，自行选择运输及包装方式，保证产品到达之后各项功能完好无损，且符合国家相关包装及运输要求。供应商承担一切包装及运输费用，包括从生产厂商到采购人指定交货地点所需的装卸、运输（含保险费）及其他一切费用。</w:t>
            </w:r>
          </w:p>
          <w:p w14:paraId="0DBD63D4">
            <w:pPr>
              <w:spacing w:line="360" w:lineRule="auto"/>
              <w:ind w:firstLine="480" w:firstLineChars="200"/>
              <w:jc w:val="left"/>
              <w:rPr>
                <w:rFonts w:hAnsi="宋体" w:cs="宋体"/>
                <w:szCs w:val="24"/>
              </w:rPr>
            </w:pPr>
            <w:r>
              <w:rPr>
                <w:rFonts w:hint="eastAsia" w:hAnsi="宋体" w:cs="宋体"/>
                <w:szCs w:val="24"/>
              </w:rPr>
              <w:t>2.由供应商提供安装、调试及试运行的进度计划表。</w:t>
            </w:r>
          </w:p>
          <w:p w14:paraId="098877BC">
            <w:pPr>
              <w:spacing w:line="360" w:lineRule="auto"/>
              <w:ind w:firstLine="480" w:firstLineChars="200"/>
              <w:jc w:val="left"/>
              <w:rPr>
                <w:rFonts w:hAnsi="宋体" w:cs="宋体"/>
                <w:color w:val="auto"/>
                <w:szCs w:val="24"/>
              </w:rPr>
            </w:pPr>
            <w:r>
              <w:rPr>
                <w:rFonts w:hint="eastAsia" w:hAnsi="宋体" w:cs="宋体"/>
                <w:szCs w:val="24"/>
              </w:rPr>
              <w:t>3.</w:t>
            </w:r>
            <w:r>
              <w:rPr>
                <w:rFonts w:hint="eastAsia" w:hAnsi="宋体" w:cs="宋体"/>
                <w:szCs w:val="24"/>
                <w:lang w:eastAsia="zh-CN"/>
              </w:rPr>
              <w:t>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w:t>
            </w:r>
            <w:bookmarkStart w:id="17" w:name="OLE_LINK1"/>
            <w:bookmarkStart w:id="18" w:name="OLE_LINK2"/>
            <w:r>
              <w:rPr>
                <w:rFonts w:hint="eastAsia" w:hAnsi="宋体" w:cs="宋体"/>
                <w:szCs w:val="24"/>
                <w:lang w:eastAsia="zh-CN"/>
              </w:rPr>
              <w:t>每延误一天的赔偿费按迟交货物交货价或未提供服务的服务费用的百分之零点五（0.5%）计收，直至交货或提供服务为止。误期赔偿费的最高限额为合同价格的百分之五（5%）</w:t>
            </w:r>
            <w:bookmarkEnd w:id="17"/>
            <w:bookmarkEnd w:id="18"/>
            <w:r>
              <w:rPr>
                <w:rFonts w:hint="eastAsia" w:hAnsi="宋体" w:cs="宋体"/>
                <w:szCs w:val="24"/>
                <w:lang w:eastAsia="zh-CN"/>
              </w:rPr>
              <w:t>，甲方享有单方解除合同的权利</w:t>
            </w:r>
            <w:r>
              <w:rPr>
                <w:rFonts w:hint="eastAsia" w:hAnsi="宋体" w:cs="宋体"/>
                <w:color w:val="auto"/>
                <w:szCs w:val="24"/>
              </w:rPr>
              <w:t>。</w:t>
            </w:r>
          </w:p>
          <w:p w14:paraId="06E0093D">
            <w:pPr>
              <w:spacing w:line="360" w:lineRule="auto"/>
              <w:ind w:firstLine="480" w:firstLineChars="200"/>
              <w:jc w:val="left"/>
              <w:rPr>
                <w:rFonts w:hAnsi="宋体" w:cs="宋体"/>
                <w:szCs w:val="24"/>
              </w:rPr>
            </w:pPr>
            <w:r>
              <w:rPr>
                <w:rFonts w:hint="eastAsia" w:hAnsi="宋体" w:cs="宋体"/>
                <w:szCs w:val="24"/>
              </w:rPr>
              <w:t>4.安装和调试期间所发生的费用均由供应商负责。</w:t>
            </w:r>
          </w:p>
          <w:p w14:paraId="08895B95">
            <w:pPr>
              <w:spacing w:line="360" w:lineRule="auto"/>
              <w:ind w:firstLine="480" w:firstLineChars="200"/>
              <w:rPr>
                <w:rFonts w:hAnsi="宋体" w:cs="宋体"/>
                <w:szCs w:val="24"/>
              </w:rPr>
            </w:pPr>
            <w:r>
              <w:rPr>
                <w:rFonts w:hint="eastAsia" w:hAnsi="宋体" w:cs="宋体"/>
                <w:szCs w:val="24"/>
              </w:rPr>
              <w:t>5.供应商应对安装调试、整改等实施过程的安全负责，如发生人身伤亡、财产损失的由供应商负责解决并承担全部责任。</w:t>
            </w:r>
          </w:p>
        </w:tc>
      </w:tr>
      <w:tr w14:paraId="06E1FF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06" w:hRule="atLeast"/>
        </w:trPr>
        <w:tc>
          <w:tcPr>
            <w:tcW w:w="865" w:type="dxa"/>
            <w:vAlign w:val="center"/>
          </w:tcPr>
          <w:p w14:paraId="0E53DA9B">
            <w:pPr>
              <w:spacing w:line="360" w:lineRule="auto"/>
              <w:jc w:val="center"/>
              <w:rPr>
                <w:rFonts w:hAnsi="宋体" w:cs="宋体"/>
                <w:szCs w:val="24"/>
              </w:rPr>
            </w:pPr>
            <w:r>
              <w:rPr>
                <w:rFonts w:hint="eastAsia" w:hAnsi="宋体" w:cs="宋体"/>
                <w:szCs w:val="24"/>
              </w:rPr>
              <w:t>8</w:t>
            </w:r>
          </w:p>
        </w:tc>
        <w:tc>
          <w:tcPr>
            <w:tcW w:w="8546" w:type="dxa"/>
            <w:vAlign w:val="center"/>
          </w:tcPr>
          <w:p w14:paraId="3CA24EBC">
            <w:pPr>
              <w:spacing w:line="360" w:lineRule="auto"/>
              <w:rPr>
                <w:rFonts w:hAnsi="宋体" w:cs="宋体"/>
                <w:b/>
                <w:szCs w:val="24"/>
              </w:rPr>
            </w:pPr>
            <w:r>
              <w:rPr>
                <w:rFonts w:hint="eastAsia" w:hAnsi="宋体" w:cs="宋体"/>
                <w:b/>
                <w:szCs w:val="24"/>
              </w:rPr>
              <w:t>技术支持：</w:t>
            </w:r>
          </w:p>
          <w:p w14:paraId="2DB66420">
            <w:pPr>
              <w:pStyle w:val="7"/>
              <w:spacing w:line="360" w:lineRule="auto"/>
              <w:ind w:firstLine="480" w:firstLineChars="200"/>
              <w:rPr>
                <w:rFonts w:hAnsi="宋体" w:cs="宋体"/>
                <w:bCs/>
                <w:kern w:val="0"/>
                <w:sz w:val="24"/>
                <w:szCs w:val="21"/>
              </w:rPr>
            </w:pPr>
            <w:r>
              <w:rPr>
                <w:rFonts w:hint="eastAsia" w:hAnsi="宋体" w:cs="宋体"/>
                <w:bCs/>
                <w:kern w:val="0"/>
                <w:sz w:val="24"/>
                <w:szCs w:val="21"/>
              </w:rPr>
              <w:t>1.提供质保期内每周7×24小时的技术咨询服务。供应商怠于或无法提供技术支持的，采购人有权委托第三方处理，由此产生的费用和后果由供应商负责，费用直接从应付款中扣除。供应商指定的项目负责人必须是供应商公司管理层人员。本项目实施过程中一旦出现重大问题，项目负责人应能及时赶到现场。供应商更换项目负责人和主要技术人员，须将变更人及其工作影响、替换人资历等情况以书面材料报告项目采购人审核，经同意后方可更换。因供应商的人员变更原因所造成的任何项目质量、进度滞后的后果，由供应商承担。</w:t>
            </w:r>
          </w:p>
          <w:p w14:paraId="356FE5DA">
            <w:pPr>
              <w:spacing w:line="360" w:lineRule="auto"/>
              <w:ind w:firstLine="480" w:firstLineChars="200"/>
              <w:rPr>
                <w:rFonts w:hAnsi="宋体" w:cs="宋体"/>
                <w:szCs w:val="24"/>
              </w:rPr>
            </w:pPr>
            <w:r>
              <w:rPr>
                <w:rFonts w:hint="eastAsia" w:hAnsi="宋体" w:cs="宋体"/>
                <w:bCs/>
                <w:szCs w:val="21"/>
              </w:rPr>
              <w:t>2.供应商在项目实施过程中，质量保障人员、资源不足或者执行不力，给项目质量带来的风险超出采购人认定的允许范围时，采购人可终止本项目的合作并进行索赔。</w:t>
            </w:r>
          </w:p>
        </w:tc>
      </w:tr>
      <w:tr w14:paraId="1CE329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865" w:type="dxa"/>
            <w:vAlign w:val="center"/>
          </w:tcPr>
          <w:p w14:paraId="45CD970C">
            <w:pPr>
              <w:pStyle w:val="7"/>
              <w:spacing w:line="360" w:lineRule="auto"/>
              <w:jc w:val="center"/>
              <w:rPr>
                <w:rFonts w:hAnsi="宋体" w:cs="宋体"/>
                <w:kern w:val="0"/>
                <w:sz w:val="24"/>
                <w:szCs w:val="24"/>
              </w:rPr>
            </w:pPr>
            <w:r>
              <w:rPr>
                <w:rFonts w:hint="eastAsia" w:hAnsi="宋体" w:cs="宋体"/>
                <w:kern w:val="0"/>
                <w:sz w:val="24"/>
                <w:szCs w:val="24"/>
              </w:rPr>
              <w:t>9</w:t>
            </w:r>
          </w:p>
        </w:tc>
        <w:tc>
          <w:tcPr>
            <w:tcW w:w="8546" w:type="dxa"/>
            <w:shd w:val="clear" w:color="auto" w:fill="auto"/>
            <w:vAlign w:val="center"/>
          </w:tcPr>
          <w:p w14:paraId="3BCB8043">
            <w:pPr>
              <w:spacing w:line="360" w:lineRule="auto"/>
              <w:rPr>
                <w:rFonts w:hAnsi="宋体" w:cs="宋体"/>
                <w:b/>
                <w:szCs w:val="24"/>
              </w:rPr>
            </w:pPr>
            <w:r>
              <w:rPr>
                <w:rFonts w:hint="eastAsia" w:hAnsi="宋体" w:cs="宋体"/>
                <w:b/>
                <w:szCs w:val="24"/>
              </w:rPr>
              <w:t>技术资料要求：</w:t>
            </w:r>
          </w:p>
          <w:p w14:paraId="229B460C">
            <w:pPr>
              <w:tabs>
                <w:tab w:val="left" w:pos="480"/>
              </w:tabs>
              <w:spacing w:line="360" w:lineRule="auto"/>
              <w:ind w:firstLine="480" w:firstLineChars="200"/>
              <w:rPr>
                <w:rFonts w:hAnsi="宋体" w:cs="宋体"/>
                <w:szCs w:val="24"/>
              </w:rPr>
            </w:pPr>
            <w:r>
              <w:rPr>
                <w:rFonts w:hint="eastAsia" w:hAnsi="宋体" w:cs="宋体"/>
                <w:szCs w:val="24"/>
              </w:rPr>
              <w:t>供应商应向采购人提供全套中文技术资料一套，其费用包括在投标价格中：</w:t>
            </w:r>
          </w:p>
          <w:p w14:paraId="4E43F3B6">
            <w:pPr>
              <w:tabs>
                <w:tab w:val="left" w:pos="480"/>
              </w:tabs>
              <w:spacing w:line="360" w:lineRule="auto"/>
              <w:ind w:firstLine="480" w:firstLineChars="200"/>
              <w:rPr>
                <w:rFonts w:hAnsi="宋体" w:cs="宋体"/>
                <w:szCs w:val="24"/>
              </w:rPr>
            </w:pPr>
            <w:r>
              <w:rPr>
                <w:rFonts w:hint="eastAsia" w:hAnsi="宋体" w:cs="宋体"/>
                <w:szCs w:val="24"/>
              </w:rPr>
              <w:t>1.完整的产品说明书、产品合格证、装箱清单、图纸（线路图、原理图等）等；</w:t>
            </w:r>
          </w:p>
          <w:p w14:paraId="414CC8EF">
            <w:pPr>
              <w:tabs>
                <w:tab w:val="left" w:pos="480"/>
              </w:tabs>
              <w:spacing w:line="360" w:lineRule="auto"/>
              <w:ind w:firstLine="480" w:firstLineChars="200"/>
              <w:rPr>
                <w:rFonts w:hAnsi="宋体" w:cs="宋体"/>
                <w:szCs w:val="24"/>
              </w:rPr>
            </w:pPr>
            <w:r>
              <w:rPr>
                <w:rFonts w:hint="eastAsia" w:hAnsi="宋体" w:cs="宋体"/>
                <w:szCs w:val="24"/>
              </w:rPr>
              <w:t>2.制造厂的检验、测试报告、产品检验合格证书，质量保证书等文件验收时须一并提供；</w:t>
            </w:r>
          </w:p>
          <w:p w14:paraId="7417D70A">
            <w:pPr>
              <w:tabs>
                <w:tab w:val="left" w:pos="480"/>
              </w:tabs>
              <w:spacing w:line="360" w:lineRule="auto"/>
              <w:ind w:firstLine="480" w:firstLineChars="200"/>
              <w:rPr>
                <w:rFonts w:hAnsi="宋体" w:cs="宋体"/>
                <w:szCs w:val="24"/>
              </w:rPr>
            </w:pPr>
            <w:r>
              <w:rPr>
                <w:rFonts w:hint="eastAsia" w:hAnsi="宋体" w:cs="宋体"/>
                <w:szCs w:val="24"/>
              </w:rPr>
              <w:t>3.产品验收标准；</w:t>
            </w:r>
          </w:p>
          <w:p w14:paraId="033BA813">
            <w:pPr>
              <w:tabs>
                <w:tab w:val="left" w:pos="480"/>
              </w:tabs>
              <w:spacing w:line="360" w:lineRule="auto"/>
              <w:ind w:firstLine="480" w:firstLineChars="200"/>
              <w:rPr>
                <w:rFonts w:hAnsi="宋体" w:cs="宋体"/>
                <w:szCs w:val="24"/>
              </w:rPr>
            </w:pPr>
            <w:r>
              <w:rPr>
                <w:rFonts w:hint="eastAsia" w:hAnsi="宋体" w:cs="宋体"/>
                <w:szCs w:val="24"/>
              </w:rPr>
              <w:t>4.技术说明书及必须的其它技术资料;</w:t>
            </w:r>
          </w:p>
          <w:p w14:paraId="58C89EE7">
            <w:pPr>
              <w:tabs>
                <w:tab w:val="left" w:pos="480"/>
              </w:tabs>
              <w:spacing w:line="360" w:lineRule="auto"/>
              <w:ind w:firstLine="480" w:firstLineChars="200"/>
              <w:rPr>
                <w:rFonts w:hAnsi="宋体" w:cs="宋体"/>
                <w:szCs w:val="24"/>
              </w:rPr>
            </w:pPr>
            <w:r>
              <w:rPr>
                <w:rFonts w:hint="eastAsia" w:hAnsi="宋体" w:cs="宋体"/>
                <w:szCs w:val="24"/>
              </w:rPr>
              <w:t>5.系统安装，调试、维修线路图及原理图；</w:t>
            </w:r>
          </w:p>
          <w:p w14:paraId="14472A6F">
            <w:pPr>
              <w:tabs>
                <w:tab w:val="left" w:pos="480"/>
              </w:tabs>
              <w:spacing w:line="360" w:lineRule="auto"/>
              <w:ind w:firstLine="480" w:firstLineChars="200"/>
              <w:rPr>
                <w:rFonts w:hAnsi="宋体" w:cs="宋体"/>
                <w:szCs w:val="24"/>
              </w:rPr>
            </w:pPr>
            <w:r>
              <w:rPr>
                <w:rFonts w:hint="eastAsia" w:hAnsi="宋体" w:cs="宋体"/>
                <w:szCs w:val="24"/>
              </w:rPr>
              <w:t>6.零部件目录；</w:t>
            </w:r>
          </w:p>
          <w:p w14:paraId="6240664A">
            <w:pPr>
              <w:tabs>
                <w:tab w:val="left" w:pos="480"/>
              </w:tabs>
              <w:spacing w:line="360" w:lineRule="auto"/>
              <w:ind w:firstLine="480" w:firstLineChars="200"/>
              <w:rPr>
                <w:rFonts w:hAnsi="宋体" w:cs="宋体"/>
                <w:szCs w:val="24"/>
              </w:rPr>
            </w:pPr>
            <w:r>
              <w:rPr>
                <w:rFonts w:hint="eastAsia" w:hAnsi="宋体" w:cs="宋体"/>
                <w:szCs w:val="24"/>
              </w:rPr>
              <w:t>7.项目完工后提供验收报告；</w:t>
            </w:r>
          </w:p>
          <w:p w14:paraId="07076244">
            <w:pPr>
              <w:spacing w:line="360" w:lineRule="auto"/>
              <w:ind w:firstLine="480" w:firstLineChars="200"/>
              <w:jc w:val="left"/>
              <w:rPr>
                <w:rFonts w:hAnsi="宋体" w:cs="宋体"/>
                <w:szCs w:val="24"/>
              </w:rPr>
            </w:pPr>
            <w:r>
              <w:rPr>
                <w:rFonts w:hint="eastAsia" w:hAnsi="宋体" w:cs="宋体"/>
                <w:szCs w:val="24"/>
              </w:rPr>
              <w:t>8.合同中要求的其他文件资料。</w:t>
            </w:r>
          </w:p>
        </w:tc>
      </w:tr>
      <w:tr w14:paraId="3F406B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52" w:hRule="atLeast"/>
        </w:trPr>
        <w:tc>
          <w:tcPr>
            <w:tcW w:w="865" w:type="dxa"/>
            <w:vAlign w:val="center"/>
          </w:tcPr>
          <w:p w14:paraId="7040F38F">
            <w:pPr>
              <w:pStyle w:val="7"/>
              <w:spacing w:line="360" w:lineRule="auto"/>
              <w:jc w:val="center"/>
              <w:rPr>
                <w:rFonts w:hAnsi="宋体" w:cs="宋体"/>
                <w:kern w:val="0"/>
                <w:sz w:val="24"/>
                <w:szCs w:val="24"/>
              </w:rPr>
            </w:pPr>
            <w:r>
              <w:rPr>
                <w:rFonts w:hint="eastAsia" w:hAnsi="宋体" w:cs="宋体"/>
                <w:kern w:val="0"/>
                <w:sz w:val="24"/>
                <w:szCs w:val="24"/>
              </w:rPr>
              <w:t>10</w:t>
            </w:r>
          </w:p>
        </w:tc>
        <w:tc>
          <w:tcPr>
            <w:tcW w:w="8546" w:type="dxa"/>
            <w:vAlign w:val="center"/>
          </w:tcPr>
          <w:p w14:paraId="5FD1F4C6">
            <w:pPr>
              <w:tabs>
                <w:tab w:val="left" w:pos="480"/>
              </w:tabs>
              <w:spacing w:line="360" w:lineRule="auto"/>
              <w:rPr>
                <w:rFonts w:hAnsi="宋体" w:cs="宋体"/>
                <w:b/>
                <w:szCs w:val="24"/>
              </w:rPr>
            </w:pPr>
            <w:r>
              <w:rPr>
                <w:rFonts w:hint="eastAsia" w:hAnsi="宋体" w:cs="宋体"/>
                <w:b/>
                <w:szCs w:val="24"/>
              </w:rPr>
              <w:t>技术培训：</w:t>
            </w:r>
          </w:p>
          <w:p w14:paraId="27DB9950">
            <w:pPr>
              <w:spacing w:line="360" w:lineRule="auto"/>
              <w:ind w:firstLine="480" w:firstLineChars="200"/>
              <w:jc w:val="left"/>
              <w:rPr>
                <w:rFonts w:hAnsi="宋体" w:cs="宋体"/>
                <w:bCs/>
                <w:szCs w:val="24"/>
              </w:rPr>
            </w:pPr>
            <w:r>
              <w:rPr>
                <w:rFonts w:hint="eastAsia" w:hAnsi="宋体" w:cs="宋体"/>
                <w:bCs/>
                <w:szCs w:val="24"/>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投标产品需在培训基地培训的，供应商应按要求履行，培训产生的交通费、食宿费、培训费等均由供应商承担。</w:t>
            </w:r>
          </w:p>
        </w:tc>
      </w:tr>
      <w:tr w14:paraId="0AC66F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865" w:type="dxa"/>
            <w:vAlign w:val="center"/>
          </w:tcPr>
          <w:p w14:paraId="019D497E">
            <w:pPr>
              <w:pStyle w:val="7"/>
              <w:spacing w:line="360" w:lineRule="auto"/>
              <w:jc w:val="center"/>
              <w:rPr>
                <w:rFonts w:hAnsi="宋体" w:cs="宋体"/>
                <w:b/>
                <w:bCs/>
                <w:kern w:val="0"/>
                <w:sz w:val="24"/>
                <w:szCs w:val="24"/>
              </w:rPr>
            </w:pPr>
            <w:r>
              <w:rPr>
                <w:rFonts w:hint="eastAsia" w:hAnsi="宋体" w:cs="宋体"/>
                <w:kern w:val="0"/>
                <w:sz w:val="24"/>
                <w:szCs w:val="24"/>
              </w:rPr>
              <w:t>11</w:t>
            </w:r>
          </w:p>
        </w:tc>
        <w:tc>
          <w:tcPr>
            <w:tcW w:w="8546" w:type="dxa"/>
            <w:vAlign w:val="center"/>
          </w:tcPr>
          <w:p w14:paraId="743FE7C3">
            <w:pPr>
              <w:pStyle w:val="7"/>
              <w:spacing w:line="360" w:lineRule="auto"/>
              <w:rPr>
                <w:rFonts w:hAnsi="宋体" w:cs="宋体"/>
                <w:b/>
                <w:kern w:val="0"/>
                <w:sz w:val="24"/>
                <w:szCs w:val="24"/>
              </w:rPr>
            </w:pPr>
            <w:r>
              <w:rPr>
                <w:rFonts w:hint="eastAsia" w:hAnsi="宋体" w:cs="宋体"/>
                <w:b/>
                <w:kern w:val="0"/>
                <w:sz w:val="24"/>
                <w:szCs w:val="24"/>
              </w:rPr>
              <w:t>质量保证：</w:t>
            </w:r>
          </w:p>
          <w:p w14:paraId="6AD78CF5">
            <w:pPr>
              <w:tabs>
                <w:tab w:val="left" w:pos="480"/>
              </w:tabs>
              <w:spacing w:line="360" w:lineRule="auto"/>
              <w:ind w:firstLine="470" w:firstLineChars="196"/>
              <w:rPr>
                <w:rFonts w:hAnsi="宋体" w:cs="宋体"/>
                <w:szCs w:val="24"/>
              </w:rPr>
            </w:pPr>
            <w:r>
              <w:rPr>
                <w:rFonts w:hint="eastAsia" w:hAnsi="宋体" w:cs="宋体"/>
                <w:szCs w:val="24"/>
              </w:rPr>
              <w:t>乙方所供货物必须执行下列条款：</w:t>
            </w:r>
          </w:p>
          <w:p w14:paraId="21342C1C">
            <w:pPr>
              <w:tabs>
                <w:tab w:val="left" w:pos="480"/>
              </w:tabs>
              <w:spacing w:line="360" w:lineRule="auto"/>
              <w:ind w:firstLine="480" w:firstLineChars="200"/>
              <w:rPr>
                <w:rFonts w:hAnsi="宋体" w:cs="宋体"/>
                <w:szCs w:val="24"/>
              </w:rPr>
            </w:pPr>
            <w:r>
              <w:rPr>
                <w:rFonts w:hint="eastAsia" w:hAnsi="宋体" w:cs="宋体"/>
                <w:szCs w:val="24"/>
              </w:rPr>
              <w:t>（一）货物到达甲方指定地点后，甲方根据合同要求，进行外观验收，确认产地、规格、型号和数量。产品</w:t>
            </w:r>
            <w:r>
              <w:rPr>
                <w:rFonts w:hint="eastAsia" w:hAnsi="宋体" w:cs="宋体"/>
                <w:bCs/>
                <w:szCs w:val="24"/>
              </w:rPr>
              <w:t>性能及质量符合招标文件要求</w:t>
            </w:r>
            <w:r>
              <w:rPr>
                <w:rFonts w:hint="eastAsia" w:hAnsi="宋体" w:cs="宋体"/>
                <w:b/>
                <w:bCs/>
                <w:szCs w:val="24"/>
              </w:rPr>
              <w:t>。</w:t>
            </w:r>
            <w:r>
              <w:rPr>
                <w:rFonts w:hint="eastAsia" w:hAnsi="宋体" w:cs="宋体"/>
                <w:bCs/>
                <w:szCs w:val="24"/>
              </w:rPr>
              <w:t>进口货物需加报海关清关证明（包括但不限于进口货物报关单）。</w:t>
            </w:r>
          </w:p>
          <w:p w14:paraId="6FF2CFFA">
            <w:pPr>
              <w:tabs>
                <w:tab w:val="left" w:pos="480"/>
              </w:tabs>
              <w:spacing w:line="360" w:lineRule="auto"/>
              <w:ind w:firstLine="480" w:firstLineChars="200"/>
              <w:rPr>
                <w:rFonts w:hAnsi="宋体" w:cs="宋体"/>
                <w:szCs w:val="24"/>
              </w:rPr>
            </w:pPr>
            <w:r>
              <w:rPr>
                <w:rFonts w:hint="eastAsia" w:hAnsi="宋体" w:cs="宋体"/>
                <w:szCs w:val="24"/>
              </w:rPr>
              <w:t>（二）保证技术指标先进、质量性能可靠、进货渠道正常，配置合理，全面满足采购要求。</w:t>
            </w:r>
          </w:p>
          <w:p w14:paraId="7B5E0388">
            <w:pPr>
              <w:tabs>
                <w:tab w:val="left" w:pos="480"/>
              </w:tabs>
              <w:spacing w:line="360" w:lineRule="auto"/>
              <w:ind w:firstLine="480" w:firstLineChars="200"/>
              <w:rPr>
                <w:rFonts w:hAnsi="宋体" w:cs="宋体"/>
                <w:szCs w:val="24"/>
              </w:rPr>
            </w:pPr>
            <w:r>
              <w:rPr>
                <w:rFonts w:hint="eastAsia" w:hAnsi="宋体" w:cs="宋体"/>
                <w:szCs w:val="24"/>
              </w:rPr>
              <w:t>（三）符合国家有关规范要求，确保达到最佳运行状态。</w:t>
            </w:r>
          </w:p>
          <w:p w14:paraId="7647CFCB">
            <w:pPr>
              <w:tabs>
                <w:tab w:val="left" w:pos="480"/>
              </w:tabs>
              <w:spacing w:line="360" w:lineRule="auto"/>
              <w:ind w:firstLine="480" w:firstLineChars="200"/>
              <w:rPr>
                <w:rFonts w:hAnsi="宋体" w:cs="宋体"/>
                <w:szCs w:val="24"/>
              </w:rPr>
            </w:pPr>
            <w:r>
              <w:rPr>
                <w:rFonts w:hint="eastAsia" w:hAnsi="宋体" w:cs="宋体"/>
                <w:szCs w:val="24"/>
              </w:rPr>
              <w:t>（四）具有良好的外观，适合安装场所的使用。</w:t>
            </w:r>
          </w:p>
          <w:p w14:paraId="2ACA9750">
            <w:pPr>
              <w:tabs>
                <w:tab w:val="left" w:pos="480"/>
              </w:tabs>
              <w:spacing w:line="360" w:lineRule="auto"/>
              <w:ind w:firstLine="480" w:firstLineChars="200"/>
              <w:rPr>
                <w:rFonts w:hAnsi="宋体" w:cs="宋体"/>
                <w:szCs w:val="24"/>
              </w:rPr>
            </w:pPr>
            <w:r>
              <w:rPr>
                <w:rFonts w:hint="eastAsia" w:hAnsi="宋体" w:cs="宋体"/>
                <w:szCs w:val="24"/>
              </w:rPr>
              <w:t>（五）自安装、调试正常运行并验收合格之日起：</w:t>
            </w:r>
          </w:p>
          <w:p w14:paraId="6A91C980">
            <w:pPr>
              <w:tabs>
                <w:tab w:val="left" w:pos="480"/>
              </w:tabs>
              <w:spacing w:line="360" w:lineRule="auto"/>
              <w:ind w:firstLine="480" w:firstLineChars="200"/>
              <w:rPr>
                <w:rFonts w:hAnsi="宋体" w:cs="宋体"/>
                <w:szCs w:val="24"/>
              </w:rPr>
            </w:pPr>
            <w:r>
              <w:rPr>
                <w:rFonts w:hint="eastAsia" w:hAnsi="宋体" w:cs="宋体"/>
                <w:szCs w:val="24"/>
              </w:rPr>
              <w:t>自验收合格之日起提供</w:t>
            </w:r>
            <w:r>
              <w:rPr>
                <w:rFonts w:hint="eastAsia" w:hAnsi="宋体" w:cs="宋体"/>
                <w:szCs w:val="24"/>
                <w:u w:val="single"/>
              </w:rPr>
              <w:t xml:space="preserve"> 2 </w:t>
            </w:r>
            <w:r>
              <w:rPr>
                <w:rFonts w:hint="eastAsia" w:hAnsi="宋体" w:cs="宋体"/>
                <w:szCs w:val="24"/>
              </w:rPr>
              <w:t>年免费质保服务（主要设备须原厂质保），免费保修期内，同一主要部件出现质量问题经过两次维修后仍无法正常使用，可以更换同型号、同规格的产品，如设备出现故障,接到使用客户维修电话，</w:t>
            </w:r>
            <w:r>
              <w:rPr>
                <w:rFonts w:hint="eastAsia" w:hAnsi="宋体" w:cs="宋体"/>
                <w:szCs w:val="24"/>
                <w:u w:val="single"/>
              </w:rPr>
              <w:t xml:space="preserve"> 2 </w:t>
            </w:r>
            <w:r>
              <w:rPr>
                <w:rFonts w:hint="eastAsia" w:hAnsi="宋体" w:cs="宋体"/>
                <w:szCs w:val="24"/>
              </w:rPr>
              <w:t>小时响应，</w:t>
            </w:r>
            <w:r>
              <w:rPr>
                <w:rFonts w:hint="eastAsia" w:hAnsi="宋体" w:cs="宋体"/>
                <w:szCs w:val="24"/>
                <w:u w:val="single"/>
              </w:rPr>
              <w:t xml:space="preserve"> 24 </w:t>
            </w:r>
            <w:r>
              <w:rPr>
                <w:rFonts w:hint="eastAsia" w:hAnsi="宋体" w:cs="宋体"/>
                <w:szCs w:val="24"/>
              </w:rPr>
              <w:t>小时内工程师到位，对问题较大短期（24小时）内暂不能解决的，为不影响甲方正常工作，乙方需免费提供替代产品，确保正常运行</w:t>
            </w:r>
            <w:r>
              <w:rPr>
                <w:rFonts w:hint="eastAsia" w:hAnsi="宋体" w:cs="宋体"/>
                <w:szCs w:val="24"/>
                <w:lang w:val="de-DE"/>
              </w:rPr>
              <w:t>；</w:t>
            </w:r>
          </w:p>
          <w:p w14:paraId="49168649">
            <w:pPr>
              <w:tabs>
                <w:tab w:val="left" w:pos="480"/>
              </w:tabs>
              <w:spacing w:line="360" w:lineRule="auto"/>
              <w:ind w:firstLine="480" w:firstLineChars="200"/>
              <w:rPr>
                <w:rFonts w:hAnsi="宋体" w:cs="宋体"/>
                <w:szCs w:val="24"/>
              </w:rPr>
            </w:pPr>
            <w:r>
              <w:rPr>
                <w:rFonts w:hint="eastAsia" w:hAnsi="宋体" w:cs="宋体"/>
                <w:szCs w:val="24"/>
              </w:rPr>
              <w:t>（六）设备到位后，工程师应立即进行安装、调试，同时对操作人员进行严格的规范化培训。</w:t>
            </w:r>
          </w:p>
          <w:p w14:paraId="1B641BBD">
            <w:pPr>
              <w:tabs>
                <w:tab w:val="left" w:pos="480"/>
              </w:tabs>
              <w:spacing w:line="360" w:lineRule="auto"/>
              <w:ind w:firstLine="480" w:firstLineChars="200"/>
              <w:rPr>
                <w:rFonts w:hAnsi="宋体" w:cs="宋体"/>
                <w:szCs w:val="24"/>
              </w:rPr>
            </w:pPr>
            <w:r>
              <w:rPr>
                <w:rFonts w:hint="eastAsia" w:hAnsi="宋体" w:cs="宋体"/>
                <w:szCs w:val="24"/>
                <w:lang w:val="de-DE"/>
              </w:rPr>
              <w:t>（</w:t>
            </w:r>
            <w:r>
              <w:rPr>
                <w:rFonts w:hint="eastAsia" w:hAnsi="宋体" w:cs="宋体"/>
                <w:szCs w:val="24"/>
              </w:rPr>
              <w:t>七</w:t>
            </w:r>
            <w:r>
              <w:rPr>
                <w:rFonts w:hint="eastAsia" w:hAnsi="宋体" w:cs="宋体"/>
                <w:szCs w:val="24"/>
                <w:lang w:val="de-DE"/>
              </w:rPr>
              <w:t>）技术文件：提供配套的设备清单。</w:t>
            </w:r>
          </w:p>
        </w:tc>
      </w:tr>
      <w:tr w14:paraId="258E25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865" w:type="dxa"/>
            <w:vAlign w:val="center"/>
          </w:tcPr>
          <w:p w14:paraId="2D6D586E">
            <w:pPr>
              <w:pStyle w:val="7"/>
              <w:spacing w:line="360" w:lineRule="auto"/>
              <w:jc w:val="center"/>
              <w:rPr>
                <w:rFonts w:hAnsi="宋体" w:cs="宋体"/>
                <w:kern w:val="0"/>
                <w:sz w:val="24"/>
                <w:szCs w:val="24"/>
              </w:rPr>
            </w:pPr>
            <w:r>
              <w:rPr>
                <w:rFonts w:hint="eastAsia" w:hAnsi="宋体" w:cs="宋体"/>
                <w:kern w:val="0"/>
                <w:sz w:val="24"/>
                <w:szCs w:val="24"/>
              </w:rPr>
              <w:t>12</w:t>
            </w:r>
          </w:p>
        </w:tc>
        <w:tc>
          <w:tcPr>
            <w:tcW w:w="8546" w:type="dxa"/>
            <w:vAlign w:val="center"/>
          </w:tcPr>
          <w:p w14:paraId="2BC9BBBB">
            <w:pPr>
              <w:spacing w:line="360" w:lineRule="auto"/>
              <w:ind w:firstLine="480" w:firstLineChars="200"/>
              <w:rPr>
                <w:rFonts w:hAnsi="宋体" w:cs="宋体"/>
                <w:szCs w:val="24"/>
              </w:rPr>
            </w:pPr>
            <w:r>
              <w:rPr>
                <w:rFonts w:hint="eastAsia" w:hAnsi="宋体" w:cs="宋体"/>
                <w:szCs w:val="24"/>
              </w:rPr>
              <w:t>由采购人和投标人共同对项目进行整体验收。其内容包括所有产品清单的供货、使用等是否达到验收规范“合格”标准、是否按照采购人要求按时完成。</w:t>
            </w:r>
          </w:p>
          <w:p w14:paraId="18706984">
            <w:pPr>
              <w:spacing w:line="520" w:lineRule="exact"/>
              <w:ind w:firstLine="480" w:firstLineChars="200"/>
              <w:rPr>
                <w:rFonts w:hAnsi="宋体" w:cs="宋体"/>
                <w:szCs w:val="24"/>
              </w:rPr>
            </w:pPr>
            <w:r>
              <w:rPr>
                <w:rFonts w:hint="eastAsia" w:hAnsi="宋体" w:cs="宋体"/>
                <w:szCs w:val="24"/>
              </w:rPr>
              <w:t>1.所验各项内容最终验收达不到招标文件要求和投标文件承诺的，或在后续使用中发现采购人不能容忍的缺陷等，将视为验收不合格，投标人应在采购人要求的时间内无条件整改及恢复。</w:t>
            </w:r>
          </w:p>
          <w:p w14:paraId="4E909318">
            <w:pPr>
              <w:spacing w:line="520" w:lineRule="exact"/>
              <w:ind w:firstLine="480" w:firstLineChars="200"/>
              <w:rPr>
                <w:rFonts w:hAnsi="宋体" w:cs="宋体"/>
                <w:szCs w:val="24"/>
              </w:rPr>
            </w:pPr>
            <w:r>
              <w:rPr>
                <w:rFonts w:hint="eastAsia" w:hAnsi="宋体" w:cs="宋体"/>
                <w:szCs w:val="24"/>
              </w:rPr>
              <w:t>2.若发现投标人有弄虚作假的，在招标阶段故意或随意夸大技术能力、服务质量的，采购人有权解除合同，并且要求投标人赔偿相关损失。</w:t>
            </w:r>
          </w:p>
          <w:p w14:paraId="70A2A364">
            <w:pPr>
              <w:spacing w:line="520" w:lineRule="exact"/>
              <w:ind w:firstLine="480" w:firstLineChars="200"/>
              <w:rPr>
                <w:rFonts w:hAnsi="宋体" w:cs="宋体"/>
                <w:szCs w:val="24"/>
              </w:rPr>
            </w:pPr>
            <w:r>
              <w:rPr>
                <w:rFonts w:hint="eastAsia" w:hAnsi="宋体" w:cs="宋体"/>
                <w:szCs w:val="24"/>
              </w:rPr>
              <w:t>3.验收标准：按招标文件、投标文件及澄清函等技术指标进行验收。各项指标均应符合验收标准及要求。</w:t>
            </w:r>
          </w:p>
          <w:p w14:paraId="2A4BAAFA">
            <w:pPr>
              <w:spacing w:line="360" w:lineRule="auto"/>
              <w:ind w:firstLine="480" w:firstLineChars="200"/>
              <w:rPr>
                <w:rFonts w:hAnsi="宋体" w:cs="宋体"/>
                <w:szCs w:val="24"/>
              </w:rPr>
            </w:pPr>
            <w:r>
              <w:rPr>
                <w:rFonts w:hint="eastAsia" w:hAnsi="宋体" w:cs="宋体"/>
                <w:szCs w:val="24"/>
              </w:rPr>
              <w:t>4.验收合格后，填写验收单，双方签字生效。</w:t>
            </w:r>
          </w:p>
          <w:p w14:paraId="5BCB2A1E">
            <w:pPr>
              <w:spacing w:line="360" w:lineRule="auto"/>
              <w:ind w:firstLine="480" w:firstLineChars="200"/>
              <w:rPr>
                <w:szCs w:val="24"/>
              </w:rPr>
            </w:pPr>
            <w:r>
              <w:rPr>
                <w:rFonts w:hint="eastAsia" w:hAnsi="宋体" w:cs="宋体"/>
                <w:szCs w:val="24"/>
              </w:rPr>
              <w:t>5.验收依据：</w:t>
            </w:r>
          </w:p>
          <w:p w14:paraId="2CCCE03E">
            <w:pPr>
              <w:numPr>
                <w:ilvl w:val="0"/>
                <w:numId w:val="3"/>
              </w:numPr>
              <w:tabs>
                <w:tab w:val="left" w:pos="498"/>
                <w:tab w:val="clear" w:pos="840"/>
              </w:tabs>
              <w:spacing w:line="360" w:lineRule="auto"/>
              <w:ind w:hanging="625"/>
              <w:rPr>
                <w:rFonts w:hAnsi="宋体" w:cs="宋体"/>
                <w:szCs w:val="24"/>
              </w:rPr>
            </w:pPr>
            <w:r>
              <w:rPr>
                <w:rFonts w:hint="eastAsia" w:hAnsi="宋体" w:cs="宋体"/>
                <w:szCs w:val="24"/>
              </w:rPr>
              <w:t>合同文本；</w:t>
            </w:r>
          </w:p>
          <w:p w14:paraId="5EC2EDC4">
            <w:pPr>
              <w:numPr>
                <w:ilvl w:val="0"/>
                <w:numId w:val="3"/>
              </w:numPr>
              <w:tabs>
                <w:tab w:val="left" w:pos="498"/>
                <w:tab w:val="clear" w:pos="840"/>
              </w:tabs>
              <w:spacing w:line="360" w:lineRule="auto"/>
              <w:ind w:hanging="625"/>
              <w:rPr>
                <w:rFonts w:hAnsi="宋体" w:cs="宋体"/>
                <w:szCs w:val="24"/>
              </w:rPr>
            </w:pPr>
            <w:r>
              <w:rPr>
                <w:rFonts w:hint="eastAsia" w:hAnsi="宋体" w:cs="宋体"/>
                <w:szCs w:val="24"/>
              </w:rPr>
              <w:t>招标文件及澄清函、投标文件；</w:t>
            </w:r>
          </w:p>
          <w:p w14:paraId="25B9A030">
            <w:pPr>
              <w:numPr>
                <w:ilvl w:val="0"/>
                <w:numId w:val="3"/>
              </w:numPr>
              <w:tabs>
                <w:tab w:val="left" w:pos="498"/>
                <w:tab w:val="clear" w:pos="840"/>
              </w:tabs>
              <w:spacing w:line="360" w:lineRule="auto"/>
              <w:ind w:hanging="625"/>
              <w:rPr>
                <w:rFonts w:hAnsi="宋体" w:cs="宋体"/>
                <w:szCs w:val="24"/>
              </w:rPr>
            </w:pPr>
            <w:r>
              <w:rPr>
                <w:rFonts w:hint="eastAsia" w:hAnsi="宋体" w:cs="宋体"/>
                <w:szCs w:val="24"/>
              </w:rPr>
              <w:t>国家和行业制定的相应的标准和规范；</w:t>
            </w:r>
          </w:p>
          <w:p w14:paraId="4E9B9133">
            <w:pPr>
              <w:widowControl/>
              <w:spacing w:line="560" w:lineRule="exact"/>
              <w:ind w:firstLine="480" w:firstLineChars="200"/>
              <w:rPr>
                <w:rFonts w:hAnsi="宋体" w:cs="宋体"/>
                <w:szCs w:val="24"/>
              </w:rPr>
            </w:pPr>
            <w:r>
              <w:rPr>
                <w:rFonts w:hint="eastAsia" w:hAnsi="宋体" w:cs="宋体"/>
                <w:szCs w:val="24"/>
              </w:rPr>
              <w:t>验收清单</w:t>
            </w:r>
            <w:r>
              <w:rPr>
                <w:rFonts w:hint="eastAsia"/>
              </w:rPr>
              <w:t>。</w:t>
            </w:r>
          </w:p>
        </w:tc>
      </w:tr>
      <w:tr w14:paraId="486DA0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865" w:type="dxa"/>
            <w:vAlign w:val="center"/>
          </w:tcPr>
          <w:p w14:paraId="1F5402B5">
            <w:pPr>
              <w:pStyle w:val="7"/>
              <w:spacing w:line="360" w:lineRule="auto"/>
              <w:jc w:val="center"/>
              <w:rPr>
                <w:rFonts w:hAnsi="宋体" w:cs="宋体"/>
                <w:kern w:val="0"/>
                <w:sz w:val="24"/>
                <w:szCs w:val="24"/>
              </w:rPr>
            </w:pPr>
            <w:r>
              <w:rPr>
                <w:rFonts w:hint="eastAsia" w:hAnsi="宋体" w:cs="宋体"/>
                <w:kern w:val="0"/>
                <w:sz w:val="24"/>
                <w:szCs w:val="24"/>
              </w:rPr>
              <w:t>13</w:t>
            </w:r>
          </w:p>
        </w:tc>
        <w:tc>
          <w:tcPr>
            <w:tcW w:w="8546" w:type="dxa"/>
            <w:vAlign w:val="center"/>
          </w:tcPr>
          <w:p w14:paraId="599BA8FC">
            <w:pPr>
              <w:spacing w:line="360" w:lineRule="auto"/>
            </w:pPr>
            <w:r>
              <w:rPr>
                <w:rFonts w:hint="eastAsia"/>
              </w:rPr>
              <w:t>售后服务：</w:t>
            </w:r>
          </w:p>
          <w:p w14:paraId="6FCE58C4">
            <w:pPr>
              <w:spacing w:line="360" w:lineRule="auto"/>
              <w:ind w:firstLine="480" w:firstLineChars="200"/>
            </w:pPr>
            <w:r>
              <w:rPr>
                <w:rFonts w:hint="eastAsia"/>
              </w:rPr>
              <w:t>1.供应商应提供可承担维修职能的公司、全资分公司或办事处，并驻守多名维护技术人员，并提供地点、联系人（常驻工程师）及联系电话（服务热线），随时解答各种疑问。</w:t>
            </w:r>
          </w:p>
          <w:p w14:paraId="68D99DF6">
            <w:pPr>
              <w:spacing w:line="360" w:lineRule="auto"/>
              <w:ind w:firstLine="480" w:firstLineChars="200"/>
            </w:pPr>
            <w:r>
              <w:rPr>
                <w:rFonts w:hint="eastAsia"/>
              </w:rPr>
              <w:t>2.服务方式:现场服务，质保期内维修费用含在合同总价中，提供终身维修（护）。在质量保证期内发生重大故障，维修工程师抵达现场时间≤8小时，3个工作日内无法恢复的故障提供免费备机服务。产品实行“三包”，并承担由此产生的包装、运输等的一切费用。</w:t>
            </w:r>
          </w:p>
          <w:p w14:paraId="6E626C1A">
            <w:pPr>
              <w:spacing w:line="360" w:lineRule="auto"/>
              <w:ind w:firstLine="480" w:firstLineChars="200"/>
            </w:pPr>
            <w:r>
              <w:rPr>
                <w:rFonts w:hint="eastAsia"/>
              </w:rPr>
              <w:t>3.每年至少2次免费上门维护，回访。</w:t>
            </w:r>
          </w:p>
          <w:p w14:paraId="71562292">
            <w:pPr>
              <w:spacing w:line="360" w:lineRule="auto"/>
              <w:ind w:firstLine="480" w:firstLineChars="200"/>
            </w:pPr>
            <w:r>
              <w:rPr>
                <w:rFonts w:hint="eastAsia"/>
              </w:rPr>
              <w:t>4.对于存在质量问题或者短少的产品，供应商应在接到采购人的通知2个日历日内负责修复，调换、重新制作或补齐。</w:t>
            </w:r>
          </w:p>
          <w:p w14:paraId="745080B6">
            <w:pPr>
              <w:spacing w:line="360" w:lineRule="auto"/>
              <w:ind w:firstLine="480" w:firstLineChars="200"/>
            </w:pPr>
            <w:r>
              <w:rPr>
                <w:rFonts w:hint="eastAsia"/>
              </w:rPr>
              <w:t>5.在最终验收后的质量保证期内，供应商应对设计、工艺或材料等的缺陷而产生的故障负责（负责解决并承担全部费用）。质保期满后如出现此类问题亦应负责。</w:t>
            </w:r>
          </w:p>
          <w:p w14:paraId="58B2B464">
            <w:pPr>
              <w:spacing w:line="360" w:lineRule="auto"/>
              <w:ind w:firstLine="480" w:firstLineChars="200"/>
            </w:pPr>
            <w:r>
              <w:rPr>
                <w:rFonts w:hint="eastAsia"/>
              </w:rPr>
              <w:t>6.供应商及所投产品的生产厂商应承诺质保期、维保期的售后服务条款（包括具体的服务内容、故障响应时间、响应方式、维修措施及时限、维护响应计划等方面），未提供任何质保期、维保期的售后服务条款或提供的内容不实的以不满足招标文件要求对待。</w:t>
            </w:r>
          </w:p>
          <w:p w14:paraId="45496696">
            <w:pPr>
              <w:spacing w:line="360" w:lineRule="auto"/>
              <w:ind w:firstLine="480" w:firstLineChars="200"/>
            </w:pPr>
            <w:r>
              <w:rPr>
                <w:rFonts w:hint="eastAsia"/>
              </w:rPr>
              <w:t>7.对于未按约定提供质保服务的供应商或违约的供应商，采购人有权拒绝其参加采购人单位的政府采购项目。且采购人有权委托第三方进行维修，所产生的费用由供应商承担，采购人有权从质保金中直接扣除，不足部分应由供应商支付。</w:t>
            </w:r>
          </w:p>
          <w:p w14:paraId="0801F45A">
            <w:pPr>
              <w:spacing w:line="360" w:lineRule="auto"/>
              <w:ind w:firstLine="480" w:firstLineChars="200"/>
            </w:pPr>
            <w:r>
              <w:rPr>
                <w:rFonts w:hint="eastAsia"/>
              </w:rPr>
              <w:t>8.维修响应速度：接到通知后1小时内做出维修方案决定；如2小时内无法通过电话解决问题,维修人员必须在接到故障报告后24小时内到达学校，不管是否节假日；</w:t>
            </w:r>
          </w:p>
          <w:p w14:paraId="4ABA491B">
            <w:pPr>
              <w:widowControl/>
              <w:spacing w:line="560" w:lineRule="exact"/>
              <w:ind w:firstLine="480" w:firstLineChars="200"/>
            </w:pPr>
            <w:r>
              <w:rPr>
                <w:rFonts w:hint="eastAsia"/>
              </w:rPr>
              <w:t>9.提供现场技术培训，保证使用人员正常操作设备的各种功能；</w:t>
            </w:r>
          </w:p>
        </w:tc>
      </w:tr>
      <w:tr w14:paraId="444ECC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865" w:type="dxa"/>
            <w:vAlign w:val="center"/>
          </w:tcPr>
          <w:p w14:paraId="059E7D17">
            <w:pPr>
              <w:pStyle w:val="7"/>
              <w:spacing w:line="360" w:lineRule="auto"/>
              <w:jc w:val="center"/>
              <w:rPr>
                <w:rFonts w:hAnsi="宋体" w:cs="宋体"/>
                <w:kern w:val="0"/>
                <w:sz w:val="24"/>
                <w:szCs w:val="24"/>
              </w:rPr>
            </w:pPr>
            <w:r>
              <w:rPr>
                <w:rFonts w:hint="eastAsia" w:hAnsi="宋体" w:cs="宋体"/>
                <w:kern w:val="0"/>
                <w:sz w:val="24"/>
                <w:szCs w:val="24"/>
              </w:rPr>
              <w:t>14</w:t>
            </w:r>
          </w:p>
        </w:tc>
        <w:tc>
          <w:tcPr>
            <w:tcW w:w="8546" w:type="dxa"/>
            <w:vAlign w:val="center"/>
          </w:tcPr>
          <w:p w14:paraId="5950A477">
            <w:pPr>
              <w:spacing w:line="360" w:lineRule="auto"/>
              <w:rPr>
                <w:rFonts w:hAnsi="宋体" w:cs="宋体"/>
                <w:b/>
                <w:szCs w:val="24"/>
              </w:rPr>
            </w:pPr>
            <w:r>
              <w:rPr>
                <w:rFonts w:hint="eastAsia" w:hAnsi="宋体" w:cs="宋体"/>
                <w:b/>
                <w:szCs w:val="24"/>
              </w:rPr>
              <w:t>知识产权、专利权：</w:t>
            </w:r>
          </w:p>
          <w:p w14:paraId="4BD2830A">
            <w:pPr>
              <w:widowControl/>
              <w:spacing w:line="560" w:lineRule="exact"/>
              <w:ind w:firstLine="480" w:firstLineChars="200"/>
            </w:pPr>
            <w:r>
              <w:rPr>
                <w:rFonts w:hint="eastAsia" w:hAnsi="宋体" w:cs="宋体"/>
                <w:szCs w:val="24"/>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tc>
      </w:tr>
      <w:tr w14:paraId="48B301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865" w:type="dxa"/>
            <w:vAlign w:val="center"/>
          </w:tcPr>
          <w:p w14:paraId="65D5E1F2">
            <w:pPr>
              <w:pStyle w:val="7"/>
              <w:spacing w:line="360" w:lineRule="auto"/>
              <w:jc w:val="center"/>
              <w:rPr>
                <w:rFonts w:hAnsi="宋体" w:cs="宋体"/>
                <w:kern w:val="0"/>
                <w:sz w:val="24"/>
                <w:szCs w:val="24"/>
              </w:rPr>
            </w:pPr>
            <w:r>
              <w:rPr>
                <w:rFonts w:hint="eastAsia" w:hAnsi="宋体" w:cs="宋体"/>
                <w:kern w:val="0"/>
                <w:sz w:val="24"/>
                <w:szCs w:val="24"/>
              </w:rPr>
              <w:t>15</w:t>
            </w:r>
          </w:p>
        </w:tc>
        <w:tc>
          <w:tcPr>
            <w:tcW w:w="8546" w:type="dxa"/>
            <w:vAlign w:val="center"/>
          </w:tcPr>
          <w:p w14:paraId="699B9611">
            <w:pPr>
              <w:spacing w:line="360" w:lineRule="auto"/>
              <w:rPr>
                <w:rFonts w:hAnsi="宋体" w:cs="宋体"/>
                <w:b/>
                <w:szCs w:val="24"/>
              </w:rPr>
            </w:pPr>
            <w:r>
              <w:rPr>
                <w:rFonts w:hint="eastAsia" w:hAnsi="宋体" w:cs="宋体"/>
                <w:b/>
                <w:szCs w:val="24"/>
              </w:rPr>
              <w:t>违约责任：</w:t>
            </w:r>
          </w:p>
          <w:p w14:paraId="3C791514">
            <w:pPr>
              <w:spacing w:line="360" w:lineRule="auto"/>
              <w:ind w:firstLine="480" w:firstLineChars="200"/>
              <w:rPr>
                <w:rFonts w:hAnsi="宋体" w:cs="宋体"/>
                <w:szCs w:val="24"/>
              </w:rPr>
            </w:pPr>
            <w:r>
              <w:rPr>
                <w:rFonts w:hint="eastAsia" w:hAnsi="宋体" w:cs="宋体"/>
                <w:szCs w:val="24"/>
              </w:rPr>
              <w:t>1、按《民法典》中的相关条款执行。</w:t>
            </w:r>
          </w:p>
          <w:p w14:paraId="5863BDDE">
            <w:pPr>
              <w:spacing w:line="360" w:lineRule="auto"/>
              <w:ind w:firstLine="480" w:firstLineChars="200"/>
              <w:rPr>
                <w:rFonts w:hint="eastAsia" w:hAnsi="宋体" w:cs="宋体"/>
                <w:szCs w:val="24"/>
                <w:lang w:eastAsia="zh-CN"/>
              </w:rPr>
            </w:pPr>
            <w:r>
              <w:rPr>
                <w:rFonts w:hint="eastAsia" w:hAnsi="宋体" w:cs="宋体"/>
                <w:szCs w:val="24"/>
                <w:lang w:val="en-US" w:eastAsia="zh-CN"/>
              </w:rPr>
              <w:t>2</w:t>
            </w:r>
            <w:r>
              <w:rPr>
                <w:rFonts w:hint="eastAsia" w:hAnsi="宋体" w:cs="宋体"/>
                <w:szCs w:val="24"/>
              </w:rPr>
              <w:t>、</w:t>
            </w:r>
            <w:r>
              <w:rPr>
                <w:rFonts w:hint="eastAsia" w:hAnsi="宋体" w:cs="宋体"/>
                <w:szCs w:val="24"/>
                <w:lang w:eastAsia="zh-CN"/>
              </w:rPr>
              <w:t>如乙方事先未征得甲方同意并得到甲方的谅解而单方面延迟交货，属于违约，应当承担违约及赔偿责任。</w:t>
            </w:r>
          </w:p>
          <w:p w14:paraId="73207F61">
            <w:pPr>
              <w:spacing w:line="360" w:lineRule="auto"/>
              <w:ind w:firstLine="480" w:firstLineChars="200"/>
              <w:rPr>
                <w:rFonts w:hint="eastAsia" w:hAnsi="宋体" w:cs="宋体"/>
                <w:szCs w:val="24"/>
                <w:lang w:eastAsia="zh-CN"/>
              </w:rPr>
            </w:pPr>
            <w:r>
              <w:rPr>
                <w:rFonts w:hint="eastAsia" w:hAnsi="宋体" w:cs="宋体"/>
                <w:szCs w:val="24"/>
                <w:lang w:val="en-US" w:eastAsia="zh-CN"/>
              </w:rPr>
              <w:t>3</w:t>
            </w:r>
            <w:r>
              <w:rPr>
                <w:rFonts w:hint="eastAsia" w:hAnsi="宋体" w:cs="宋体"/>
                <w:szCs w:val="24"/>
              </w:rPr>
              <w:t>、</w:t>
            </w:r>
            <w:r>
              <w:rPr>
                <w:rFonts w:hint="eastAsia" w:hAnsi="宋体" w:cs="宋体"/>
                <w:szCs w:val="24"/>
                <w:lang w:eastAsia="zh-CN"/>
              </w:rPr>
              <w:t>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天的赔偿费按迟交货物交货价或未提供服务的服务费用的百分之零点五（0.5%）计收，直至交货或提供服务为止。误期赔偿费的最高限额为合同价格的百分之五（5%），甲方享有单方解除合同的权利。</w:t>
            </w:r>
          </w:p>
          <w:p w14:paraId="29AB8A8B">
            <w:pPr>
              <w:spacing w:line="360" w:lineRule="auto"/>
              <w:ind w:firstLine="480" w:firstLineChars="200"/>
              <w:rPr>
                <w:rFonts w:hint="eastAsia" w:hAnsi="宋体" w:cs="宋体"/>
                <w:szCs w:val="24"/>
                <w:lang w:eastAsia="zh-CN"/>
              </w:rPr>
            </w:pPr>
            <w:r>
              <w:rPr>
                <w:rFonts w:hint="eastAsia" w:hAnsi="宋体" w:cs="宋体"/>
                <w:szCs w:val="24"/>
                <w:lang w:val="en-US" w:eastAsia="zh-CN"/>
              </w:rPr>
              <w:t>4</w:t>
            </w:r>
            <w:r>
              <w:rPr>
                <w:rFonts w:hint="eastAsia" w:hAnsi="宋体" w:cs="宋体"/>
                <w:szCs w:val="24"/>
              </w:rPr>
              <w:t>、</w:t>
            </w:r>
            <w:r>
              <w:rPr>
                <w:rFonts w:hint="eastAsia" w:hAnsi="宋体" w:cs="宋体"/>
                <w:szCs w:val="24"/>
                <w:lang w:eastAsia="zh-CN"/>
              </w:rPr>
              <w:t>违约终止合同：未按合同要求提供货物或质量不能满足技术要求，甲方会同监督机构有权终止合同，对乙方违约行为进行追究，同时按政府采购法的有关规定进行相应的处罚。</w:t>
            </w:r>
          </w:p>
          <w:p w14:paraId="71E84FE3">
            <w:pPr>
              <w:spacing w:line="360" w:lineRule="auto"/>
              <w:ind w:firstLine="480" w:firstLineChars="200"/>
              <w:rPr>
                <w:rFonts w:hint="eastAsia" w:hAnsi="宋体" w:cs="宋体"/>
                <w:szCs w:val="24"/>
              </w:rPr>
            </w:pPr>
            <w:r>
              <w:rPr>
                <w:rFonts w:hint="eastAsia" w:hAnsi="宋体" w:cs="宋体"/>
                <w:szCs w:val="24"/>
                <w:lang w:val="en-US" w:eastAsia="zh-CN"/>
              </w:rPr>
              <w:t>5</w:t>
            </w:r>
            <w:r>
              <w:rPr>
                <w:rFonts w:hint="eastAsia" w:hAnsi="宋体" w:cs="宋体"/>
                <w:szCs w:val="24"/>
              </w:rPr>
              <w:t>、</w:t>
            </w:r>
            <w:r>
              <w:rPr>
                <w:rFonts w:hint="eastAsia" w:hAnsi="宋体" w:cs="宋体"/>
                <w:szCs w:val="24"/>
                <w:lang w:eastAsia="zh-CN"/>
              </w:rPr>
              <w:t>乙方未按约定提供售后服务的， 甲方有权另行委托第三方进行维修、调试、更换等所支出的全部费用由乙方承担。</w:t>
            </w:r>
          </w:p>
          <w:p w14:paraId="2ECEBD5D">
            <w:pPr>
              <w:spacing w:line="360" w:lineRule="auto"/>
              <w:ind w:firstLine="480" w:firstLineChars="200"/>
              <w:rPr>
                <w:rFonts w:hAnsi="宋体" w:cs="宋体"/>
                <w:szCs w:val="24"/>
              </w:rPr>
            </w:pPr>
            <w:r>
              <w:rPr>
                <w:rFonts w:hint="eastAsia" w:hAnsi="宋体" w:cs="宋体"/>
                <w:szCs w:val="24"/>
                <w:lang w:val="en-US" w:eastAsia="zh-CN"/>
              </w:rPr>
              <w:t>注：</w:t>
            </w:r>
            <w:r>
              <w:rPr>
                <w:rFonts w:hint="eastAsia" w:hAnsi="宋体" w:cs="宋体"/>
                <w:szCs w:val="24"/>
              </w:rPr>
              <w:t>未按合同要求提供服务或服务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w:t>
            </w:r>
          </w:p>
        </w:tc>
      </w:tr>
      <w:tr w14:paraId="11B819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493" w:hRule="atLeast"/>
        </w:trPr>
        <w:tc>
          <w:tcPr>
            <w:tcW w:w="865" w:type="dxa"/>
            <w:vAlign w:val="center"/>
          </w:tcPr>
          <w:p w14:paraId="5EE9176F">
            <w:pPr>
              <w:pStyle w:val="7"/>
              <w:spacing w:line="360" w:lineRule="auto"/>
              <w:jc w:val="center"/>
              <w:rPr>
                <w:rFonts w:hAnsi="宋体" w:cs="宋体"/>
                <w:kern w:val="0"/>
                <w:sz w:val="24"/>
                <w:szCs w:val="24"/>
              </w:rPr>
            </w:pPr>
            <w:r>
              <w:rPr>
                <w:rFonts w:hint="eastAsia" w:hAnsi="宋体" w:cs="宋体"/>
                <w:kern w:val="0"/>
                <w:sz w:val="24"/>
                <w:szCs w:val="24"/>
              </w:rPr>
              <w:t>16</w:t>
            </w:r>
          </w:p>
        </w:tc>
        <w:tc>
          <w:tcPr>
            <w:tcW w:w="8546" w:type="dxa"/>
            <w:vAlign w:val="center"/>
          </w:tcPr>
          <w:p w14:paraId="71CBA6FC">
            <w:pPr>
              <w:spacing w:line="360" w:lineRule="auto"/>
              <w:rPr>
                <w:rFonts w:hAnsi="宋体" w:cs="宋体"/>
                <w:b/>
                <w:szCs w:val="24"/>
              </w:rPr>
            </w:pPr>
            <w:r>
              <w:rPr>
                <w:rFonts w:hint="eastAsia" w:hAnsi="宋体" w:cs="宋体"/>
                <w:b/>
                <w:szCs w:val="24"/>
              </w:rPr>
              <w:t>政府采购合同：</w:t>
            </w:r>
          </w:p>
          <w:p w14:paraId="0875096F">
            <w:pPr>
              <w:spacing w:line="360" w:lineRule="auto"/>
              <w:ind w:firstLine="480" w:firstLineChars="200"/>
              <w:rPr>
                <w:rFonts w:hAnsi="宋体" w:cs="宋体"/>
                <w:szCs w:val="24"/>
              </w:rPr>
            </w:pPr>
            <w:r>
              <w:rPr>
                <w:rFonts w:hint="eastAsia" w:hAnsi="宋体" w:cs="宋体"/>
                <w:szCs w:val="24"/>
              </w:rPr>
              <w:t>政府采购合同适用合同法。采购人和供应商之间的权利和义务，应当按照平等、自愿的原则以合同方式约定。</w:t>
            </w:r>
          </w:p>
          <w:p w14:paraId="55BAF4EC">
            <w:pPr>
              <w:spacing w:line="360" w:lineRule="auto"/>
              <w:ind w:firstLine="480" w:firstLineChars="200"/>
              <w:rPr>
                <w:rFonts w:hAnsi="宋体" w:cs="宋体"/>
                <w:szCs w:val="24"/>
              </w:rPr>
            </w:pPr>
            <w:r>
              <w:rPr>
                <w:rFonts w:hint="eastAsia" w:hAnsi="宋体" w:cs="宋体"/>
                <w:szCs w:val="24"/>
              </w:rPr>
              <w:t>采购人可以委托采购代理机构代表其与供应商签订政府采购合同。由采购代理机构以采购人名义签订合同的，应当提交采购人的授权委托书，作为合同附件。</w:t>
            </w:r>
          </w:p>
          <w:p w14:paraId="4D03C076">
            <w:pPr>
              <w:spacing w:line="360" w:lineRule="auto"/>
              <w:ind w:firstLine="480" w:firstLineChars="200"/>
              <w:rPr>
                <w:rFonts w:hAnsi="宋体" w:cs="宋体"/>
                <w:szCs w:val="24"/>
              </w:rPr>
            </w:pPr>
            <w:r>
              <w:rPr>
                <w:rFonts w:hint="eastAsia" w:hAnsi="宋体" w:cs="宋体"/>
                <w:szCs w:val="24"/>
              </w:rPr>
              <w:t>政府采购合同应当采用书面形式。</w:t>
            </w:r>
          </w:p>
          <w:p w14:paraId="580EA95B">
            <w:pPr>
              <w:spacing w:line="360" w:lineRule="auto"/>
              <w:ind w:firstLine="480" w:firstLineChars="200"/>
              <w:rPr>
                <w:rFonts w:hAnsi="宋体" w:cs="宋体"/>
                <w:szCs w:val="24"/>
              </w:rPr>
            </w:pPr>
            <w:r>
              <w:rPr>
                <w:rFonts w:hint="eastAsia" w:hAnsi="宋体" w:cs="宋体"/>
                <w:szCs w:val="24"/>
              </w:rPr>
              <w:t>国务院政府采购监督管理部门应当会同国务院有关部门，规定政府采购合同必须具备的条款。</w:t>
            </w:r>
          </w:p>
          <w:p w14:paraId="288DE66E">
            <w:pPr>
              <w:spacing w:line="360" w:lineRule="auto"/>
              <w:ind w:firstLine="480" w:firstLineChars="200"/>
              <w:rPr>
                <w:rFonts w:hAnsi="宋体" w:cs="宋体"/>
                <w:szCs w:val="24"/>
              </w:rPr>
            </w:pPr>
            <w:r>
              <w:rPr>
                <w:rFonts w:hint="eastAsia" w:hAnsi="宋体" w:cs="宋体"/>
                <w:szCs w:val="24"/>
              </w:rPr>
              <w:t>采购人与中标、成交供应商应当在中标、成交通知书发出之日起三十日内，按照采购文件确定的事项签订政府采购合同。</w:t>
            </w:r>
          </w:p>
          <w:p w14:paraId="65448481">
            <w:pPr>
              <w:spacing w:line="360" w:lineRule="auto"/>
              <w:ind w:firstLine="480" w:firstLineChars="200"/>
              <w:rPr>
                <w:rFonts w:hAnsi="宋体" w:cs="宋体"/>
                <w:szCs w:val="24"/>
              </w:rPr>
            </w:pPr>
            <w:r>
              <w:rPr>
                <w:rFonts w:hint="eastAsia" w:hAnsi="宋体" w:cs="宋体"/>
                <w:szCs w:val="24"/>
              </w:rPr>
              <w:t>中标、成交通知书对采购人和中标、成交供应商均具有法律效力。中标、成交通知书发出后，采购人改变中标、成交结果的，或者中标、成交供应商放弃中标、成交项目的，应当依法承担法律责任。</w:t>
            </w:r>
          </w:p>
          <w:p w14:paraId="1C5581D6">
            <w:pPr>
              <w:widowControl/>
              <w:spacing w:line="560" w:lineRule="exact"/>
              <w:ind w:firstLine="480" w:firstLineChars="200"/>
              <w:rPr>
                <w:rFonts w:hAnsi="宋体" w:cs="宋体"/>
                <w:szCs w:val="24"/>
              </w:rPr>
            </w:pPr>
            <w:r>
              <w:rPr>
                <w:rFonts w:hint="eastAsia" w:hAnsi="宋体" w:cs="宋体"/>
                <w:szCs w:val="24"/>
              </w:rPr>
              <w:t>政府采购项目的采购合同自签订之日起七个工作日内，采购人应当将合同副本报同级政府采购监督管理部门和有关部门备案。</w:t>
            </w:r>
          </w:p>
        </w:tc>
      </w:tr>
      <w:bookmarkEnd w:id="10"/>
      <w:bookmarkEnd w:id="11"/>
      <w:bookmarkEnd w:id="12"/>
      <w:bookmarkEnd w:id="13"/>
      <w:bookmarkEnd w:id="14"/>
    </w:tbl>
    <w:p w14:paraId="5A0F74A1">
      <w:pPr>
        <w:rPr>
          <w:rFonts w:hAnsi="宋体" w:cs="宋体"/>
          <w:b/>
          <w:sz w:val="36"/>
          <w:szCs w:val="36"/>
        </w:rPr>
      </w:pPr>
      <w:r>
        <w:rPr>
          <w:rFonts w:hint="eastAsia" w:hAnsi="宋体" w:cs="宋体"/>
          <w:b/>
          <w:sz w:val="36"/>
          <w:szCs w:val="36"/>
        </w:rPr>
        <w:br w:type="page"/>
      </w:r>
    </w:p>
    <w:p w14:paraId="3D60D54F">
      <w:pPr>
        <w:rPr>
          <w:rFonts w:ascii="黑体" w:eastAsia="黑体"/>
          <w:b/>
          <w:sz w:val="32"/>
          <w:szCs w:val="32"/>
        </w:rPr>
      </w:pPr>
      <w:r>
        <w:rPr>
          <w:rFonts w:hint="eastAsia" w:ascii="黑体" w:eastAsia="黑体"/>
          <w:b/>
          <w:sz w:val="32"/>
          <w:szCs w:val="32"/>
        </w:rPr>
        <w:t>政府采购项目</w:t>
      </w:r>
      <w:r>
        <w:rPr>
          <w:rFonts w:hint="eastAsia" w:hAnsi="宋体" w:cs="宋体"/>
          <w:b/>
          <w:bCs/>
          <w:sz w:val="28"/>
          <w:szCs w:val="28"/>
        </w:rPr>
        <w:t>（</w:t>
      </w:r>
      <w:r>
        <w:rPr>
          <w:rFonts w:hint="eastAsia" w:ascii="黑体" w:eastAsia="黑体"/>
          <w:b/>
          <w:sz w:val="32"/>
          <w:szCs w:val="32"/>
        </w:rPr>
        <w:t>仅供参考）</w:t>
      </w:r>
    </w:p>
    <w:p w14:paraId="35D8AC40">
      <w:pPr>
        <w:rPr>
          <w:rFonts w:ascii="黑体" w:eastAsia="黑体"/>
          <w:b/>
          <w:sz w:val="32"/>
          <w:szCs w:val="32"/>
        </w:rPr>
      </w:pPr>
      <w:r>
        <w:rPr>
          <w:rFonts w:hint="eastAsia" w:ascii="黑体" w:eastAsia="黑体"/>
          <w:b/>
          <w:sz w:val="32"/>
          <w:szCs w:val="32"/>
        </w:rPr>
        <w:t xml:space="preserve">          </w:t>
      </w:r>
    </w:p>
    <w:p w14:paraId="61371C24">
      <w:pPr>
        <w:jc w:val="center"/>
        <w:rPr>
          <w:rFonts w:ascii="黑体" w:eastAsia="黑体"/>
          <w:sz w:val="52"/>
          <w:szCs w:val="52"/>
        </w:rPr>
      </w:pPr>
    </w:p>
    <w:p w14:paraId="38FA3A76">
      <w:pPr>
        <w:jc w:val="center"/>
        <w:rPr>
          <w:rFonts w:ascii="黑体" w:eastAsia="黑体"/>
          <w:sz w:val="52"/>
          <w:szCs w:val="52"/>
        </w:rPr>
      </w:pPr>
    </w:p>
    <w:p w14:paraId="1A1ACF06">
      <w:pPr>
        <w:jc w:val="center"/>
        <w:rPr>
          <w:rFonts w:hAnsi="宋体"/>
          <w:b/>
          <w:snapToGrid w:val="0"/>
          <w:sz w:val="48"/>
          <w:szCs w:val="48"/>
          <w:u w:val="single"/>
        </w:rPr>
      </w:pPr>
      <w:r>
        <w:rPr>
          <w:rFonts w:hint="eastAsia" w:hAnsi="宋体"/>
          <w:b/>
          <w:snapToGrid w:val="0"/>
          <w:sz w:val="48"/>
          <w:szCs w:val="48"/>
          <w:u w:val="single"/>
        </w:rPr>
        <w:t>(项目名称)</w:t>
      </w:r>
    </w:p>
    <w:p w14:paraId="0BD35909">
      <w:pPr>
        <w:jc w:val="center"/>
        <w:rPr>
          <w:rFonts w:ascii="黑体" w:eastAsia="黑体"/>
          <w:b/>
          <w:sz w:val="72"/>
          <w:szCs w:val="72"/>
        </w:rPr>
      </w:pPr>
      <w:r>
        <w:rPr>
          <w:rFonts w:hint="eastAsia" w:ascii="黑体" w:eastAsia="黑体"/>
          <w:b/>
          <w:sz w:val="72"/>
          <w:szCs w:val="72"/>
        </w:rPr>
        <w:t>供 货 合 同</w:t>
      </w:r>
    </w:p>
    <w:p w14:paraId="5DE1F8D8">
      <w:pPr>
        <w:jc w:val="center"/>
        <w:rPr>
          <w:rFonts w:ascii="黑体" w:eastAsia="黑体"/>
          <w:sz w:val="30"/>
          <w:szCs w:val="30"/>
        </w:rPr>
      </w:pPr>
      <w:r>
        <w:rPr>
          <w:rFonts w:hint="eastAsia" w:ascii="黑体" w:eastAsia="黑体"/>
          <w:sz w:val="30"/>
          <w:szCs w:val="30"/>
        </w:rPr>
        <w:t xml:space="preserve">（项目编号：      </w:t>
      </w:r>
      <w:r>
        <w:rPr>
          <w:rFonts w:hint="eastAsia" w:ascii="仿宋" w:hAnsi="仿宋" w:eastAsia="仿宋"/>
          <w:sz w:val="28"/>
          <w:szCs w:val="28"/>
        </w:rPr>
        <w:t>）</w:t>
      </w:r>
    </w:p>
    <w:p w14:paraId="00203951">
      <w:pPr>
        <w:jc w:val="center"/>
        <w:rPr>
          <w:rFonts w:ascii="黑体" w:eastAsia="黑体"/>
          <w:sz w:val="30"/>
          <w:szCs w:val="30"/>
        </w:rPr>
      </w:pPr>
    </w:p>
    <w:p w14:paraId="74D342C0">
      <w:pPr>
        <w:jc w:val="center"/>
        <w:rPr>
          <w:rFonts w:ascii="黑体" w:eastAsia="黑体"/>
          <w:sz w:val="30"/>
          <w:szCs w:val="30"/>
        </w:rPr>
      </w:pPr>
    </w:p>
    <w:p w14:paraId="24DAA36E">
      <w:pPr>
        <w:jc w:val="center"/>
        <w:rPr>
          <w:rFonts w:ascii="黑体" w:eastAsia="黑体"/>
          <w:sz w:val="30"/>
          <w:szCs w:val="30"/>
        </w:rPr>
      </w:pPr>
    </w:p>
    <w:p w14:paraId="0999ED92">
      <w:pPr>
        <w:jc w:val="center"/>
        <w:rPr>
          <w:rFonts w:ascii="黑体" w:eastAsia="黑体"/>
          <w:sz w:val="30"/>
          <w:szCs w:val="30"/>
        </w:rPr>
      </w:pPr>
    </w:p>
    <w:p w14:paraId="4F1791C8">
      <w:pPr>
        <w:jc w:val="center"/>
        <w:rPr>
          <w:rFonts w:ascii="黑体" w:eastAsia="黑体"/>
          <w:sz w:val="30"/>
          <w:szCs w:val="30"/>
        </w:rPr>
      </w:pPr>
    </w:p>
    <w:p w14:paraId="58EDC0E3">
      <w:pPr>
        <w:ind w:firstLine="2080" w:firstLineChars="650"/>
        <w:rPr>
          <w:rFonts w:ascii="黑体" w:eastAsia="黑体"/>
          <w:sz w:val="32"/>
          <w:szCs w:val="32"/>
        </w:rPr>
      </w:pPr>
    </w:p>
    <w:p w14:paraId="60B368B5">
      <w:pPr>
        <w:ind w:firstLine="2080" w:firstLineChars="650"/>
        <w:rPr>
          <w:rFonts w:ascii="黑体" w:eastAsia="黑体"/>
          <w:sz w:val="32"/>
          <w:szCs w:val="32"/>
        </w:rPr>
      </w:pPr>
    </w:p>
    <w:p w14:paraId="6A96FD1A">
      <w:pPr>
        <w:ind w:firstLine="2080" w:firstLineChars="650"/>
        <w:rPr>
          <w:rFonts w:ascii="黑体" w:eastAsia="黑体"/>
          <w:sz w:val="32"/>
          <w:szCs w:val="32"/>
        </w:rPr>
      </w:pPr>
      <w:r>
        <w:rPr>
          <w:rFonts w:hint="eastAsia" w:ascii="黑体" w:eastAsia="黑体"/>
          <w:sz w:val="32"/>
          <w:szCs w:val="32"/>
        </w:rPr>
        <w:t xml:space="preserve">甲  方： </w:t>
      </w:r>
    </w:p>
    <w:p w14:paraId="1341E8D1">
      <w:pPr>
        <w:tabs>
          <w:tab w:val="left" w:pos="480"/>
        </w:tabs>
        <w:ind w:firstLine="640" w:firstLineChars="200"/>
        <w:rPr>
          <w:rFonts w:ascii="黑体" w:hAnsi="黑体" w:eastAsia="黑体"/>
          <w:sz w:val="32"/>
          <w:szCs w:val="32"/>
        </w:rPr>
      </w:pPr>
      <w:r>
        <w:rPr>
          <w:rFonts w:hint="eastAsia" w:ascii="黑体" w:eastAsia="黑体"/>
          <w:sz w:val="32"/>
          <w:szCs w:val="32"/>
        </w:rPr>
        <w:t xml:space="preserve">         </w:t>
      </w:r>
      <w:r>
        <w:rPr>
          <w:rFonts w:hint="eastAsia" w:ascii="黑体" w:hAnsi="黑体" w:eastAsia="黑体"/>
          <w:sz w:val="32"/>
          <w:szCs w:val="32"/>
        </w:rPr>
        <w:t>乙  方：</w:t>
      </w:r>
    </w:p>
    <w:p w14:paraId="7F499AE6">
      <w:pPr>
        <w:jc w:val="center"/>
        <w:rPr>
          <w:rFonts w:ascii="黑体" w:eastAsia="黑体"/>
          <w:sz w:val="30"/>
          <w:szCs w:val="30"/>
        </w:rPr>
      </w:pPr>
    </w:p>
    <w:p w14:paraId="76A2DAD0">
      <w:pPr>
        <w:jc w:val="center"/>
        <w:rPr>
          <w:rFonts w:ascii="黑体" w:eastAsia="黑体"/>
          <w:sz w:val="32"/>
          <w:szCs w:val="32"/>
        </w:rPr>
      </w:pPr>
      <w:r>
        <w:rPr>
          <w:rFonts w:hint="eastAsia" w:ascii="黑体" w:eastAsia="黑体"/>
          <w:sz w:val="32"/>
          <w:szCs w:val="32"/>
        </w:rPr>
        <w:t xml:space="preserve">  年  月</w:t>
      </w:r>
    </w:p>
    <w:p w14:paraId="6C5E04A8">
      <w:pPr>
        <w:jc w:val="center"/>
        <w:rPr>
          <w:rFonts w:ascii="黑体" w:eastAsia="黑体"/>
          <w:sz w:val="32"/>
          <w:szCs w:val="32"/>
        </w:rPr>
      </w:pPr>
    </w:p>
    <w:p w14:paraId="21EBC434">
      <w:pPr>
        <w:spacing w:line="360" w:lineRule="auto"/>
        <w:ind w:firstLine="723" w:firstLineChars="200"/>
        <w:jc w:val="center"/>
      </w:pPr>
      <w:r>
        <w:rPr>
          <w:rFonts w:hint="eastAsia" w:ascii="黑体" w:eastAsia="黑体"/>
          <w:b/>
          <w:sz w:val="36"/>
          <w:szCs w:val="36"/>
        </w:rPr>
        <w:br w:type="page"/>
      </w:r>
      <w:r>
        <w:rPr>
          <w:rFonts w:hint="eastAsia" w:hAnsi="宋体" w:cs="宋体"/>
          <w:b/>
          <w:bCs/>
          <w:sz w:val="36"/>
          <w:szCs w:val="36"/>
        </w:rPr>
        <w:t>第一部分  协议书</w:t>
      </w:r>
    </w:p>
    <w:p w14:paraId="2526CA7A">
      <w:pPr>
        <w:spacing w:line="360" w:lineRule="auto"/>
        <w:ind w:firstLine="480" w:firstLineChars="200"/>
      </w:pPr>
      <w:r>
        <w:rPr>
          <w:rFonts w:hint="eastAsia"/>
        </w:rPr>
        <w:t>甲方：</w:t>
      </w:r>
      <w:r>
        <w:rPr>
          <w:rFonts w:hint="eastAsia"/>
          <w:u w:val="single"/>
        </w:rPr>
        <w:t xml:space="preserve">                 </w:t>
      </w:r>
      <w:r>
        <w:rPr>
          <w:rFonts w:hint="eastAsia"/>
        </w:rPr>
        <w:t>，其注册登记地址为：</w:t>
      </w:r>
      <w:r>
        <w:rPr>
          <w:rFonts w:hint="eastAsia"/>
          <w:u w:val="single"/>
        </w:rPr>
        <w:t xml:space="preserve">                      </w:t>
      </w:r>
      <w:r>
        <w:rPr>
          <w:rFonts w:hint="eastAsia"/>
        </w:rPr>
        <w:t>，法定代表人为：</w:t>
      </w:r>
      <w:r>
        <w:rPr>
          <w:rFonts w:hint="eastAsia"/>
          <w:u w:val="single"/>
        </w:rPr>
        <w:t xml:space="preserve">         </w:t>
      </w:r>
      <w:r>
        <w:rPr>
          <w:rFonts w:hint="eastAsia"/>
        </w:rPr>
        <w:t>。</w:t>
      </w:r>
    </w:p>
    <w:p w14:paraId="4306F03F">
      <w:pPr>
        <w:spacing w:line="360" w:lineRule="auto"/>
      </w:pPr>
      <w:r>
        <w:rPr>
          <w:rFonts w:hint="eastAsia"/>
        </w:rPr>
        <w:t xml:space="preserve">    乙方：</w:t>
      </w:r>
      <w:r>
        <w:rPr>
          <w:rFonts w:hint="eastAsia"/>
          <w:u w:val="single"/>
        </w:rPr>
        <w:t xml:space="preserve">                    </w:t>
      </w:r>
      <w:r>
        <w:rPr>
          <w:rFonts w:hint="eastAsia"/>
        </w:rPr>
        <w:t>，其注册登记地址为：</w:t>
      </w:r>
      <w:r>
        <w:rPr>
          <w:rFonts w:hint="eastAsia"/>
          <w:u w:val="single"/>
        </w:rPr>
        <w:t xml:space="preserve">                ，</w:t>
      </w:r>
      <w:r>
        <w:rPr>
          <w:rFonts w:hint="eastAsia"/>
        </w:rPr>
        <w:t>法定代表人为：</w:t>
      </w:r>
      <w:r>
        <w:rPr>
          <w:rFonts w:hint="eastAsia"/>
          <w:u w:val="single"/>
        </w:rPr>
        <w:t xml:space="preserve">        </w:t>
      </w:r>
      <w:r>
        <w:rPr>
          <w:rFonts w:hint="eastAsia"/>
        </w:rPr>
        <w:t xml:space="preserve">。 </w:t>
      </w:r>
    </w:p>
    <w:p w14:paraId="0045796A">
      <w:pPr>
        <w:spacing w:line="360" w:lineRule="auto"/>
        <w:ind w:firstLine="480" w:firstLineChars="200"/>
        <w:rPr>
          <w:u w:val="single"/>
        </w:rPr>
      </w:pPr>
      <w:r>
        <w:rPr>
          <w:rFonts w:hint="eastAsia"/>
        </w:rPr>
        <w:t>甲、乙双方基于公平、公正、平等的原则，依据《中华人民共和国民法典》、《中华人民共和国政府采购法》之相关规定，现经甲、乙双方友好协商，就甲方购买乙方产品设备事宜，达成以下合同条款：</w:t>
      </w:r>
    </w:p>
    <w:p w14:paraId="591B3C48">
      <w:pPr>
        <w:spacing w:line="360" w:lineRule="auto"/>
        <w:rPr>
          <w:b/>
        </w:rPr>
      </w:pPr>
      <w:r>
        <w:rPr>
          <w:rFonts w:hint="eastAsia"/>
          <w:b/>
        </w:rPr>
        <w:t>一、合同标的物：</w:t>
      </w:r>
    </w:p>
    <w:tbl>
      <w:tblPr>
        <w:tblStyle w:val="10"/>
        <w:tblW w:w="94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327"/>
        <w:gridCol w:w="1305"/>
      </w:tblGrid>
      <w:tr w14:paraId="3870C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1620" w:type="dxa"/>
          </w:tcPr>
          <w:p w14:paraId="21BEC744">
            <w:pPr>
              <w:spacing w:line="360" w:lineRule="auto"/>
              <w:jc w:val="center"/>
              <w:rPr>
                <w:b/>
              </w:rPr>
            </w:pPr>
            <w:r>
              <w:rPr>
                <w:rFonts w:hint="eastAsia"/>
                <w:b/>
              </w:rPr>
              <w:t>产品名称</w:t>
            </w:r>
          </w:p>
        </w:tc>
        <w:tc>
          <w:tcPr>
            <w:tcW w:w="1620" w:type="dxa"/>
          </w:tcPr>
          <w:p w14:paraId="663B7280">
            <w:pPr>
              <w:spacing w:line="360" w:lineRule="auto"/>
              <w:jc w:val="center"/>
              <w:rPr>
                <w:b/>
              </w:rPr>
            </w:pPr>
            <w:r>
              <w:rPr>
                <w:rFonts w:hint="eastAsia"/>
                <w:b/>
              </w:rPr>
              <w:t>注册证名称</w:t>
            </w:r>
          </w:p>
        </w:tc>
        <w:tc>
          <w:tcPr>
            <w:tcW w:w="1360" w:type="dxa"/>
          </w:tcPr>
          <w:p w14:paraId="3BEBFA7F">
            <w:pPr>
              <w:spacing w:line="360" w:lineRule="auto"/>
              <w:jc w:val="center"/>
              <w:rPr>
                <w:b/>
              </w:rPr>
            </w:pPr>
            <w:r>
              <w:rPr>
                <w:rFonts w:hint="eastAsia"/>
                <w:b/>
              </w:rPr>
              <w:t>品牌型号</w:t>
            </w:r>
          </w:p>
        </w:tc>
        <w:tc>
          <w:tcPr>
            <w:tcW w:w="878" w:type="dxa"/>
          </w:tcPr>
          <w:p w14:paraId="1457A67A">
            <w:pPr>
              <w:spacing w:line="360" w:lineRule="auto"/>
              <w:jc w:val="center"/>
              <w:rPr>
                <w:b/>
              </w:rPr>
            </w:pPr>
            <w:r>
              <w:rPr>
                <w:rFonts w:hint="eastAsia"/>
                <w:b/>
              </w:rPr>
              <w:t>产地</w:t>
            </w:r>
          </w:p>
        </w:tc>
        <w:tc>
          <w:tcPr>
            <w:tcW w:w="750" w:type="dxa"/>
          </w:tcPr>
          <w:p w14:paraId="0CC366AB">
            <w:pPr>
              <w:spacing w:line="360" w:lineRule="auto"/>
              <w:jc w:val="center"/>
              <w:rPr>
                <w:b/>
              </w:rPr>
            </w:pPr>
            <w:r>
              <w:rPr>
                <w:rFonts w:hint="eastAsia"/>
                <w:b/>
              </w:rPr>
              <w:t>单位</w:t>
            </w:r>
          </w:p>
        </w:tc>
        <w:tc>
          <w:tcPr>
            <w:tcW w:w="571" w:type="dxa"/>
          </w:tcPr>
          <w:p w14:paraId="723E756C">
            <w:pPr>
              <w:spacing w:line="360" w:lineRule="auto"/>
              <w:jc w:val="center"/>
              <w:rPr>
                <w:b/>
              </w:rPr>
            </w:pPr>
            <w:r>
              <w:rPr>
                <w:rFonts w:hint="eastAsia"/>
                <w:b/>
              </w:rPr>
              <w:t>数量</w:t>
            </w:r>
          </w:p>
        </w:tc>
        <w:tc>
          <w:tcPr>
            <w:tcW w:w="1327" w:type="dxa"/>
          </w:tcPr>
          <w:p w14:paraId="21AB7A1E">
            <w:pPr>
              <w:spacing w:line="360" w:lineRule="auto"/>
              <w:jc w:val="center"/>
              <w:rPr>
                <w:b/>
              </w:rPr>
            </w:pPr>
            <w:r>
              <w:rPr>
                <w:rFonts w:hint="eastAsia"/>
                <w:b/>
              </w:rPr>
              <w:t>单价</w:t>
            </w:r>
          </w:p>
          <w:p w14:paraId="163756EC">
            <w:pPr>
              <w:spacing w:line="360" w:lineRule="auto"/>
              <w:jc w:val="center"/>
              <w:rPr>
                <w:b/>
              </w:rPr>
            </w:pPr>
            <w:r>
              <w:rPr>
                <w:rFonts w:hint="eastAsia"/>
                <w:b/>
              </w:rPr>
              <w:t>（人民币）</w:t>
            </w:r>
          </w:p>
        </w:tc>
        <w:tc>
          <w:tcPr>
            <w:tcW w:w="1305" w:type="dxa"/>
          </w:tcPr>
          <w:p w14:paraId="70DC9135">
            <w:pPr>
              <w:spacing w:line="360" w:lineRule="auto"/>
              <w:jc w:val="center"/>
              <w:rPr>
                <w:b/>
              </w:rPr>
            </w:pPr>
            <w:r>
              <w:rPr>
                <w:rFonts w:hint="eastAsia"/>
                <w:b/>
              </w:rPr>
              <w:t>总价</w:t>
            </w:r>
          </w:p>
          <w:p w14:paraId="3E988E8B">
            <w:pPr>
              <w:spacing w:line="360" w:lineRule="auto"/>
              <w:jc w:val="center"/>
              <w:rPr>
                <w:b/>
              </w:rPr>
            </w:pPr>
            <w:r>
              <w:rPr>
                <w:rFonts w:hint="eastAsia"/>
                <w:b/>
              </w:rPr>
              <w:t>（人民币）</w:t>
            </w:r>
          </w:p>
        </w:tc>
      </w:tr>
      <w:tr w14:paraId="370DE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1620" w:type="dxa"/>
          </w:tcPr>
          <w:p w14:paraId="6212403B">
            <w:pPr>
              <w:spacing w:line="360" w:lineRule="auto"/>
            </w:pPr>
          </w:p>
        </w:tc>
        <w:tc>
          <w:tcPr>
            <w:tcW w:w="1620" w:type="dxa"/>
          </w:tcPr>
          <w:p w14:paraId="2306C1E7">
            <w:pPr>
              <w:spacing w:line="360" w:lineRule="auto"/>
            </w:pPr>
          </w:p>
        </w:tc>
        <w:tc>
          <w:tcPr>
            <w:tcW w:w="1360" w:type="dxa"/>
          </w:tcPr>
          <w:p w14:paraId="3F89CF67">
            <w:pPr>
              <w:spacing w:line="360" w:lineRule="auto"/>
              <w:jc w:val="left"/>
            </w:pPr>
          </w:p>
        </w:tc>
        <w:tc>
          <w:tcPr>
            <w:tcW w:w="878" w:type="dxa"/>
          </w:tcPr>
          <w:p w14:paraId="7250526D">
            <w:pPr>
              <w:spacing w:line="360" w:lineRule="auto"/>
            </w:pPr>
          </w:p>
        </w:tc>
        <w:tc>
          <w:tcPr>
            <w:tcW w:w="750" w:type="dxa"/>
          </w:tcPr>
          <w:p w14:paraId="23ED9A1A">
            <w:pPr>
              <w:spacing w:line="360" w:lineRule="auto"/>
            </w:pPr>
            <w:r>
              <w:rPr>
                <w:rFonts w:hint="eastAsia"/>
              </w:rPr>
              <w:t>台</w:t>
            </w:r>
          </w:p>
        </w:tc>
        <w:tc>
          <w:tcPr>
            <w:tcW w:w="571" w:type="dxa"/>
          </w:tcPr>
          <w:p w14:paraId="3EB05C75">
            <w:pPr>
              <w:spacing w:line="360" w:lineRule="auto"/>
            </w:pPr>
          </w:p>
        </w:tc>
        <w:tc>
          <w:tcPr>
            <w:tcW w:w="1327" w:type="dxa"/>
            <w:vAlign w:val="center"/>
          </w:tcPr>
          <w:p w14:paraId="17E04D9C">
            <w:pPr>
              <w:spacing w:line="360" w:lineRule="auto"/>
            </w:pPr>
            <w:r>
              <w:rPr>
                <w:rFonts w:hint="eastAsia"/>
              </w:rPr>
              <w:t>￥</w:t>
            </w:r>
          </w:p>
        </w:tc>
        <w:tc>
          <w:tcPr>
            <w:tcW w:w="1305" w:type="dxa"/>
            <w:vAlign w:val="center"/>
          </w:tcPr>
          <w:p w14:paraId="48F8A953">
            <w:pPr>
              <w:spacing w:line="360" w:lineRule="auto"/>
              <w:ind w:right="960"/>
            </w:pPr>
            <w:r>
              <w:rPr>
                <w:rFonts w:hint="eastAsia"/>
              </w:rPr>
              <w:t>￥</w:t>
            </w:r>
          </w:p>
        </w:tc>
      </w:tr>
      <w:tr w14:paraId="66B88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9431" w:type="dxa"/>
            <w:gridSpan w:val="8"/>
          </w:tcPr>
          <w:p w14:paraId="6D0072A0">
            <w:pPr>
              <w:spacing w:line="360" w:lineRule="auto"/>
            </w:pPr>
            <w:r>
              <w:rPr>
                <w:rFonts w:hint="eastAsia"/>
              </w:rPr>
              <w:t>合计（大写）：人民币          元整；                （小写）：￥</w:t>
            </w:r>
          </w:p>
        </w:tc>
      </w:tr>
      <w:tr w14:paraId="40F71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9431" w:type="dxa"/>
            <w:gridSpan w:val="8"/>
          </w:tcPr>
          <w:p w14:paraId="6DB55B13">
            <w:pPr>
              <w:widowControl/>
              <w:spacing w:line="360" w:lineRule="auto"/>
              <w:jc w:val="left"/>
            </w:pPr>
            <w:r>
              <w:rPr>
                <w:rFonts w:hint="eastAsia"/>
                <w:b/>
              </w:rPr>
              <w:t xml:space="preserve"> 备注：      </w:t>
            </w:r>
            <w:r>
              <w:rPr>
                <w:rFonts w:hint="eastAsia"/>
              </w:rPr>
              <w:t xml:space="preserve">                                                         </w:t>
            </w:r>
          </w:p>
          <w:p w14:paraId="4C65673E">
            <w:pPr>
              <w:widowControl/>
              <w:spacing w:line="360" w:lineRule="auto"/>
              <w:jc w:val="left"/>
            </w:pPr>
            <w:r>
              <w:rPr>
                <w:rFonts w:hint="eastAsia"/>
              </w:rPr>
              <w:t xml:space="preserve">                                                                      </w:t>
            </w:r>
          </w:p>
        </w:tc>
      </w:tr>
    </w:tbl>
    <w:p w14:paraId="2E801C0C">
      <w:pPr>
        <w:spacing w:line="360" w:lineRule="auto"/>
        <w:ind w:firstLine="482" w:firstLineChars="200"/>
        <w:rPr>
          <w:b/>
        </w:rPr>
      </w:pPr>
      <w:r>
        <w:rPr>
          <w:rFonts w:hint="eastAsia"/>
          <w:b/>
        </w:rPr>
        <w:t>产品应当符合国家规范规定的标准及乙方投标文件所述和宣传的标准，设备配置详单附后。</w:t>
      </w:r>
    </w:p>
    <w:p w14:paraId="16A2EFA6">
      <w:pPr>
        <w:spacing w:line="360" w:lineRule="auto"/>
        <w:rPr>
          <w:b/>
        </w:rPr>
      </w:pPr>
      <w:r>
        <w:rPr>
          <w:rFonts w:hint="eastAsia"/>
          <w:b/>
        </w:rPr>
        <w:t>二、合同价款：</w:t>
      </w:r>
    </w:p>
    <w:p w14:paraId="1DC63ACA">
      <w:pPr>
        <w:spacing w:line="360" w:lineRule="auto"/>
        <w:ind w:firstLine="480" w:firstLineChars="200"/>
      </w:pPr>
      <w:r>
        <w:rPr>
          <w:rFonts w:hint="eastAsia"/>
        </w:rPr>
        <w:t>1、合同总金额：</w:t>
      </w:r>
      <w:r>
        <w:rPr>
          <w:rFonts w:hint="eastAsia"/>
          <w:b/>
          <w:u w:val="single"/>
        </w:rPr>
        <w:t>人民币          元整。</w:t>
      </w:r>
    </w:p>
    <w:p w14:paraId="2FD06E63">
      <w:pPr>
        <w:spacing w:line="360" w:lineRule="auto"/>
        <w:ind w:firstLine="480" w:firstLineChars="200"/>
        <w:rPr>
          <w:rFonts w:hAnsi="宋体"/>
          <w:szCs w:val="24"/>
        </w:rPr>
      </w:pPr>
      <w:r>
        <w:rPr>
          <w:rFonts w:hint="eastAsia" w:hAnsi="宋体"/>
          <w:szCs w:val="24"/>
        </w:rPr>
        <w:t>2、合同总金额包括但不限于产品费（含相关配件、附件、安装材料）、施工费、安装调试费、运杂费（含保险）、仓储保管费、技术培训费、招标代理服务费、税金等其他一切相关费用。</w:t>
      </w:r>
    </w:p>
    <w:p w14:paraId="121E4058">
      <w:pPr>
        <w:spacing w:line="360" w:lineRule="auto"/>
        <w:rPr>
          <w:b/>
        </w:rPr>
      </w:pPr>
      <w:r>
        <w:rPr>
          <w:rFonts w:hint="eastAsia"/>
          <w:b/>
        </w:rPr>
        <w:t>三、交货地点：</w:t>
      </w:r>
    </w:p>
    <w:p w14:paraId="45AC9C5E">
      <w:pPr>
        <w:spacing w:line="360" w:lineRule="auto"/>
        <w:ind w:firstLine="470" w:firstLineChars="196"/>
      </w:pPr>
      <w:r>
        <w:rPr>
          <w:rFonts w:hint="eastAsia"/>
        </w:rPr>
        <w:t>采购人所指定地点。</w:t>
      </w:r>
    </w:p>
    <w:p w14:paraId="60FD3398">
      <w:pPr>
        <w:spacing w:line="360" w:lineRule="auto"/>
        <w:rPr>
          <w:b/>
        </w:rPr>
      </w:pPr>
      <w:r>
        <w:rPr>
          <w:rFonts w:hint="eastAsia"/>
          <w:b/>
        </w:rPr>
        <w:t>四、交货时间：</w:t>
      </w:r>
    </w:p>
    <w:p w14:paraId="3986D633">
      <w:pPr>
        <w:spacing w:line="360" w:lineRule="auto"/>
        <w:ind w:firstLine="470" w:firstLineChars="196"/>
      </w:pPr>
      <w:r>
        <w:rPr>
          <w:rFonts w:hint="eastAsia"/>
        </w:rPr>
        <w:t>合同签订接采购人通知后</w:t>
      </w:r>
      <w:r>
        <w:rPr>
          <w:rFonts w:hint="eastAsia"/>
          <w:u w:val="single"/>
        </w:rPr>
        <w:t xml:space="preserve">        </w:t>
      </w:r>
      <w:r>
        <w:rPr>
          <w:rFonts w:hint="eastAsia"/>
        </w:rPr>
        <w:t>个日历日内。</w:t>
      </w:r>
    </w:p>
    <w:p w14:paraId="27B28298">
      <w:pPr>
        <w:spacing w:line="360" w:lineRule="auto"/>
      </w:pPr>
      <w:r>
        <w:rPr>
          <w:rFonts w:hint="eastAsia"/>
          <w:b/>
        </w:rPr>
        <w:t>五、甲方指定收件人为：</w:t>
      </w:r>
      <w:r>
        <w:rPr>
          <w:rFonts w:hint="eastAsia"/>
          <w:b/>
          <w:u w:val="single"/>
        </w:rPr>
        <w:t xml:space="preserve">        </w:t>
      </w:r>
      <w:r>
        <w:rPr>
          <w:rFonts w:hint="eastAsia"/>
        </w:rPr>
        <w:t>，联系电话</w:t>
      </w:r>
      <w:r>
        <w:rPr>
          <w:rFonts w:hint="eastAsia"/>
          <w:u w:val="single"/>
        </w:rPr>
        <w:t xml:space="preserve">          </w:t>
      </w:r>
      <w:r>
        <w:rPr>
          <w:rFonts w:hint="eastAsia"/>
          <w:i/>
          <w:iCs/>
          <w:u w:val="single"/>
        </w:rPr>
        <w:t xml:space="preserve">     </w:t>
      </w:r>
      <w:r>
        <w:rPr>
          <w:rFonts w:hint="eastAsia"/>
        </w:rPr>
        <w:t>。</w:t>
      </w:r>
    </w:p>
    <w:p w14:paraId="72AC1A61">
      <w:pPr>
        <w:spacing w:line="360" w:lineRule="auto"/>
        <w:ind w:firstLine="480" w:firstLineChars="200"/>
      </w:pPr>
      <w:r>
        <w:rPr>
          <w:rFonts w:hint="eastAsia"/>
        </w:rPr>
        <w:t>根据使用需要，甲方如需提前或推迟收货，甲方应当</w:t>
      </w:r>
      <w:r>
        <w:rPr>
          <w:rFonts w:hint="eastAsia"/>
          <w:b/>
          <w:bCs/>
        </w:rPr>
        <w:t>提前电话或邮箱或其他任何在本合同约定的方式通知乙方</w:t>
      </w:r>
      <w:r>
        <w:rPr>
          <w:rFonts w:hint="eastAsia"/>
        </w:rPr>
        <w:t>，乙方应无条件配合，不得收取仓储费等任何费用。</w:t>
      </w:r>
    </w:p>
    <w:p w14:paraId="09B667BA">
      <w:pPr>
        <w:spacing w:line="360" w:lineRule="auto"/>
        <w:rPr>
          <w:b/>
        </w:rPr>
      </w:pPr>
      <w:r>
        <w:rPr>
          <w:rFonts w:hint="eastAsia"/>
          <w:b/>
        </w:rPr>
        <w:t>六：货款结算方式：</w:t>
      </w:r>
    </w:p>
    <w:p w14:paraId="1FCAB4C9">
      <w:pPr>
        <w:spacing w:line="360" w:lineRule="auto"/>
        <w:ind w:firstLine="480" w:firstLineChars="200"/>
      </w:pPr>
      <w:r>
        <w:rPr>
          <w:rFonts w:hint="eastAsia"/>
        </w:rPr>
        <w:t>1、付款方式：</w:t>
      </w:r>
    </w:p>
    <w:p w14:paraId="2F967A40">
      <w:pPr>
        <w:spacing w:line="360" w:lineRule="auto"/>
        <w:ind w:firstLine="482" w:firstLineChars="200"/>
        <w:rPr>
          <w:b/>
          <w:bCs/>
        </w:rPr>
      </w:pPr>
      <w:r>
        <w:rPr>
          <w:rFonts w:hint="eastAsia"/>
          <w:b/>
          <w:bCs/>
        </w:rPr>
        <w:t>每次付款前</w:t>
      </w:r>
      <w:r>
        <w:rPr>
          <w:rFonts w:hint="eastAsia"/>
          <w:b/>
          <w:bCs/>
          <w:u w:val="single"/>
        </w:rPr>
        <w:t xml:space="preserve">    </w:t>
      </w:r>
      <w:r>
        <w:rPr>
          <w:rFonts w:hint="eastAsia"/>
          <w:b/>
          <w:bCs/>
        </w:rPr>
        <w:t>个工作日内，乙方需提前向甲方开具相应金额的正式税务发票。</w:t>
      </w:r>
    </w:p>
    <w:p w14:paraId="49FEB1CF">
      <w:pPr>
        <w:spacing w:line="360" w:lineRule="auto"/>
        <w:ind w:firstLine="480" w:firstLineChars="200"/>
      </w:pPr>
      <w:r>
        <w:rPr>
          <w:rFonts w:hint="eastAsia"/>
        </w:rPr>
        <w:t>2、支付方式：甲方直接将货款通过银行转账的方式转入乙方指定的专用账号。乙方账户名：</w:t>
      </w:r>
      <w:r>
        <w:rPr>
          <w:rFonts w:hint="eastAsia"/>
          <w:u w:val="single"/>
        </w:rPr>
        <w:t xml:space="preserve">               </w:t>
      </w:r>
      <w:r>
        <w:rPr>
          <w:rFonts w:hint="eastAsia"/>
        </w:rPr>
        <w:t>。账号：</w:t>
      </w:r>
      <w:r>
        <w:rPr>
          <w:rFonts w:hint="eastAsia"/>
          <w:u w:val="single"/>
        </w:rPr>
        <w:t xml:space="preserve">              </w:t>
      </w:r>
      <w:r>
        <w:rPr>
          <w:rFonts w:hint="eastAsia"/>
        </w:rPr>
        <w:t>。开户行</w:t>
      </w:r>
      <w:r>
        <w:rPr>
          <w:rFonts w:hint="eastAsia"/>
          <w:u w:val="single"/>
        </w:rPr>
        <w:t xml:space="preserve">             </w:t>
      </w:r>
      <w:r>
        <w:rPr>
          <w:rFonts w:hint="eastAsia"/>
        </w:rPr>
        <w:t>。</w:t>
      </w:r>
    </w:p>
    <w:p w14:paraId="43E5F8DD">
      <w:pPr>
        <w:adjustRightInd w:val="0"/>
        <w:snapToGrid w:val="0"/>
        <w:spacing w:line="360" w:lineRule="auto"/>
        <w:rPr>
          <w:rFonts w:hAnsi="宋体" w:cs="宋体"/>
          <w:szCs w:val="24"/>
        </w:rPr>
      </w:pPr>
      <w:r>
        <w:rPr>
          <w:rFonts w:hint="eastAsia" w:hAnsi="宋体" w:cs="宋体"/>
          <w:b/>
          <w:szCs w:val="24"/>
        </w:rPr>
        <w:t>七、质量保证：</w:t>
      </w:r>
      <w:r>
        <w:rPr>
          <w:rFonts w:hint="eastAsia" w:hAnsi="宋体" w:cs="宋体"/>
          <w:szCs w:val="24"/>
        </w:rPr>
        <w:t>详见“第三章合同条款及格式前附表”</w:t>
      </w:r>
    </w:p>
    <w:p w14:paraId="34EAF803">
      <w:pPr>
        <w:adjustRightInd w:val="0"/>
        <w:snapToGrid w:val="0"/>
        <w:spacing w:line="360" w:lineRule="auto"/>
        <w:rPr>
          <w:rFonts w:hAnsi="宋体" w:cs="宋体"/>
          <w:szCs w:val="24"/>
        </w:rPr>
      </w:pPr>
      <w:r>
        <w:rPr>
          <w:rFonts w:hint="eastAsia" w:hAnsi="宋体" w:cs="宋体"/>
          <w:b/>
          <w:bCs/>
          <w:szCs w:val="24"/>
        </w:rPr>
        <w:t>八</w:t>
      </w:r>
      <w:r>
        <w:rPr>
          <w:rFonts w:hint="eastAsia" w:hAnsi="宋体" w:cs="宋体"/>
          <w:szCs w:val="24"/>
        </w:rPr>
        <w:t>、</w:t>
      </w:r>
      <w:r>
        <w:rPr>
          <w:rFonts w:hint="eastAsia" w:hAnsi="宋体" w:cs="宋体"/>
          <w:b/>
          <w:bCs/>
          <w:szCs w:val="24"/>
        </w:rPr>
        <w:t>运输、安装、调试要求：</w:t>
      </w:r>
      <w:r>
        <w:rPr>
          <w:rFonts w:hint="eastAsia" w:hAnsi="宋体" w:cs="宋体"/>
          <w:szCs w:val="24"/>
        </w:rPr>
        <w:t>详见“第三章合同条款及格式前附表”</w:t>
      </w:r>
    </w:p>
    <w:p w14:paraId="18F03407">
      <w:pPr>
        <w:adjustRightInd w:val="0"/>
        <w:snapToGrid w:val="0"/>
        <w:spacing w:line="360" w:lineRule="auto"/>
        <w:rPr>
          <w:rFonts w:hAnsi="宋体" w:cs="宋体"/>
          <w:b/>
          <w:szCs w:val="24"/>
        </w:rPr>
      </w:pPr>
      <w:r>
        <w:rPr>
          <w:rFonts w:hint="eastAsia" w:hAnsi="宋体" w:cs="宋体"/>
          <w:b/>
          <w:bCs/>
          <w:szCs w:val="24"/>
        </w:rPr>
        <w:t>九、技术支持及培训：</w:t>
      </w:r>
      <w:r>
        <w:rPr>
          <w:rFonts w:hint="eastAsia" w:hAnsi="宋体" w:cs="宋体"/>
          <w:szCs w:val="24"/>
        </w:rPr>
        <w:t>详见“第三章合同条款及格式前附表”</w:t>
      </w:r>
    </w:p>
    <w:p w14:paraId="0BDAAD7E">
      <w:pPr>
        <w:adjustRightInd w:val="0"/>
        <w:snapToGrid w:val="0"/>
        <w:spacing w:line="360" w:lineRule="auto"/>
        <w:rPr>
          <w:rFonts w:hAnsi="宋体" w:cs="宋体"/>
          <w:b/>
          <w:szCs w:val="24"/>
        </w:rPr>
      </w:pPr>
      <w:r>
        <w:rPr>
          <w:rFonts w:hint="eastAsia" w:hAnsi="宋体" w:cs="宋体"/>
          <w:b/>
          <w:szCs w:val="24"/>
        </w:rPr>
        <w:t>十、</w:t>
      </w:r>
      <w:r>
        <w:rPr>
          <w:rFonts w:hint="eastAsia" w:hAnsi="宋体" w:cs="宋体"/>
          <w:b/>
          <w:bCs/>
          <w:szCs w:val="24"/>
        </w:rPr>
        <w:t>技术资料要求</w:t>
      </w:r>
      <w:r>
        <w:rPr>
          <w:rFonts w:hint="eastAsia" w:hAnsi="宋体" w:cs="宋体"/>
          <w:b/>
          <w:szCs w:val="24"/>
        </w:rPr>
        <w:t>：</w:t>
      </w:r>
      <w:r>
        <w:rPr>
          <w:rFonts w:hint="eastAsia" w:hAnsi="宋体" w:cs="宋体"/>
          <w:szCs w:val="24"/>
        </w:rPr>
        <w:t>详见“第三章合同条款及格式前附表”</w:t>
      </w:r>
    </w:p>
    <w:p w14:paraId="7C6C9DF5">
      <w:pPr>
        <w:adjustRightInd w:val="0"/>
        <w:snapToGrid w:val="0"/>
        <w:spacing w:line="360" w:lineRule="auto"/>
        <w:rPr>
          <w:rFonts w:hAnsi="宋体" w:cs="宋体"/>
          <w:szCs w:val="24"/>
        </w:rPr>
      </w:pPr>
      <w:r>
        <w:rPr>
          <w:rFonts w:hint="eastAsia" w:hAnsi="宋体" w:cs="宋体"/>
          <w:b/>
          <w:szCs w:val="24"/>
        </w:rPr>
        <w:t>十一、验收：</w:t>
      </w:r>
      <w:r>
        <w:rPr>
          <w:rFonts w:hint="eastAsia" w:hAnsi="宋体" w:cs="宋体"/>
          <w:szCs w:val="24"/>
        </w:rPr>
        <w:t>详见“第三章合同条款及格式前附表”</w:t>
      </w:r>
    </w:p>
    <w:p w14:paraId="6F5CADD5">
      <w:pPr>
        <w:adjustRightInd w:val="0"/>
        <w:snapToGrid w:val="0"/>
        <w:spacing w:line="360" w:lineRule="auto"/>
        <w:rPr>
          <w:rFonts w:hAnsi="宋体" w:cs="宋体"/>
          <w:szCs w:val="24"/>
        </w:rPr>
      </w:pPr>
      <w:r>
        <w:rPr>
          <w:rFonts w:hint="eastAsia" w:hAnsi="宋体" w:cs="宋体"/>
          <w:b/>
          <w:bCs/>
          <w:szCs w:val="24"/>
        </w:rPr>
        <w:t>十二、质保及维保服务：</w:t>
      </w:r>
      <w:r>
        <w:rPr>
          <w:rFonts w:hint="eastAsia" w:hAnsi="宋体" w:cs="宋体"/>
          <w:szCs w:val="24"/>
        </w:rPr>
        <w:t>详见“第三章合同条款及格式前附表”</w:t>
      </w:r>
    </w:p>
    <w:p w14:paraId="321BC625">
      <w:pPr>
        <w:spacing w:line="360" w:lineRule="auto"/>
        <w:rPr>
          <w:rFonts w:hAnsi="宋体" w:cs="宋体"/>
          <w:b/>
          <w:szCs w:val="24"/>
        </w:rPr>
      </w:pPr>
      <w:r>
        <w:rPr>
          <w:rFonts w:hint="eastAsia" w:hAnsi="宋体" w:cs="宋体"/>
          <w:b/>
          <w:szCs w:val="24"/>
        </w:rPr>
        <w:t>十三、知识产权：</w:t>
      </w:r>
      <w:r>
        <w:rPr>
          <w:rFonts w:hint="eastAsia" w:hAnsi="宋体" w:cs="宋体"/>
          <w:szCs w:val="24"/>
        </w:rPr>
        <w:t>详见“第三章合同条款及格式前附表”</w:t>
      </w:r>
    </w:p>
    <w:p w14:paraId="2560920A">
      <w:pPr>
        <w:spacing w:line="360" w:lineRule="auto"/>
        <w:rPr>
          <w:rFonts w:hAnsi="宋体" w:cs="宋体"/>
          <w:b/>
          <w:szCs w:val="24"/>
        </w:rPr>
      </w:pPr>
      <w:r>
        <w:rPr>
          <w:rFonts w:hint="eastAsia" w:hAnsi="宋体" w:cs="宋体"/>
          <w:b/>
          <w:szCs w:val="24"/>
        </w:rPr>
        <w:t>十四、合同争议的解决</w:t>
      </w:r>
    </w:p>
    <w:p w14:paraId="180D0E47">
      <w:pPr>
        <w:spacing w:line="360" w:lineRule="auto"/>
        <w:rPr>
          <w:rFonts w:hAnsi="宋体" w:cs="宋体"/>
          <w:szCs w:val="24"/>
        </w:rPr>
      </w:pPr>
      <w:r>
        <w:rPr>
          <w:rFonts w:hint="eastAsia" w:hAnsi="宋体" w:cs="宋体"/>
          <w:szCs w:val="24"/>
        </w:rPr>
        <w:t xml:space="preserve">    合同执行中发生争议的，当事人双方应协商解决。协商达不成一致时，可向当地行政仲裁机关申请仲裁或者向人民法院提请诉讼。</w:t>
      </w:r>
    </w:p>
    <w:p w14:paraId="3F6425A8">
      <w:pPr>
        <w:spacing w:line="360" w:lineRule="auto"/>
        <w:jc w:val="left"/>
        <w:rPr>
          <w:rFonts w:hAnsi="宋体" w:cs="宋体"/>
          <w:b/>
          <w:bCs/>
          <w:szCs w:val="24"/>
        </w:rPr>
      </w:pPr>
      <w:r>
        <w:rPr>
          <w:rFonts w:hint="eastAsia" w:hAnsi="宋体" w:cs="宋体"/>
          <w:b/>
          <w:bCs/>
          <w:szCs w:val="24"/>
        </w:rPr>
        <w:t>十五、不可抗力情况下的免责约定</w:t>
      </w:r>
    </w:p>
    <w:p w14:paraId="767B3295">
      <w:pPr>
        <w:spacing w:line="360" w:lineRule="auto"/>
        <w:jc w:val="left"/>
        <w:rPr>
          <w:rFonts w:hAnsi="宋体" w:cs="宋体"/>
          <w:szCs w:val="24"/>
        </w:rPr>
      </w:pPr>
      <w:r>
        <w:rPr>
          <w:rFonts w:hint="eastAsia" w:hAnsi="宋体" w:cs="宋体"/>
          <w:szCs w:val="24"/>
        </w:rPr>
        <w:t xml:space="preserve">    双方约定不可抗力情况指：双方不可预见、不可避免、不可克服的客观情况，但不包括双方的违约或疏忽。这些事件包括但不限于：战争、严重火灾、洪水、台风、地震等。</w:t>
      </w:r>
    </w:p>
    <w:p w14:paraId="3D9DAC1F">
      <w:pPr>
        <w:spacing w:line="360" w:lineRule="auto"/>
        <w:rPr>
          <w:rFonts w:hAnsi="宋体" w:cs="宋体"/>
          <w:b/>
          <w:szCs w:val="24"/>
        </w:rPr>
      </w:pPr>
      <w:r>
        <w:rPr>
          <w:rFonts w:hint="eastAsia" w:hAnsi="宋体" w:cs="宋体"/>
          <w:b/>
          <w:szCs w:val="24"/>
        </w:rPr>
        <w:t>十六、违约责任：</w:t>
      </w:r>
      <w:r>
        <w:rPr>
          <w:rFonts w:hint="eastAsia" w:hAnsi="宋体" w:cs="宋体"/>
          <w:szCs w:val="24"/>
        </w:rPr>
        <w:t>详见“第三章合同条款及格式前附表”</w:t>
      </w:r>
    </w:p>
    <w:p w14:paraId="0242D615">
      <w:pPr>
        <w:spacing w:line="360" w:lineRule="auto"/>
        <w:rPr>
          <w:b/>
        </w:rPr>
      </w:pPr>
      <w:r>
        <w:rPr>
          <w:rFonts w:hint="eastAsia" w:hAnsi="宋体" w:cs="宋体"/>
          <w:b/>
          <w:szCs w:val="24"/>
        </w:rPr>
        <w:t>十七、</w:t>
      </w:r>
      <w:r>
        <w:rPr>
          <w:rFonts w:hint="eastAsia"/>
          <w:b/>
        </w:rPr>
        <w:t>以下资料为本合同不可分割部分，与本合同具有同等法律效力：</w:t>
      </w:r>
    </w:p>
    <w:p w14:paraId="7FEA4E6B">
      <w:pPr>
        <w:spacing w:line="360" w:lineRule="auto"/>
        <w:ind w:firstLine="480" w:firstLineChars="200"/>
      </w:pPr>
      <w:r>
        <w:rPr>
          <w:rFonts w:hint="eastAsia"/>
        </w:rPr>
        <w:t>1、本合同所涉产品的国家标准及相关行业标准；</w:t>
      </w:r>
    </w:p>
    <w:p w14:paraId="6DEA04BC">
      <w:pPr>
        <w:spacing w:line="360" w:lineRule="auto"/>
        <w:ind w:firstLine="480" w:firstLineChars="200"/>
      </w:pPr>
      <w:r>
        <w:rPr>
          <w:rFonts w:hint="eastAsia"/>
        </w:rPr>
        <w:t>2、本产品的详细资料；</w:t>
      </w:r>
    </w:p>
    <w:p w14:paraId="2D69FFAD">
      <w:pPr>
        <w:spacing w:line="360" w:lineRule="auto"/>
        <w:ind w:firstLine="480" w:firstLineChars="200"/>
      </w:pPr>
      <w:r>
        <w:rPr>
          <w:rFonts w:hint="eastAsia"/>
        </w:rPr>
        <w:t>3、招投标文件；</w:t>
      </w:r>
    </w:p>
    <w:p w14:paraId="377C51DE">
      <w:pPr>
        <w:spacing w:line="360" w:lineRule="auto"/>
        <w:ind w:firstLine="480" w:firstLineChars="200"/>
      </w:pPr>
      <w:r>
        <w:rPr>
          <w:rFonts w:hint="eastAsia"/>
        </w:rPr>
        <w:t>4、本套产品配置及配套设备零件报价详单；（附于合同后）</w:t>
      </w:r>
    </w:p>
    <w:p w14:paraId="706DF355">
      <w:pPr>
        <w:spacing w:line="360" w:lineRule="auto"/>
        <w:ind w:firstLine="480" w:firstLineChars="200"/>
      </w:pPr>
      <w:r>
        <w:rPr>
          <w:rFonts w:hint="eastAsia"/>
        </w:rPr>
        <w:t>5、本套产品配套耗材清单、报价详单。（附于合同后）</w:t>
      </w:r>
    </w:p>
    <w:p w14:paraId="5B95F0FF">
      <w:pPr>
        <w:spacing w:line="360" w:lineRule="auto"/>
        <w:rPr>
          <w:rFonts w:hAnsi="宋体" w:cs="宋体"/>
          <w:szCs w:val="24"/>
        </w:rPr>
      </w:pPr>
      <w:r>
        <w:rPr>
          <w:rFonts w:hint="eastAsia" w:hAnsi="宋体" w:cs="宋体"/>
          <w:b/>
          <w:szCs w:val="24"/>
        </w:rPr>
        <w:t>十八、其他（</w:t>
      </w:r>
      <w:r>
        <w:rPr>
          <w:rFonts w:hint="eastAsia" w:hAnsi="宋体" w:cs="宋体"/>
          <w:szCs w:val="24"/>
        </w:rPr>
        <w:t>在合同中双方自行约定）</w:t>
      </w:r>
    </w:p>
    <w:p w14:paraId="5424C5D8">
      <w:pPr>
        <w:spacing w:line="360" w:lineRule="auto"/>
        <w:rPr>
          <w:rFonts w:hAnsi="宋体" w:cs="宋体"/>
          <w:b/>
        </w:rPr>
      </w:pPr>
      <w:r>
        <w:rPr>
          <w:rFonts w:hint="eastAsia" w:hAnsi="宋体" w:cs="宋体"/>
          <w:b/>
        </w:rPr>
        <w:t>十九、合同订立</w:t>
      </w:r>
    </w:p>
    <w:p w14:paraId="3A691A4F">
      <w:pPr>
        <w:adjustRightInd w:val="0"/>
        <w:snapToGrid w:val="0"/>
        <w:spacing w:line="360" w:lineRule="auto"/>
        <w:ind w:firstLine="475" w:firstLineChars="198"/>
        <w:rPr>
          <w:rFonts w:hAnsi="宋体" w:cs="宋体"/>
        </w:rPr>
      </w:pPr>
      <w:r>
        <w:rPr>
          <w:rFonts w:hint="eastAsia" w:hAnsi="宋体" w:cs="宋体"/>
        </w:rPr>
        <w:t>1. 订立时间：</w:t>
      </w:r>
      <w:r>
        <w:rPr>
          <w:rFonts w:hint="eastAsia" w:hAnsi="宋体" w:cs="宋体"/>
          <w:u w:val="single"/>
        </w:rPr>
        <w:t xml:space="preserve">          </w:t>
      </w:r>
      <w:r>
        <w:rPr>
          <w:rFonts w:hint="eastAsia" w:hAnsi="宋体" w:cs="宋体"/>
        </w:rPr>
        <w:t>年</w:t>
      </w:r>
      <w:r>
        <w:rPr>
          <w:rFonts w:hint="eastAsia" w:hAnsi="宋体" w:cs="宋体"/>
          <w:u w:val="single"/>
        </w:rPr>
        <w:t xml:space="preserve">       </w:t>
      </w:r>
      <w:r>
        <w:rPr>
          <w:rFonts w:hint="eastAsia" w:hAnsi="宋体" w:cs="宋体"/>
        </w:rPr>
        <w:t>月</w:t>
      </w:r>
      <w:r>
        <w:rPr>
          <w:rFonts w:hint="eastAsia" w:hAnsi="宋体" w:cs="宋体"/>
          <w:u w:val="single"/>
        </w:rPr>
        <w:t xml:space="preserve">      </w:t>
      </w:r>
      <w:r>
        <w:rPr>
          <w:rFonts w:hint="eastAsia" w:hAnsi="宋体" w:cs="宋体"/>
        </w:rPr>
        <w:t>日。</w:t>
      </w:r>
    </w:p>
    <w:p w14:paraId="48BD4458">
      <w:pPr>
        <w:adjustRightInd w:val="0"/>
        <w:snapToGrid w:val="0"/>
        <w:spacing w:line="360" w:lineRule="auto"/>
        <w:ind w:firstLine="475" w:firstLineChars="198"/>
        <w:rPr>
          <w:rFonts w:hAnsi="宋体" w:cs="宋体"/>
        </w:rPr>
      </w:pPr>
      <w:r>
        <w:rPr>
          <w:rFonts w:hint="eastAsia" w:hAnsi="宋体" w:cs="宋体"/>
        </w:rPr>
        <w:t>2. 订立地点：</w:t>
      </w:r>
      <w:r>
        <w:rPr>
          <w:rFonts w:hint="eastAsia" w:hAnsi="宋体" w:cs="宋体"/>
          <w:u w:val="single"/>
        </w:rPr>
        <w:t xml:space="preserve">                                 </w:t>
      </w:r>
      <w:r>
        <w:rPr>
          <w:rFonts w:hint="eastAsia" w:hAnsi="宋体" w:cs="宋体"/>
        </w:rPr>
        <w:t>。</w:t>
      </w:r>
    </w:p>
    <w:p w14:paraId="4431B60E">
      <w:pPr>
        <w:tabs>
          <w:tab w:val="left" w:pos="980"/>
        </w:tabs>
        <w:kinsoku w:val="0"/>
        <w:spacing w:line="360" w:lineRule="auto"/>
        <w:ind w:firstLine="480" w:firstLineChars="200"/>
        <w:rPr>
          <w:rFonts w:hAnsi="宋体" w:cs="宋体"/>
        </w:rPr>
      </w:pPr>
      <w:r>
        <w:rPr>
          <w:rFonts w:hint="eastAsia" w:hAnsi="宋体" w:cs="宋体"/>
        </w:rPr>
        <w:t>3. 本合同一式</w:t>
      </w:r>
      <w:r>
        <w:rPr>
          <w:rFonts w:hint="eastAsia" w:hAnsi="宋体" w:cs="宋体"/>
          <w:u w:val="single"/>
        </w:rPr>
        <w:t xml:space="preserve"> 捌 </w:t>
      </w:r>
      <w:r>
        <w:rPr>
          <w:rFonts w:hint="eastAsia" w:hAnsi="宋体" w:cs="宋体"/>
        </w:rPr>
        <w:t>份，具有同等法律效力，双方各执</w:t>
      </w:r>
      <w:r>
        <w:rPr>
          <w:rFonts w:hint="eastAsia" w:hAnsi="宋体" w:cs="宋体"/>
          <w:u w:val="single"/>
        </w:rPr>
        <w:t xml:space="preserve"> 贰 </w:t>
      </w:r>
      <w:r>
        <w:rPr>
          <w:rFonts w:hint="eastAsia" w:hAnsi="宋体" w:cs="宋体"/>
        </w:rPr>
        <w:t>份，监管部门备案</w:t>
      </w:r>
      <w:r>
        <w:rPr>
          <w:rFonts w:hint="eastAsia" w:hAnsi="宋体" w:cs="宋体"/>
          <w:u w:val="single"/>
        </w:rPr>
        <w:t xml:space="preserve"> 贰 </w:t>
      </w:r>
      <w:r>
        <w:rPr>
          <w:rFonts w:hint="eastAsia" w:hAnsi="宋体" w:cs="宋体"/>
        </w:rPr>
        <w:t>份、招标代理机构存档</w:t>
      </w:r>
      <w:r>
        <w:rPr>
          <w:rFonts w:hint="eastAsia" w:hAnsi="宋体" w:cs="宋体"/>
          <w:u w:val="single"/>
        </w:rPr>
        <w:t xml:space="preserve"> 贰 </w:t>
      </w:r>
      <w:r>
        <w:rPr>
          <w:rFonts w:hint="eastAsia" w:hAnsi="宋体" w:cs="宋体"/>
        </w:rPr>
        <w:t>份。各方签字盖章后生效，合同执行完毕自动失效。（合同的服务承诺则长期有效）。</w:t>
      </w:r>
    </w:p>
    <w:p w14:paraId="4B623FEA">
      <w:pPr>
        <w:adjustRightInd w:val="0"/>
        <w:snapToGrid w:val="0"/>
        <w:spacing w:line="360" w:lineRule="auto"/>
        <w:ind w:firstLine="475" w:firstLineChars="198"/>
        <w:rPr>
          <w:rFonts w:hAnsi="宋体" w:cs="宋体"/>
        </w:rPr>
      </w:pPr>
    </w:p>
    <w:tbl>
      <w:tblPr>
        <w:tblStyle w:val="1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3"/>
        <w:gridCol w:w="4537"/>
      </w:tblGrid>
      <w:tr w14:paraId="5C81C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2337" w:type="pct"/>
            <w:vAlign w:val="center"/>
          </w:tcPr>
          <w:p w14:paraId="0ABFB8A0">
            <w:pPr>
              <w:spacing w:line="360" w:lineRule="auto"/>
              <w:jc w:val="center"/>
              <w:rPr>
                <w:rFonts w:hAnsi="宋体" w:cs="宋体"/>
              </w:rPr>
            </w:pPr>
            <w:r>
              <w:rPr>
                <w:rFonts w:hint="eastAsia" w:hAnsi="宋体" w:cs="宋体"/>
              </w:rPr>
              <w:t>甲 方</w:t>
            </w:r>
          </w:p>
        </w:tc>
        <w:tc>
          <w:tcPr>
            <w:tcW w:w="2662" w:type="pct"/>
            <w:vAlign w:val="center"/>
          </w:tcPr>
          <w:p w14:paraId="29DBF475">
            <w:pPr>
              <w:spacing w:line="360" w:lineRule="auto"/>
              <w:jc w:val="center"/>
              <w:rPr>
                <w:rFonts w:hAnsi="宋体" w:cs="宋体"/>
              </w:rPr>
            </w:pPr>
            <w:r>
              <w:rPr>
                <w:rFonts w:hint="eastAsia" w:hAnsi="宋体" w:cs="宋体"/>
              </w:rPr>
              <w:t>乙 方</w:t>
            </w:r>
          </w:p>
        </w:tc>
      </w:tr>
      <w:tr w14:paraId="0BA55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jc w:val="center"/>
        </w:trPr>
        <w:tc>
          <w:tcPr>
            <w:tcW w:w="2337" w:type="pct"/>
            <w:vAlign w:val="center"/>
          </w:tcPr>
          <w:p w14:paraId="303B5746">
            <w:pPr>
              <w:spacing w:line="360" w:lineRule="auto"/>
              <w:ind w:firstLine="960" w:firstLineChars="400"/>
              <w:rPr>
                <w:rFonts w:hAnsi="宋体" w:cs="宋体"/>
              </w:rPr>
            </w:pPr>
          </w:p>
          <w:p w14:paraId="5357CA73">
            <w:pPr>
              <w:spacing w:line="360" w:lineRule="auto"/>
              <w:jc w:val="center"/>
              <w:rPr>
                <w:rFonts w:hAnsi="宋体" w:cs="宋体"/>
              </w:rPr>
            </w:pPr>
          </w:p>
          <w:p w14:paraId="71F2A9D8">
            <w:pPr>
              <w:spacing w:line="360" w:lineRule="auto"/>
              <w:jc w:val="center"/>
              <w:rPr>
                <w:rFonts w:hAnsi="宋体" w:cs="宋体"/>
              </w:rPr>
            </w:pPr>
          </w:p>
          <w:p w14:paraId="5252CF36">
            <w:pPr>
              <w:spacing w:line="360" w:lineRule="auto"/>
              <w:jc w:val="center"/>
              <w:rPr>
                <w:rFonts w:hAnsi="宋体" w:cs="宋体"/>
              </w:rPr>
            </w:pPr>
          </w:p>
          <w:p w14:paraId="34B7526F">
            <w:pPr>
              <w:spacing w:line="360" w:lineRule="auto"/>
              <w:jc w:val="center"/>
              <w:rPr>
                <w:rFonts w:hAnsi="宋体" w:cs="宋体"/>
              </w:rPr>
            </w:pPr>
            <w:r>
              <w:rPr>
                <w:rFonts w:hint="eastAsia" w:hAnsi="宋体" w:cs="宋体"/>
              </w:rPr>
              <w:t>（盖章）</w:t>
            </w:r>
          </w:p>
        </w:tc>
        <w:tc>
          <w:tcPr>
            <w:tcW w:w="2662" w:type="pct"/>
            <w:vAlign w:val="center"/>
          </w:tcPr>
          <w:p w14:paraId="43817EDB">
            <w:pPr>
              <w:spacing w:line="360" w:lineRule="auto"/>
              <w:jc w:val="center"/>
              <w:rPr>
                <w:rFonts w:hAnsi="宋体" w:cs="宋体"/>
              </w:rPr>
            </w:pPr>
          </w:p>
          <w:p w14:paraId="21BE2207">
            <w:pPr>
              <w:spacing w:line="360" w:lineRule="auto"/>
              <w:jc w:val="center"/>
              <w:rPr>
                <w:rFonts w:hAnsi="宋体" w:cs="宋体"/>
              </w:rPr>
            </w:pPr>
          </w:p>
          <w:p w14:paraId="12FD7EB7">
            <w:pPr>
              <w:spacing w:line="360" w:lineRule="auto"/>
              <w:jc w:val="center"/>
              <w:rPr>
                <w:rFonts w:hAnsi="宋体" w:cs="宋体"/>
              </w:rPr>
            </w:pPr>
          </w:p>
          <w:p w14:paraId="621537CB">
            <w:pPr>
              <w:spacing w:line="360" w:lineRule="auto"/>
              <w:jc w:val="center"/>
              <w:rPr>
                <w:rFonts w:hAnsi="宋体" w:cs="宋体"/>
              </w:rPr>
            </w:pPr>
          </w:p>
          <w:p w14:paraId="17730046">
            <w:pPr>
              <w:spacing w:line="360" w:lineRule="auto"/>
              <w:jc w:val="center"/>
              <w:rPr>
                <w:rFonts w:hAnsi="宋体" w:cs="宋体"/>
              </w:rPr>
            </w:pPr>
            <w:r>
              <w:rPr>
                <w:rFonts w:hint="eastAsia" w:hAnsi="宋体" w:cs="宋体"/>
              </w:rPr>
              <w:t>（盖章）</w:t>
            </w:r>
          </w:p>
        </w:tc>
      </w:tr>
      <w:tr w14:paraId="0E2C4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37" w:type="pct"/>
          </w:tcPr>
          <w:p w14:paraId="029D3662">
            <w:pPr>
              <w:spacing w:line="360" w:lineRule="auto"/>
              <w:jc w:val="left"/>
              <w:rPr>
                <w:rFonts w:hAnsi="宋体" w:cs="宋体"/>
              </w:rPr>
            </w:pPr>
            <w:r>
              <w:rPr>
                <w:rFonts w:hint="eastAsia" w:hAnsi="宋体" w:cs="宋体"/>
              </w:rPr>
              <w:t>地址：</w:t>
            </w:r>
          </w:p>
        </w:tc>
        <w:tc>
          <w:tcPr>
            <w:tcW w:w="2662" w:type="pct"/>
          </w:tcPr>
          <w:p w14:paraId="0EE3819C">
            <w:pPr>
              <w:spacing w:line="360" w:lineRule="auto"/>
              <w:jc w:val="left"/>
              <w:rPr>
                <w:rFonts w:hAnsi="宋体" w:cs="宋体"/>
              </w:rPr>
            </w:pPr>
            <w:r>
              <w:rPr>
                <w:rFonts w:hint="eastAsia" w:hAnsi="宋体" w:cs="宋体"/>
              </w:rPr>
              <w:t>地址：</w:t>
            </w:r>
          </w:p>
        </w:tc>
      </w:tr>
      <w:tr w14:paraId="477FD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337" w:type="pct"/>
          </w:tcPr>
          <w:p w14:paraId="7BF0767E">
            <w:pPr>
              <w:spacing w:line="360" w:lineRule="auto"/>
              <w:jc w:val="left"/>
              <w:rPr>
                <w:rFonts w:hAnsi="宋体" w:cs="宋体"/>
              </w:rPr>
            </w:pPr>
            <w:r>
              <w:rPr>
                <w:rFonts w:hint="eastAsia" w:hAnsi="宋体" w:cs="宋体"/>
              </w:rPr>
              <w:t>邮编：</w:t>
            </w:r>
          </w:p>
        </w:tc>
        <w:tc>
          <w:tcPr>
            <w:tcW w:w="2662" w:type="pct"/>
          </w:tcPr>
          <w:p w14:paraId="48F8B3D8">
            <w:pPr>
              <w:spacing w:line="360" w:lineRule="auto"/>
              <w:jc w:val="left"/>
              <w:rPr>
                <w:rFonts w:hAnsi="宋体" w:cs="宋体"/>
              </w:rPr>
            </w:pPr>
            <w:r>
              <w:rPr>
                <w:rFonts w:hint="eastAsia" w:hAnsi="宋体" w:cs="宋体"/>
              </w:rPr>
              <w:t>邮编：</w:t>
            </w:r>
          </w:p>
        </w:tc>
      </w:tr>
      <w:tr w14:paraId="3CA25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2337" w:type="pct"/>
          </w:tcPr>
          <w:p w14:paraId="25CED5F7">
            <w:pPr>
              <w:spacing w:line="360" w:lineRule="auto"/>
              <w:jc w:val="left"/>
              <w:rPr>
                <w:rFonts w:hAnsi="宋体" w:cs="宋体"/>
              </w:rPr>
            </w:pPr>
            <w:r>
              <w:rPr>
                <w:rFonts w:hint="eastAsia" w:hAnsi="宋体" w:cs="宋体"/>
              </w:rPr>
              <w:t>法定代表人：</w:t>
            </w:r>
          </w:p>
        </w:tc>
        <w:tc>
          <w:tcPr>
            <w:tcW w:w="2662" w:type="pct"/>
          </w:tcPr>
          <w:p w14:paraId="32A46BC4">
            <w:pPr>
              <w:spacing w:line="360" w:lineRule="auto"/>
              <w:jc w:val="left"/>
              <w:rPr>
                <w:rFonts w:hAnsi="宋体" w:cs="宋体"/>
              </w:rPr>
            </w:pPr>
            <w:r>
              <w:rPr>
                <w:rFonts w:hint="eastAsia" w:hAnsi="宋体" w:cs="宋体"/>
              </w:rPr>
              <w:t>法定代表人：</w:t>
            </w:r>
          </w:p>
        </w:tc>
      </w:tr>
      <w:tr w14:paraId="7943C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5A89AC12">
            <w:pPr>
              <w:spacing w:line="360" w:lineRule="auto"/>
              <w:jc w:val="left"/>
              <w:rPr>
                <w:rFonts w:hAnsi="宋体" w:cs="宋体"/>
              </w:rPr>
            </w:pPr>
            <w:r>
              <w:rPr>
                <w:rFonts w:hint="eastAsia" w:hAnsi="宋体" w:cs="宋体"/>
              </w:rPr>
              <w:t>被授权代表：（签字）</w:t>
            </w:r>
          </w:p>
        </w:tc>
        <w:tc>
          <w:tcPr>
            <w:tcW w:w="2662" w:type="pct"/>
          </w:tcPr>
          <w:p w14:paraId="23BDB22A">
            <w:pPr>
              <w:spacing w:line="360" w:lineRule="auto"/>
              <w:jc w:val="left"/>
              <w:rPr>
                <w:rFonts w:hAnsi="宋体" w:cs="宋体"/>
              </w:rPr>
            </w:pPr>
            <w:r>
              <w:rPr>
                <w:rFonts w:hint="eastAsia" w:hAnsi="宋体" w:cs="宋体"/>
              </w:rPr>
              <w:t>被授权代表：（签字）</w:t>
            </w:r>
          </w:p>
        </w:tc>
      </w:tr>
      <w:tr w14:paraId="619F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64AACA8C">
            <w:pPr>
              <w:spacing w:line="360" w:lineRule="auto"/>
              <w:jc w:val="left"/>
              <w:rPr>
                <w:rFonts w:hAnsi="宋体" w:cs="宋体"/>
              </w:rPr>
            </w:pPr>
            <w:r>
              <w:rPr>
                <w:rFonts w:hint="eastAsia" w:hAnsi="宋体" w:cs="宋体"/>
              </w:rPr>
              <w:t>电话：</w:t>
            </w:r>
          </w:p>
        </w:tc>
        <w:tc>
          <w:tcPr>
            <w:tcW w:w="2662" w:type="pct"/>
          </w:tcPr>
          <w:p w14:paraId="19D5D12E">
            <w:pPr>
              <w:spacing w:line="360" w:lineRule="auto"/>
              <w:jc w:val="left"/>
              <w:rPr>
                <w:rFonts w:hAnsi="宋体" w:cs="宋体"/>
              </w:rPr>
            </w:pPr>
            <w:r>
              <w:rPr>
                <w:rFonts w:hint="eastAsia" w:hAnsi="宋体" w:cs="宋体"/>
              </w:rPr>
              <w:t>电话：</w:t>
            </w:r>
          </w:p>
        </w:tc>
      </w:tr>
      <w:tr w14:paraId="43D3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53079313">
            <w:pPr>
              <w:spacing w:line="360" w:lineRule="auto"/>
              <w:jc w:val="left"/>
              <w:rPr>
                <w:rFonts w:hAnsi="宋体" w:cs="宋体"/>
              </w:rPr>
            </w:pPr>
            <w:r>
              <w:rPr>
                <w:rFonts w:hint="eastAsia" w:hAnsi="宋体" w:cs="宋体"/>
              </w:rPr>
              <w:t>传真：</w:t>
            </w:r>
          </w:p>
        </w:tc>
        <w:tc>
          <w:tcPr>
            <w:tcW w:w="2662" w:type="pct"/>
          </w:tcPr>
          <w:p w14:paraId="48205BD6">
            <w:pPr>
              <w:spacing w:line="360" w:lineRule="auto"/>
              <w:jc w:val="left"/>
              <w:rPr>
                <w:rFonts w:hAnsi="宋体" w:cs="宋体"/>
              </w:rPr>
            </w:pPr>
            <w:r>
              <w:rPr>
                <w:rFonts w:hint="eastAsia" w:hAnsi="宋体" w:cs="宋体"/>
              </w:rPr>
              <w:t>传真：</w:t>
            </w:r>
          </w:p>
        </w:tc>
      </w:tr>
      <w:tr w14:paraId="09974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44E6D83F">
            <w:pPr>
              <w:spacing w:line="360" w:lineRule="auto"/>
              <w:jc w:val="left"/>
              <w:rPr>
                <w:rFonts w:hAnsi="宋体" w:cs="宋体"/>
              </w:rPr>
            </w:pPr>
          </w:p>
        </w:tc>
        <w:tc>
          <w:tcPr>
            <w:tcW w:w="2662" w:type="pct"/>
          </w:tcPr>
          <w:p w14:paraId="423EAE37">
            <w:pPr>
              <w:spacing w:line="360" w:lineRule="auto"/>
              <w:jc w:val="left"/>
              <w:rPr>
                <w:rFonts w:hAnsi="宋体" w:cs="宋体"/>
              </w:rPr>
            </w:pPr>
            <w:r>
              <w:rPr>
                <w:rFonts w:hint="eastAsia" w:hAnsi="宋体" w:cs="宋体"/>
              </w:rPr>
              <w:t>开户银行：</w:t>
            </w:r>
          </w:p>
        </w:tc>
      </w:tr>
      <w:tr w14:paraId="3AB2F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37" w:type="pct"/>
          </w:tcPr>
          <w:p w14:paraId="28DA5EB3">
            <w:pPr>
              <w:spacing w:line="360" w:lineRule="auto"/>
              <w:jc w:val="left"/>
              <w:rPr>
                <w:rFonts w:hAnsi="宋体" w:cs="宋体"/>
              </w:rPr>
            </w:pPr>
          </w:p>
        </w:tc>
        <w:tc>
          <w:tcPr>
            <w:tcW w:w="2662" w:type="pct"/>
          </w:tcPr>
          <w:p w14:paraId="540B0268">
            <w:pPr>
              <w:spacing w:line="360" w:lineRule="auto"/>
              <w:jc w:val="left"/>
              <w:rPr>
                <w:rFonts w:hAnsi="宋体" w:cs="宋体"/>
              </w:rPr>
            </w:pPr>
            <w:r>
              <w:rPr>
                <w:rFonts w:hint="eastAsia" w:hAnsi="宋体" w:cs="宋体"/>
              </w:rPr>
              <w:t>账号：</w:t>
            </w:r>
          </w:p>
        </w:tc>
      </w:tr>
      <w:tr w14:paraId="7AE2D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37" w:type="pct"/>
          </w:tcPr>
          <w:p w14:paraId="177FC784">
            <w:pPr>
              <w:spacing w:line="360" w:lineRule="auto"/>
              <w:jc w:val="left"/>
              <w:rPr>
                <w:rFonts w:hAnsi="宋体" w:cs="宋体"/>
              </w:rPr>
            </w:pPr>
            <w:r>
              <w:rPr>
                <w:rFonts w:hint="eastAsia" w:hAnsi="宋体" w:cs="宋体"/>
              </w:rPr>
              <w:t>日期：   年  月   日</w:t>
            </w:r>
          </w:p>
        </w:tc>
        <w:tc>
          <w:tcPr>
            <w:tcW w:w="2662" w:type="pct"/>
          </w:tcPr>
          <w:p w14:paraId="5B167189">
            <w:pPr>
              <w:spacing w:line="360" w:lineRule="auto"/>
              <w:jc w:val="left"/>
              <w:rPr>
                <w:rFonts w:hAnsi="宋体" w:cs="宋体"/>
              </w:rPr>
            </w:pPr>
            <w:r>
              <w:rPr>
                <w:rFonts w:hint="eastAsia" w:hAnsi="宋体" w:cs="宋体"/>
              </w:rPr>
              <w:t>日期：   年  月   日</w:t>
            </w:r>
          </w:p>
        </w:tc>
      </w:tr>
    </w:tbl>
    <w:p w14:paraId="004CD6E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lowerLetter"/>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2">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07377F"/>
    <w:rsid w:val="0039310F"/>
    <w:rsid w:val="004D3544"/>
    <w:rsid w:val="00587030"/>
    <w:rsid w:val="115773A9"/>
    <w:rsid w:val="2F37138E"/>
    <w:rsid w:val="3A354F6D"/>
    <w:rsid w:val="42FD72BA"/>
    <w:rsid w:val="4F07377F"/>
    <w:rsid w:val="5A81799C"/>
    <w:rsid w:val="75CB6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link w:val="17"/>
    <w:qFormat/>
    <w:uiPriority w:val="0"/>
    <w:pPr>
      <w:keepNext/>
      <w:jc w:val="center"/>
      <w:outlineLvl w:val="0"/>
    </w:pPr>
    <w:rPr>
      <w:kern w:val="0"/>
      <w:sz w:val="28"/>
    </w:rPr>
  </w:style>
  <w:style w:type="paragraph" w:styleId="3">
    <w:name w:val="heading 2"/>
    <w:basedOn w:val="1"/>
    <w:next w:val="1"/>
    <w:qFormat/>
    <w:uiPriority w:val="9"/>
    <w:pPr>
      <w:keepNext/>
      <w:keepLines/>
      <w:widowControl/>
      <w:spacing w:before="260" w:after="260"/>
      <w:ind w:left="284"/>
      <w:jc w:val="left"/>
      <w:outlineLvl w:val="1"/>
    </w:pPr>
    <w:rPr>
      <w:rFonts w:ascii="Arial" w:hAnsi="Arial"/>
      <w:b/>
      <w:bCs/>
      <w:sz w:val="28"/>
      <w:szCs w:val="32"/>
    </w:rPr>
  </w:style>
  <w:style w:type="paragraph" w:styleId="4">
    <w:name w:val="heading 3"/>
    <w:basedOn w:val="1"/>
    <w:next w:val="1"/>
    <w:semiHidden/>
    <w:unhideWhenUsed/>
    <w:qFormat/>
    <w:uiPriority w:val="0"/>
    <w:pPr>
      <w:spacing w:beforeAutospacing="1" w:afterAutospacing="1"/>
      <w:jc w:val="left"/>
      <w:outlineLvl w:val="2"/>
    </w:pPr>
    <w:rPr>
      <w:rFonts w:hint="eastAsia" w:hAnsi="宋体"/>
      <w:b/>
      <w:bCs/>
      <w:sz w:val="27"/>
      <w:szCs w:val="27"/>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5">
    <w:name w:val="Body Text"/>
    <w:basedOn w:val="1"/>
    <w:semiHidden/>
    <w:qFormat/>
    <w:uiPriority w:val="0"/>
    <w:rPr>
      <w:rFonts w:ascii="仿宋" w:hAnsi="仿宋" w:eastAsia="仿宋" w:cs="仿宋"/>
      <w:sz w:val="31"/>
      <w:szCs w:val="31"/>
      <w:lang w:val="en-US" w:eastAsia="en-US" w:bidi="ar-SA"/>
    </w:rPr>
  </w:style>
  <w:style w:type="paragraph" w:styleId="6">
    <w:name w:val="Block Text"/>
    <w:basedOn w:val="1"/>
    <w:qFormat/>
    <w:uiPriority w:val="0"/>
    <w:pPr>
      <w:ind w:left="1440" w:leftChars="700" w:right="700" w:rightChars="700"/>
    </w:pPr>
  </w:style>
  <w:style w:type="paragraph" w:styleId="7">
    <w:name w:val="Plain Text"/>
    <w:basedOn w:val="1"/>
    <w:qFormat/>
    <w:uiPriority w:val="0"/>
    <w:rPr>
      <w:rFonts w:hAnsi="Courier New"/>
      <w:kern w:val="2"/>
      <w:sz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qFormat/>
    <w:uiPriority w:val="0"/>
    <w:pPr>
      <w:spacing w:beforeAutospacing="1" w:afterAutospacing="1"/>
      <w:jc w:val="left"/>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character" w:customStyle="1" w:styleId="14">
    <w:name w:val="NormalCharacter"/>
    <w:link w:val="15"/>
    <w:qFormat/>
    <w:uiPriority w:val="0"/>
  </w:style>
  <w:style w:type="paragraph" w:customStyle="1" w:styleId="15">
    <w:name w:val="UserStyle_4"/>
    <w:basedOn w:val="1"/>
    <w:link w:val="14"/>
    <w:qFormat/>
    <w:uiPriority w:val="99"/>
  </w:style>
  <w:style w:type="paragraph" w:customStyle="1" w:styleId="16">
    <w:name w:val="Heading3"/>
    <w:basedOn w:val="1"/>
    <w:next w:val="1"/>
    <w:qFormat/>
    <w:uiPriority w:val="99"/>
    <w:pPr>
      <w:keepNext/>
      <w:keepLines/>
      <w:spacing w:before="260" w:after="260" w:line="413" w:lineRule="auto"/>
    </w:pPr>
    <w:rPr>
      <w:b/>
      <w:sz w:val="32"/>
    </w:rPr>
  </w:style>
  <w:style w:type="character" w:customStyle="1" w:styleId="17">
    <w:name w:val="标题 1 字符"/>
    <w:link w:val="2"/>
    <w:qFormat/>
    <w:uiPriority w:val="0"/>
    <w:rPr>
      <w:kern w:val="0"/>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5449</Words>
  <Characters>5514</Characters>
  <Lines>41</Lines>
  <Paragraphs>11</Paragraphs>
  <TotalTime>1</TotalTime>
  <ScaleCrop>false</ScaleCrop>
  <LinksUpToDate>false</LinksUpToDate>
  <CharactersWithSpaces>6013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2025-03-19T01:55:00Z</dcterms:created>
  <dc:creator>晓 </dc:creator>
  <cp:lastModifiedBy>慧科</cp:lastModifiedBy>
  <dcterms:modified xsi:type="dcterms:W3CDTF">2026-05-11T09:08:14Z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4309CBA87D984248AC7FCDEDF675E89D_13</vt:lpwstr>
  </property>
  <property fmtid="{D5CDD505-2E9C-101B-9397-08002B2CF9AE}" pid="4" name="KSOTemplateDocerSaveRecord">
    <vt:lpwstr>eyJoZGlkIjoiMTg3ZDgwYTA2ODU1ZmQzZDc0ZGVmMmZjZWU1N2Q2ZjciLCJ1c2VySWQiOiIyODM3ODY0NjMifQ==</vt:lpwstr>
  </property>
</Properties>
</file>