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版本号：ZX2026-07-64.1B120260821001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网状传感器系统(二次)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ZX2026-07-64.1B1</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网状传感器系统(二次)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ZX2026-07-64.1B1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网状传感器系统(二次)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本项目主要用于西安石油大学极端条件下天然气管道输送与流动安全保障实验子平台项目建设，是其重要组成部分。具体内容及要求详见技术参数及性能指标。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或法定代表人授权书及授权代表身份证：供应商应授权合法的人员参加谈判全过程，其中法定代表人直接参加谈判的，须提供法定代表人身份证，并与营业执照上信息一致。法定代表人授权代表参加谈判的，须提供法定代表人授权书及授权代表身份证（授权代表需提供谈判截止时间前半年任意一个月的社保缴纳证明）。</w:t>
      </w:r>
    </w:p>
    <w:p>
      <w:pPr>
        <w:pStyle w:val="null3"/>
      </w:pPr>
      <w:r>
        <w:rPr>
          <w:rFonts w:ascii="仿宋_GB2312" w:hAnsi="仿宋_GB2312" w:cs="仿宋_GB2312" w:eastAsia="仿宋_GB2312"/>
        </w:rPr>
        <w:t>2、本项目不接受联合体谈判：本项目不接受联合体谈判，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孙童欣 李雨 王宇轩 马演 曹婷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采购包1保证金金额：10,764.00元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说明：合同签订前缴纳，缴纳金额为合同金额的5%；缴纳方式：银行转账、支票/汇票/本票、保函/保险 ； 待合同执行完毕、验收合格后凭验收单和缴款收据，合同履约保证金予以无息退还。如遇下列情况之一者，合同履约保证金不予退还，作为对采购人的赔偿：（1）合同签订后不能按合同时限要求供货或安装调试；（2）所供货物不合格、与合同不符；（3）不能按合同履约；（4）货物验收不合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代理服务费收费标准：参见国家计委颁布的《招标代理服务收费管理暂行办法》（计价格[2002]1980号）和（发改办价格[2011]534号）货物类收费标准的90%，按照中标金额差额定率累进法计算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西安石油大学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陕西正信招标有限公司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按谈判文件、成交供应商响应文件及合同约定执行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按谈判文件、成交供应商响应文件及合同约定执行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联系人：王宇轩、孙童欣</w:t>
      </w:r>
    </w:p>
    <w:p>
      <w:pPr>
        <w:pStyle w:val="null3"/>
      </w:pPr>
      <w:r>
        <w:rPr>
          <w:rFonts w:ascii="仿宋_GB2312" w:hAnsi="仿宋_GB2312" w:cs="仿宋_GB2312" w:eastAsia="仿宋_GB2312"/>
        </w:rPr>
        <w:t>联系电话：029-88110800转8033</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本项目主要用于西安石油大学极端条件下天然气管道输送与流动安全保障实验子平台项目建设，是其重要组成部分。具体内容及要求详见技术参数及性能指标。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网状传感器系统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标的名称：网状传感器系统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1传感器</w:t>
            </w:r>
          </w:p>
          <w:p>
            <w:pPr>
              <w:pStyle w:val="null3"/>
              <w:ind w:firstLine="200"/>
            </w:pPr>
            <w:r>
              <w:rPr>
                <w:rFonts w:ascii="仿宋_GB2312" w:hAnsi="仿宋_GB2312" w:cs="仿宋_GB2312" w:eastAsia="仿宋_GB2312"/>
              </w:rPr>
              <w:t>1.1非侵入式电容层析检测方式实现流场2维、3维成像，检测过程中传感器不侵入到流体内部，不扰动流场分布及实验过程。</w:t>
            </w:r>
          </w:p>
          <w:p>
            <w:pPr>
              <w:pStyle w:val="null3"/>
              <w:ind w:firstLine="200"/>
            </w:pPr>
            <w:r>
              <w:rPr>
                <w:rFonts w:ascii="仿宋_GB2312" w:hAnsi="仿宋_GB2312" w:cs="仿宋_GB2312" w:eastAsia="仿宋_GB2312"/>
              </w:rPr>
              <w:t>1.2支持油水等多相组合。</w:t>
            </w:r>
          </w:p>
          <w:p>
            <w:pPr>
              <w:pStyle w:val="null3"/>
              <w:ind w:firstLine="200"/>
            </w:pPr>
            <w:r>
              <w:rPr>
                <w:rFonts w:ascii="仿宋_GB2312" w:hAnsi="仿宋_GB2312" w:cs="仿宋_GB2312" w:eastAsia="仿宋_GB2312"/>
              </w:rPr>
              <w:t>▲1.3</w:t>
            </w:r>
            <w:r>
              <w:rPr>
                <w:rFonts w:ascii="仿宋_GB2312" w:hAnsi="仿宋_GB2312" w:cs="仿宋_GB2312" w:eastAsia="仿宋_GB2312"/>
              </w:rPr>
              <w:t xml:space="preserve"> </w:t>
            </w:r>
            <w:r>
              <w:rPr>
                <w:rFonts w:ascii="仿宋_GB2312" w:hAnsi="仿宋_GB2312" w:cs="仿宋_GB2312" w:eastAsia="仿宋_GB2312"/>
              </w:rPr>
              <w:t>ECT电极板数量≥24个，材质：铜或其它耐腐蚀材质。传感器内部电极与管体完全贴合，电极面凸出流道≤1mm；</w:t>
            </w:r>
          </w:p>
          <w:p>
            <w:pPr>
              <w:pStyle w:val="null3"/>
              <w:ind w:firstLine="200"/>
            </w:pPr>
            <w:r>
              <w:rPr>
                <w:rFonts w:ascii="仿宋_GB2312" w:hAnsi="仿宋_GB2312" w:cs="仿宋_GB2312" w:eastAsia="仿宋_GB2312"/>
              </w:rPr>
              <w:t>1.</w:t>
            </w:r>
            <w:r>
              <w:rPr>
                <w:rFonts w:ascii="仿宋_GB2312" w:hAnsi="仿宋_GB2312" w:cs="仿宋_GB2312" w:eastAsia="仿宋_GB2312"/>
              </w:rPr>
              <w:t>4</w:t>
            </w:r>
            <w:r>
              <w:rPr>
                <w:rFonts w:ascii="仿宋_GB2312" w:hAnsi="仿宋_GB2312" w:cs="仿宋_GB2312" w:eastAsia="仿宋_GB2312"/>
              </w:rPr>
              <w:t>规格：</w:t>
            </w:r>
            <w:r>
              <w:rPr>
                <w:rFonts w:ascii="仿宋_GB2312" w:hAnsi="仿宋_GB2312" w:cs="仿宋_GB2312" w:eastAsia="仿宋_GB2312"/>
              </w:rPr>
              <w:t>DN50，设计压力≥3MPa，温度≥80℃，接口：法兰连接。</w:t>
            </w:r>
          </w:p>
          <w:p>
            <w:pPr>
              <w:pStyle w:val="null3"/>
              <w:ind w:firstLine="200"/>
            </w:pPr>
            <w:r>
              <w:rPr>
                <w:rFonts w:ascii="仿宋_GB2312" w:hAnsi="仿宋_GB2312" w:cs="仿宋_GB2312" w:eastAsia="仿宋_GB2312"/>
              </w:rPr>
              <w:t>▲1.</w:t>
            </w:r>
            <w:r>
              <w:rPr>
                <w:rFonts w:ascii="仿宋_GB2312" w:hAnsi="仿宋_GB2312" w:cs="仿宋_GB2312" w:eastAsia="仿宋_GB2312"/>
              </w:rPr>
              <w:t>5</w:t>
            </w:r>
            <w:r>
              <w:rPr>
                <w:rFonts w:ascii="仿宋_GB2312" w:hAnsi="仿宋_GB2312" w:cs="仿宋_GB2312" w:eastAsia="仿宋_GB2312"/>
              </w:rPr>
              <w:t>检测通道（最大同时测量点）：</w:t>
            </w:r>
            <w:r>
              <w:rPr>
                <w:rFonts w:ascii="仿宋_GB2312" w:hAnsi="仿宋_GB2312" w:cs="仿宋_GB2312" w:eastAsia="仿宋_GB2312"/>
              </w:rPr>
              <w:t>≥276个，测量范围</w:t>
            </w:r>
            <w:r>
              <w:rPr>
                <w:rFonts w:ascii="仿宋_GB2312" w:hAnsi="仿宋_GB2312" w:cs="仿宋_GB2312" w:eastAsia="仿宋_GB2312"/>
              </w:rPr>
              <w:t>优于</w:t>
            </w:r>
            <w:r>
              <w:rPr>
                <w:rFonts w:ascii="仿宋_GB2312" w:hAnsi="仿宋_GB2312" w:cs="仿宋_GB2312" w:eastAsia="仿宋_GB2312"/>
              </w:rPr>
              <w:t>0.1-11pF。</w:t>
            </w:r>
          </w:p>
          <w:p>
            <w:pPr>
              <w:pStyle w:val="null3"/>
              <w:ind w:firstLine="200"/>
            </w:pPr>
            <w:r>
              <w:rPr>
                <w:rFonts w:ascii="仿宋_GB2312" w:hAnsi="仿宋_GB2312" w:cs="仿宋_GB2312" w:eastAsia="仿宋_GB2312"/>
              </w:rPr>
              <w:t>1.</w:t>
            </w:r>
            <w:r>
              <w:rPr>
                <w:rFonts w:ascii="仿宋_GB2312" w:hAnsi="仿宋_GB2312" w:cs="仿宋_GB2312" w:eastAsia="仿宋_GB2312"/>
              </w:rPr>
              <w:t>6</w:t>
            </w:r>
            <w:r>
              <w:rPr>
                <w:rFonts w:ascii="仿宋_GB2312" w:hAnsi="仿宋_GB2312" w:cs="仿宋_GB2312" w:eastAsia="仿宋_GB2312"/>
              </w:rPr>
              <w:t>速度测量精度</w:t>
            </w:r>
            <w:r>
              <w:rPr>
                <w:rFonts w:ascii="仿宋_GB2312" w:hAnsi="仿宋_GB2312" w:cs="仿宋_GB2312" w:eastAsia="仿宋_GB2312"/>
              </w:rPr>
              <w:t>≤10mm/s；最大空间分辨率≤5mm；最大体积含液率≥90%。</w:t>
            </w:r>
          </w:p>
          <w:p>
            <w:pPr>
              <w:pStyle w:val="null3"/>
            </w:pPr>
            <w:r>
              <w:rPr>
                <w:rFonts w:ascii="仿宋_GB2312" w:hAnsi="仿宋_GB2312" w:cs="仿宋_GB2312" w:eastAsia="仿宋_GB2312"/>
                <w:b/>
              </w:rPr>
              <w:t>2采集系统</w:t>
            </w:r>
          </w:p>
          <w:p>
            <w:pPr>
              <w:pStyle w:val="null3"/>
              <w:ind w:firstLine="200"/>
            </w:pPr>
            <w:r>
              <w:rPr>
                <w:rFonts w:ascii="仿宋_GB2312" w:hAnsi="仿宋_GB2312" w:cs="仿宋_GB2312" w:eastAsia="仿宋_GB2312"/>
              </w:rPr>
              <w:t>2.1能够对2维、3维层析数据采集与2维、3维图像实时重建，实现2维、3维层析图像实时在线检测。</w:t>
            </w:r>
          </w:p>
          <w:p>
            <w:pPr>
              <w:pStyle w:val="null3"/>
              <w:ind w:firstLine="200"/>
            </w:pPr>
            <w:r>
              <w:rPr>
                <w:rFonts w:ascii="仿宋_GB2312" w:hAnsi="仿宋_GB2312" w:cs="仿宋_GB2312" w:eastAsia="仿宋_GB2312"/>
              </w:rPr>
              <w:t>▲2.2</w:t>
            </w:r>
            <w:r>
              <w:rPr>
                <w:rFonts w:ascii="仿宋_GB2312" w:hAnsi="仿宋_GB2312" w:cs="仿宋_GB2312" w:eastAsia="仿宋_GB2312"/>
              </w:rPr>
              <w:t xml:space="preserve"> </w:t>
            </w:r>
            <w:r>
              <w:rPr>
                <w:rFonts w:ascii="仿宋_GB2312" w:hAnsi="仿宋_GB2312" w:cs="仿宋_GB2312" w:eastAsia="仿宋_GB2312"/>
              </w:rPr>
              <w:t>3维层析数据采集频率≥200Hz，层析图像刷新率≥20Hz。</w:t>
            </w:r>
          </w:p>
          <w:p>
            <w:pPr>
              <w:pStyle w:val="null3"/>
              <w:ind w:firstLine="200"/>
            </w:pPr>
            <w:r>
              <w:rPr>
                <w:rFonts w:ascii="仿宋_GB2312" w:hAnsi="仿宋_GB2312" w:cs="仿宋_GB2312" w:eastAsia="仿宋_GB2312"/>
              </w:rPr>
              <w:t>▲2.3具备fF量级信号采集能力，信号分辨率≤1/32000，动态范围稳定性±1%。</w:t>
            </w:r>
          </w:p>
          <w:p>
            <w:pPr>
              <w:pStyle w:val="null3"/>
              <w:ind w:firstLine="200"/>
            </w:pPr>
            <w:r>
              <w:rPr>
                <w:rFonts w:ascii="仿宋_GB2312" w:hAnsi="仿宋_GB2312" w:cs="仿宋_GB2312" w:eastAsia="仿宋_GB2312"/>
              </w:rPr>
              <w:t>2.4配备传感器连接</w:t>
            </w:r>
            <w:r>
              <w:rPr>
                <w:rFonts w:ascii="仿宋_GB2312" w:hAnsi="仿宋_GB2312" w:cs="仿宋_GB2312" w:eastAsia="仿宋_GB2312"/>
              </w:rPr>
              <w:t>专用屏蔽</w:t>
            </w:r>
            <w:r>
              <w:rPr>
                <w:rFonts w:ascii="仿宋_GB2312" w:hAnsi="仿宋_GB2312" w:cs="仿宋_GB2312" w:eastAsia="仿宋_GB2312"/>
              </w:rPr>
              <w:t>电缆长度</w:t>
            </w:r>
            <w:r>
              <w:rPr>
                <w:rFonts w:ascii="仿宋_GB2312" w:hAnsi="仿宋_GB2312" w:cs="仿宋_GB2312" w:eastAsia="仿宋_GB2312"/>
              </w:rPr>
              <w:t>≥2m，通道数≥50。</w:t>
            </w:r>
          </w:p>
          <w:p>
            <w:pPr>
              <w:pStyle w:val="null3"/>
              <w:ind w:firstLine="200"/>
            </w:pPr>
            <w:r>
              <w:rPr>
                <w:rFonts w:ascii="仿宋_GB2312" w:hAnsi="仿宋_GB2312" w:cs="仿宋_GB2312" w:eastAsia="仿宋_GB2312"/>
              </w:rPr>
              <w:t>2.5工作温度：−10℃～+50℃；工作湿度：10%RH～90%RH。</w:t>
            </w:r>
          </w:p>
          <w:p>
            <w:pPr>
              <w:pStyle w:val="null3"/>
            </w:pPr>
            <w:r>
              <w:rPr>
                <w:rFonts w:ascii="仿宋_GB2312" w:hAnsi="仿宋_GB2312" w:cs="仿宋_GB2312" w:eastAsia="仿宋_GB2312"/>
                <w:b/>
              </w:rPr>
              <w:t>3</w:t>
            </w:r>
            <w:r>
              <w:rPr>
                <w:rFonts w:ascii="仿宋_GB2312" w:hAnsi="仿宋_GB2312" w:cs="仿宋_GB2312" w:eastAsia="仿宋_GB2312"/>
                <w:b/>
              </w:rPr>
              <w:t>分析系统</w:t>
            </w:r>
          </w:p>
          <w:p>
            <w:pPr>
              <w:pStyle w:val="null3"/>
              <w:ind w:firstLine="200"/>
            </w:pPr>
            <w:r>
              <w:rPr>
                <w:rFonts w:ascii="仿宋_GB2312" w:hAnsi="仿宋_GB2312" w:cs="仿宋_GB2312" w:eastAsia="仿宋_GB2312"/>
              </w:rPr>
              <w:t>▲3.1</w:t>
            </w:r>
            <w:r>
              <w:rPr>
                <w:rFonts w:ascii="仿宋_GB2312" w:hAnsi="仿宋_GB2312" w:cs="仿宋_GB2312" w:eastAsia="仿宋_GB2312"/>
              </w:rPr>
              <w:t>数据终端</w:t>
            </w:r>
            <w:r>
              <w:rPr>
                <w:rFonts w:ascii="仿宋_GB2312" w:hAnsi="仿宋_GB2312" w:cs="仿宋_GB2312" w:eastAsia="仿宋_GB2312"/>
              </w:rPr>
              <w:t>：</w:t>
            </w:r>
            <w:r>
              <w:rPr>
                <w:rFonts w:ascii="仿宋_GB2312" w:hAnsi="仿宋_GB2312" w:cs="仿宋_GB2312" w:eastAsia="仿宋_GB2312"/>
              </w:rPr>
              <w:t>≥</w:t>
            </w:r>
            <w:r>
              <w:rPr>
                <w:rFonts w:ascii="仿宋_GB2312" w:hAnsi="仿宋_GB2312" w:cs="仿宋_GB2312" w:eastAsia="仿宋_GB2312"/>
              </w:rPr>
              <w:t>64</w:t>
            </w:r>
            <w:r>
              <w:rPr>
                <w:rFonts w:ascii="仿宋_GB2312" w:hAnsi="仿宋_GB2312" w:cs="仿宋_GB2312" w:eastAsia="仿宋_GB2312"/>
              </w:rPr>
              <w:t>物理核心，</w:t>
            </w:r>
            <w:r>
              <w:rPr>
                <w:rFonts w:ascii="仿宋_GB2312" w:hAnsi="仿宋_GB2312" w:cs="仿宋_GB2312" w:eastAsia="仿宋_GB2312"/>
              </w:rPr>
              <w:t>≥</w:t>
            </w:r>
            <w:r>
              <w:rPr>
                <w:rFonts w:ascii="仿宋_GB2312" w:hAnsi="仿宋_GB2312" w:cs="仿宋_GB2312" w:eastAsia="仿宋_GB2312"/>
              </w:rPr>
              <w:t>128</w:t>
            </w:r>
            <w:r>
              <w:rPr>
                <w:rFonts w:ascii="仿宋_GB2312" w:hAnsi="仿宋_GB2312" w:cs="仿宋_GB2312" w:eastAsia="仿宋_GB2312"/>
              </w:rPr>
              <w:t>G内存，≥2T固态硬盘，≥6T存储硬盘，独立显卡≥12G，显示器≥24英寸。</w:t>
            </w:r>
          </w:p>
          <w:p>
            <w:pPr>
              <w:pStyle w:val="null3"/>
              <w:ind w:firstLine="200"/>
            </w:pPr>
            <w:r>
              <w:rPr>
                <w:rFonts w:ascii="仿宋_GB2312" w:hAnsi="仿宋_GB2312" w:cs="仿宋_GB2312" w:eastAsia="仿宋_GB2312"/>
              </w:rPr>
              <w:t>3.3具备数据自动采集，自动存储、历史数据回放及实验数据管理功能。</w:t>
            </w:r>
          </w:p>
          <w:p>
            <w:pPr>
              <w:pStyle w:val="null3"/>
              <w:ind w:firstLine="200"/>
            </w:pPr>
            <w:r>
              <w:rPr>
                <w:rFonts w:ascii="仿宋_GB2312" w:hAnsi="仿宋_GB2312" w:cs="仿宋_GB2312" w:eastAsia="仿宋_GB2312"/>
              </w:rPr>
              <w:t>3.4能够输出体积分数、相含率、相界面空间分布及相速度、速度分布等参数。适用0.10到100.00vol%的气体，适用所有非导电类型的液体。</w:t>
            </w:r>
          </w:p>
          <w:p>
            <w:pPr>
              <w:pStyle w:val="null3"/>
              <w:ind w:firstLine="200"/>
            </w:pPr>
            <w:r>
              <w:rPr>
                <w:rFonts w:ascii="仿宋_GB2312" w:hAnsi="仿宋_GB2312" w:cs="仿宋_GB2312" w:eastAsia="仿宋_GB2312"/>
              </w:rPr>
              <w:t>3.5三维重建体素数量≥8000个，支持X，Y，Z三个方向连续切片浏览、任意位置切片分析，每个方向≥20个连续切片。</w:t>
            </w:r>
          </w:p>
          <w:p>
            <w:pPr>
              <w:pStyle w:val="null3"/>
              <w:ind w:firstLine="200"/>
            </w:pPr>
            <w:r>
              <w:rPr>
                <w:rFonts w:ascii="仿宋_GB2312" w:hAnsi="仿宋_GB2312" w:cs="仿宋_GB2312" w:eastAsia="仿宋_GB2312"/>
              </w:rPr>
              <w:t>3.6支持实验原始数据、重建图像及动态图像结果的保存与导出，支持数据文件mat、csv、dat，图像文件png、jpg、tiff及视频文件mp4等标准格式。</w:t>
            </w:r>
          </w:p>
          <w:p>
            <w:pPr>
              <w:pStyle w:val="null3"/>
              <w:ind w:firstLine="200"/>
            </w:pPr>
            <w:r>
              <w:rPr>
                <w:rFonts w:ascii="仿宋_GB2312" w:hAnsi="仿宋_GB2312" w:cs="仿宋_GB2312" w:eastAsia="仿宋_GB2312"/>
              </w:rPr>
              <w:t>3.7提供二次开发接口，支持用户自定义算法与功能扩展。</w:t>
            </w:r>
          </w:p>
          <w:p>
            <w:pPr>
              <w:pStyle w:val="null3"/>
              <w:jc w:val="both"/>
            </w:pPr>
            <w:r>
              <w:rPr>
                <w:rFonts w:ascii="仿宋_GB2312" w:hAnsi="仿宋_GB2312" w:cs="仿宋_GB2312" w:eastAsia="仿宋_GB2312"/>
                <w:sz w:val="21"/>
                <w:b/>
              </w:rPr>
              <w:t>注：</w:t>
            </w:r>
          </w:p>
          <w:p>
            <w:pPr>
              <w:pStyle w:val="null3"/>
              <w:jc w:val="both"/>
            </w:pPr>
            <w:r>
              <w:rPr>
                <w:rFonts w:ascii="仿宋_GB2312" w:hAnsi="仿宋_GB2312" w:cs="仿宋_GB2312" w:eastAsia="仿宋_GB2312"/>
                <w:sz w:val="21"/>
                <w:b/>
              </w:rPr>
              <w:t>1、本项目所有参数要求均须满足或优于谈判文件要求，否则按无效文件处理。</w:t>
            </w:r>
          </w:p>
          <w:p>
            <w:pPr>
              <w:pStyle w:val="null3"/>
            </w:pPr>
            <w:r>
              <w:rPr>
                <w:rFonts w:ascii="仿宋_GB2312" w:hAnsi="仿宋_GB2312" w:cs="仿宋_GB2312" w:eastAsia="仿宋_GB2312"/>
                <w:sz w:val="21"/>
                <w:b/>
              </w:rPr>
              <w:t>2、 本项目“▲项”参数必须提供佐证材料；未提供视为负偏离</w:t>
            </w:r>
            <w:r>
              <w:rPr>
                <w:rFonts w:ascii="仿宋_GB2312" w:hAnsi="仿宋_GB2312" w:cs="仿宋_GB2312" w:eastAsia="仿宋_GB2312"/>
                <w:sz w:val="21"/>
                <w:b/>
              </w:rPr>
              <w:t>或提供的佐证材料无法证明参数满足的</w:t>
            </w:r>
            <w:r>
              <w:rPr>
                <w:rFonts w:ascii="仿宋_GB2312" w:hAnsi="仿宋_GB2312" w:cs="仿宋_GB2312" w:eastAsia="仿宋_GB2312"/>
                <w:sz w:val="21"/>
                <w:b/>
              </w:rPr>
              <w:t>，按无效文件处理。佐证材料可为产品技术说明或检测报告或产品彩页或官网截图，并须加盖生产厂家公章</w:t>
            </w:r>
            <w:r>
              <w:rPr>
                <w:rFonts w:ascii="仿宋_GB2312" w:hAnsi="仿宋_GB2312" w:cs="仿宋_GB2312" w:eastAsia="仿宋_GB2312"/>
                <w:sz w:val="21"/>
                <w:b/>
              </w:rPr>
              <w:t>。</w:t>
            </w:r>
          </w:p>
          <w:p>
            <w:pPr>
              <w:pStyle w:val="null3"/>
            </w:pPr>
            <w:r>
              <w:rPr>
                <w:rFonts w:ascii="仿宋_GB2312" w:hAnsi="仿宋_GB2312" w:cs="仿宋_GB2312" w:eastAsia="仿宋_GB2312"/>
                <w:sz w:val="21"/>
                <w:b/>
              </w:rPr>
              <w:t>3、未标</w:t>
            </w:r>
            <w:r>
              <w:rPr>
                <w:rFonts w:ascii="仿宋_GB2312" w:hAnsi="仿宋_GB2312" w:cs="仿宋_GB2312" w:eastAsia="仿宋_GB2312"/>
                <w:sz w:val="21"/>
                <w:b/>
              </w:rPr>
              <w:t>“▲项”</w:t>
            </w:r>
            <w:r>
              <w:rPr>
                <w:rFonts w:ascii="仿宋_GB2312" w:hAnsi="仿宋_GB2312" w:cs="仿宋_GB2312" w:eastAsia="仿宋_GB2312"/>
                <w:sz w:val="21"/>
                <w:b/>
              </w:rPr>
              <w:t>参数以供应商技术响应偏离表为准。</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交货时间为本合同生效后60天内到货并安装调试交付使用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因电子化编制制式限制，支付约定以3.5.1表述为准）合同签订后，供应商开具预付款等额银行保函，采购人收到银行保函正本后10个工作日内支付预付款，最多支付至70万元。验收合格，并出具增值税专用发票，达到付款条件后10个工作日内付清余款，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按照成交供应商响应文件技术参数与性能指标要求逐条验收。验收以最终验收为准；（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质保期：自学校验收合格之日起3年。 售后服务效率要求：7*24 即时响应（包括电话响应）；电话响应无法解决时，24小时内到达现场。修复时间48小时内；如48小时内无法修复，应提供相应解决方案。售后服务标准要求： 技术服务： 1. 设备安装、调试和验收 2.卖方应在合同生效后的1个月内向用户提供详细的安装要求并提供技术咨询。 3. 仪器到达用户所在地，在接到用户通知后一周内进行安装调试，直至通过验收。 4. 技术培训：在用户所在地对用户进行为期1周的培训。培训内容包括仪器的技术原理、操作、数据处理、基本维护等。验收后半年内组织买方相关人员2人参加举办的相关应用培训班。 5. 保修期：卖方提供三年的免费保修,保修期自仪器验收签字之日起计算。保修期间维修及零件更换费用由厂家负担。 6. 维修响应时间：卖方应在24小时内对用户的服务要求作出响应，维修服务包括电话指导和现场维修。</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3.5.1支付约定：合同签订后，供应商开具预付款等额银行保函，采购人收到银行保函正本后10个工作日内支付预付款，最多支付至70万元。验收合格，并出具增值税专用发票，达到付款条件后10个工作日内付清余款。 3.5.2培训要求：专业知识培训及现场设备操作培训，培训时长不少于3天。 3.5.3报价要求：（1）供应商应当根据采购文件的要求和范围，以人民币为货币，以元为报价单位。（2）报价：投标报价是指到达使用地点、验收合格达到正常使用条件前的所有费用，包括但不限于以下费用：货物价值、安装调试费、运杂费（含保险）、仓储保管费、技术培训费、检测费、施工费、人工费、等全部相关费用；（3）投标人所提供的产品型号、产地等重要信息，需要与仪器机身保持一致。 3.5.4谈判保证金注意事项： （1）谈判保证金缴纳截止时间：同响应文件递交截止时间一致。（2）谈判保证金须从供应商户名支付，如从个人户名或非供应商户名支付，将被拒绝，视为自动放弃投标权利（该个人是供应商的情形除外）；以保函形式交纳投标保证金的，供应商应在响应文件截止时间前将保函扫描成清晰的PDF文件，发送至邮箱2559647209@qq.com（邮件命名：项目编号）。保函必须由具有开具投标保函资格的单位开具；若供应商违约，开具保函单位承担连带责任。 （3）未成交供应商的磋商保证金，将在成交通知书发出后5个工作日内无息全额退还，但因供应商自身原因导致无法及时退还的除外。成交供应商的磋商保证金，在服务费足额到账3个工作日内或收到合同3个工作日内退还成交供应商保证金，但因供应商自身原因导致无法及时退还的除外。 3.5.5本项目落实《国务院办公厅关于在政府采购中实施本国产品标准及相关政策的通知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 3.5.6成交供应商应在成交结果发布后2日内提供与电子化交易平台上传一致的纸质响应文件2份。 3.5.7中标方须额外提供搬迁和安装调试一次，搬迁和安装调试过程中所产生的一切费用由中标方承担；搬迁和安装调试过程中仪器出现的一切故障和损坏由中标方负责维修修复。 3.5.8场地基础承载要求：所投设备对安装场地有特殊要求（如承载力、震动、噪音、平整度等），投标人需负责场地等相关环境处理以满足所投设备需求，设备报价需包含相应费用。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供应商为合法注册的法人、其他组织或自然人，具有独立承担民事责任的能力，提供具有统一社会信用代码证的营业执照（或事业单位法人证），分支机构参与投标的，提供有效的分支机构营业执照，以及有效的总公司营业执照及总公司针对本项目的授权书；供应商为自然人的提供身份证； 2、供应商提供2024年度或2025年度经审计完整的财务审计报告（成立时间至提交投标文件截止时间不足一年的可提供成立后任意时段的资产负债表），或其开标前12个月内银行出具的资信证明，或财政部门认可的政府采购专业担保机构出具的投标担保函； 3、提供具有履行本合同所必需专业技术能力的说明及承诺； 4、税收缴纳证明：提供谈判截止时间前12个月内以来任意一个月的依法缴纳税收的相关凭据（时间以税款所属日期为准），凭据应有税务机关或代收机关的公章或业务专用章。依法免税或无须缴纳税收的供应商应提供相应证明文件； 5、社会保障资金缴纳证明：提供谈判截止时间前12个月内任意一个月的社会保障资金缴存单据或社保机构开具的社会保险参保缴费情况证明。依法不需要缴纳社会保障资金的供应商应提供相关文件证明； 6、参加政府采购活动前3年内在经营活动中没有重大违法记录的书面声明。</w:t>
            </w:r>
          </w:p>
        </w:tc>
        <w:tc>
          <w:tcPr>
            <w:tcW w:type="dxa" w:w="1661"/>
          </w:tcPr>
          <w:p>
            <w:pPr>
              <w:pStyle w:val="null3"/>
            </w:pPr>
            <w:r>
              <w:rPr>
                <w:rFonts w:ascii="仿宋_GB2312" w:hAnsi="仿宋_GB2312" w:cs="仿宋_GB2312" w:eastAsia="仿宋_GB2312"/>
              </w:rPr>
              <w:t>3供应商的资格证明材料.docx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3供应商的资格证明材料.docx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3供应商的资格证明材料.docx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法定代表人身份证或法定代表人授权书及授权代表身份证</w:t>
            </w:r>
          </w:p>
        </w:tc>
        <w:tc>
          <w:tcPr>
            <w:tcW w:type="dxa" w:w="3322"/>
          </w:tcPr>
          <w:p>
            <w:pPr>
              <w:pStyle w:val="null3"/>
            </w:pPr>
            <w:r>
              <w:rPr>
                <w:rFonts w:ascii="仿宋_GB2312" w:hAnsi="仿宋_GB2312" w:cs="仿宋_GB2312" w:eastAsia="仿宋_GB2312"/>
              </w:rPr>
              <w:t>供应商应授权合法的人员参加谈判全过程，其中法定代表人直接参加谈判的，须提供法定代表人身份证，并与营业执照上信息一致。法定代表人授权代表参加谈判的，须提供法定代表人授权书及授权代表身份证（授权代表需提供谈判截止时间前半年任意一个月的社保缴纳证明）。</w:t>
            </w:r>
          </w:p>
        </w:tc>
        <w:tc>
          <w:tcPr>
            <w:tcW w:type="dxa" w:w="1661"/>
          </w:tcPr>
          <w:p>
            <w:pPr>
              <w:pStyle w:val="null3"/>
            </w:pPr>
            <w:r>
              <w:rPr>
                <w:rFonts w:ascii="仿宋_GB2312" w:hAnsi="仿宋_GB2312" w:cs="仿宋_GB2312" w:eastAsia="仿宋_GB2312"/>
              </w:rPr>
              <w:t>3供应商的资格证明材料.docx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本项目不接受联合体谈判</w:t>
            </w:r>
          </w:p>
        </w:tc>
        <w:tc>
          <w:tcPr>
            <w:tcW w:type="dxa" w:w="3322"/>
          </w:tcPr>
          <w:p>
            <w:pPr>
              <w:pStyle w:val="null3"/>
            </w:pPr>
            <w:r>
              <w:rPr>
                <w:rFonts w:ascii="仿宋_GB2312" w:hAnsi="仿宋_GB2312" w:cs="仿宋_GB2312" w:eastAsia="仿宋_GB2312"/>
              </w:rPr>
              <w:t>本项目不接受联合体谈判，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3供应商的资格证明材料.docx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1分项价格表.docx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交货时间为本合同生效后60天内到货并安装调试交付使用</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自学校验收合格之日起3年</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合同签订后，供应商开具预付款等额银行保函，采购人收到银行保函正本后10个工作日内支付预付款，最多支付至70万元。验收合格，并出具增值税专用发票，达到付款条件后10个工作日内付清余款</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2商务部分偏离表.docx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1661"/>
          </w:tcPr>
          <w:p>
            <w:pPr>
              <w:pStyle w:val="null3"/>
            </w:pPr>
            <w:r>
              <w:rPr>
                <w:rFonts w:ascii="仿宋_GB2312" w:hAnsi="仿宋_GB2312" w:cs="仿宋_GB2312" w:eastAsia="仿宋_GB2312"/>
              </w:rPr>
              <w:t>响应文件封面 6供应商认为需要提供的其他资料.docx 5技术响应与偏离表.docx 4承诺书.docx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详见附件：3供应商的资格证明材料.docx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详见附件：6供应商认为需要提供的其他资料.docx</w:t>
      </w:r>
    </w:p>
    <w:p>
      <w:pPr>
        <w:pStyle w:val="null3"/>
        <w:ind w:firstLine="960"/>
      </w:pPr>
      <w:r>
        <w:rPr>
          <w:rFonts w:ascii="仿宋_GB2312" w:hAnsi="仿宋_GB2312" w:cs="仿宋_GB2312" w:eastAsia="仿宋_GB2312"/>
        </w:rPr>
        <w:t>详见附件：1分项价格表.docx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