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版本号：XHZB2026-CS-038-00120260610001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媒体宣传服务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XHZB2026-CS-038-001</w:t>
      </w:r>
      <w:r>
        <w:br/>
      </w:r>
      <w:r>
        <w:br/>
      </w:r>
      <w:r>
        <w:br/>
      </w:r>
    </w:p>
    <w:p>
      <w:pPr>
        <w:pStyle w:val="null3"/>
        <w:jc w:val="center"/>
        <w:outlineLvl w:val="2"/>
      </w:pPr>
      <w:r>
        <w:rPr>
          <w:rFonts w:ascii="仿宋_GB2312" w:hAnsi="仿宋_GB2312" w:cs="仿宋_GB2312" w:eastAsia="仿宋_GB2312"/>
          <w:sz w:val="28"/>
          <w:b/>
        </w:rPr>
        <w:t>西安市未央区人民法院[158]</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媒体宣传服务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XHZB2026-CS-038-001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媒体宣传服务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负责西安市未央区人民法院的媒体宣传服务工作。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采购包1（媒体宣传服务）：属于专门面向中小企业采购。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1、身份证明：法定代表人直接参加磋商的须出具法定代表人身份证（须与营业执照上信息一致），法定代表人授权代表参加磋商的须出具法定代表人授权书及授权代表身份证</w:t>
      </w:r>
    </w:p>
    <w:p>
      <w:pPr>
        <w:pStyle w:val="null3"/>
      </w:pPr>
      <w:r>
        <w:rPr>
          <w:rFonts w:ascii="仿宋_GB2312" w:hAnsi="仿宋_GB2312" w:cs="仿宋_GB2312" w:eastAsia="仿宋_GB2312"/>
        </w:rPr>
        <w:t>2、信用查询：供应商在递交响应文件截止时间前在信用中国网站（www.creditchina.gov.cn）和中国政府采购网（www.ccgp.gov.cn）上被列入失信被执行人、重大税收违法案件当事人名单、政府采购严重违法失信行为记录名单的，不得参加磋商</w:t>
      </w:r>
    </w:p>
    <w:p>
      <w:pPr>
        <w:pStyle w:val="null3"/>
      </w:pPr>
      <w:r>
        <w:rPr>
          <w:rFonts w:ascii="仿宋_GB2312" w:hAnsi="仿宋_GB2312" w:cs="仿宋_GB2312" w:eastAsia="仿宋_GB2312"/>
        </w:rPr>
        <w:t>3、供应商不得存在下列情形之一：供应商不得存在下列情形之一：（1）单位负责人为同一人或者存在直接控股、管理关系的不同供应商，不得参加本次采购活动；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88010003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安孜、黄旭、宋培嘉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代理服务费收费标准：参照国家发改委发改价格[2011]534号文件及国家计委计价格[2002]1980号文件规定计取，以成交金额为计算基数，按差额定率累进法计算。本项目代理服务费由 成交单位 承担，标准收取，不足8000元的，按8000元收取，采购代理工作结束后一次性付清。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西安市未央区人民法院[158]</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联系人：安孜、黄旭、宋培嘉</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负责西安市未央区人民法院媒体宣传服务工作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媒体宣传服务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标的名称：媒体宣传服务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1.微信公众号、微博、视频号、抖音、今日头条的日常运维，完善平台的认证续约、常规栏目建设等工作。</w:t>
            </w:r>
          </w:p>
          <w:p>
            <w:pPr>
              <w:pStyle w:val="null3"/>
              <w:jc w:val="left"/>
            </w:pPr>
            <w:r>
              <w:rPr>
                <w:rFonts w:ascii="仿宋_GB2312" w:hAnsi="仿宋_GB2312" w:cs="仿宋_GB2312" w:eastAsia="仿宋_GB2312"/>
              </w:rPr>
              <w:t>2.对新媒体账号进行整体VI设计，形成统一又符合各平台特色的形象设计。</w:t>
            </w:r>
          </w:p>
          <w:p>
            <w:pPr>
              <w:pStyle w:val="null3"/>
              <w:jc w:val="left"/>
            </w:pPr>
            <w:r>
              <w:rPr>
                <w:rFonts w:ascii="仿宋_GB2312" w:hAnsi="仿宋_GB2312" w:cs="仿宋_GB2312" w:eastAsia="仿宋_GB2312"/>
              </w:rPr>
              <w:t>3.结合未央法院工作特点做好宣传信息和视频的采编、发布工作。</w:t>
            </w:r>
          </w:p>
          <w:p>
            <w:pPr>
              <w:pStyle w:val="null3"/>
              <w:jc w:val="left"/>
            </w:pPr>
            <w:r>
              <w:rPr>
                <w:rFonts w:ascii="仿宋_GB2312" w:hAnsi="仿宋_GB2312" w:cs="仿宋_GB2312" w:eastAsia="仿宋_GB2312"/>
              </w:rPr>
              <w:t>4.创新宣传形式。重点工作、重要活动等推出相应主题策划系列报道；制作海报、短视频、H5页面、长图等新媒体产品，不断丰富呈现方式。</w:t>
            </w:r>
          </w:p>
          <w:p>
            <w:pPr>
              <w:pStyle w:val="null3"/>
              <w:jc w:val="left"/>
            </w:pPr>
            <w:r>
              <w:rPr>
                <w:rFonts w:ascii="仿宋_GB2312" w:hAnsi="仿宋_GB2312" w:cs="仿宋_GB2312" w:eastAsia="仿宋_GB2312"/>
              </w:rPr>
              <w:t>5.策划优质传播内容：深入挖掘基层法院的法治文化与人文内涵，策划并制作一系列围绕典型案件、法官风采、司法守护者及社区法治共建等主题的优质传播内容，协调开展省级以上媒体相应的宣传工作，助力公众感知司法公正之美、激发尊法学法守法用法之情。</w:t>
            </w:r>
          </w:p>
          <w:p>
            <w:pPr>
              <w:pStyle w:val="null3"/>
              <w:jc w:val="left"/>
            </w:pPr>
            <w:r>
              <w:rPr>
                <w:rFonts w:ascii="仿宋_GB2312" w:hAnsi="仿宋_GB2312" w:cs="仿宋_GB2312" w:eastAsia="仿宋_GB2312"/>
              </w:rPr>
              <w:t>6.协助日常工作，如重要活动的拍照、信息稿撰写等。</w:t>
            </w:r>
          </w:p>
          <w:p>
            <w:pPr>
              <w:pStyle w:val="null3"/>
              <w:jc w:val="left"/>
            </w:pPr>
            <w:r>
              <w:rPr>
                <w:rFonts w:ascii="仿宋_GB2312" w:hAnsi="仿宋_GB2312" w:cs="仿宋_GB2312" w:eastAsia="仿宋_GB2312"/>
              </w:rPr>
              <w:t>（二）人员配置：</w:t>
            </w:r>
          </w:p>
          <w:p>
            <w:pPr>
              <w:pStyle w:val="null3"/>
              <w:jc w:val="left"/>
            </w:pPr>
            <w:r>
              <w:rPr>
                <w:rFonts w:ascii="仿宋_GB2312" w:hAnsi="仿宋_GB2312" w:cs="仿宋_GB2312" w:eastAsia="仿宋_GB2312"/>
              </w:rPr>
              <w:t>1.团队具有自媒体或媒体属性；</w:t>
            </w:r>
          </w:p>
          <w:p>
            <w:pPr>
              <w:pStyle w:val="null3"/>
              <w:jc w:val="left"/>
            </w:pPr>
            <w:r>
              <w:rPr>
                <w:rFonts w:ascii="仿宋_GB2312" w:hAnsi="仿宋_GB2312" w:cs="仿宋_GB2312" w:eastAsia="仿宋_GB2312"/>
              </w:rPr>
              <w:t>2.人员不得少于3人，分别负责新媒体服务项目规划及安排、视频制作与剪辑、内容创作与编辑等工作；</w:t>
            </w:r>
          </w:p>
          <w:p>
            <w:pPr>
              <w:pStyle w:val="null3"/>
              <w:jc w:val="left"/>
            </w:pPr>
            <w:r>
              <w:rPr>
                <w:rFonts w:ascii="仿宋_GB2312" w:hAnsi="仿宋_GB2312" w:cs="仿宋_GB2312" w:eastAsia="仿宋_GB2312"/>
              </w:rPr>
              <w:t>3.人员需具有2年及以上媒体工作经验；</w:t>
            </w:r>
          </w:p>
          <w:p>
            <w:pPr>
              <w:pStyle w:val="null3"/>
              <w:jc w:val="left"/>
            </w:pPr>
            <w:r>
              <w:rPr>
                <w:rFonts w:ascii="仿宋_GB2312" w:hAnsi="仿宋_GB2312" w:cs="仿宋_GB2312" w:eastAsia="仿宋_GB2312"/>
              </w:rPr>
              <w:t>4.服务形式：驻派。</w:t>
            </w:r>
          </w:p>
          <w:p>
            <w:pPr>
              <w:pStyle w:val="null3"/>
              <w:jc w:val="left"/>
            </w:pPr>
            <w:r>
              <w:rPr>
                <w:rFonts w:ascii="仿宋_GB2312" w:hAnsi="仿宋_GB2312" w:cs="仿宋_GB2312" w:eastAsia="仿宋_GB2312"/>
              </w:rPr>
              <w:t>（三）专业设备：</w:t>
            </w:r>
          </w:p>
          <w:p>
            <w:pPr>
              <w:pStyle w:val="null3"/>
              <w:jc w:val="left"/>
            </w:pPr>
            <w:r>
              <w:rPr>
                <w:rFonts w:ascii="仿宋_GB2312" w:hAnsi="仿宋_GB2312" w:cs="仿宋_GB2312" w:eastAsia="仿宋_GB2312"/>
              </w:rPr>
              <w:t>1.硬件设备：</w:t>
            </w:r>
          </w:p>
          <w:p>
            <w:pPr>
              <w:pStyle w:val="null3"/>
              <w:jc w:val="left"/>
            </w:pPr>
            <w:r>
              <w:rPr>
                <w:rFonts w:ascii="仿宋_GB2312" w:hAnsi="仿宋_GB2312" w:cs="仿宋_GB2312" w:eastAsia="仿宋_GB2312"/>
              </w:rPr>
              <w:t>为新媒体宣传服务</w:t>
            </w:r>
            <w:r>
              <w:rPr>
                <w:rFonts w:ascii="仿宋_GB2312" w:hAnsi="仿宋_GB2312" w:cs="仿宋_GB2312" w:eastAsia="仿宋_GB2312"/>
              </w:rPr>
              <w:t>VI设计、长图、SVG等内容，配备专业的设备。</w:t>
            </w:r>
          </w:p>
          <w:p>
            <w:pPr>
              <w:pStyle w:val="null3"/>
              <w:jc w:val="left"/>
            </w:pPr>
            <w:r>
              <w:rPr>
                <w:rFonts w:ascii="仿宋_GB2312" w:hAnsi="仿宋_GB2312" w:cs="仿宋_GB2312" w:eastAsia="仿宋_GB2312"/>
              </w:rPr>
              <w:t>2.软件工具：</w:t>
            </w:r>
          </w:p>
          <w:p>
            <w:pPr>
              <w:pStyle w:val="null3"/>
              <w:jc w:val="left"/>
            </w:pPr>
            <w:r>
              <w:rPr>
                <w:rFonts w:ascii="仿宋_GB2312" w:hAnsi="仿宋_GB2312" w:cs="仿宋_GB2312" w:eastAsia="仿宋_GB2312"/>
              </w:rPr>
              <w:t>购买或订阅专业的图片制作、动画制作、视频制作等软件工具。</w:t>
            </w:r>
          </w:p>
          <w:p>
            <w:pPr>
              <w:pStyle w:val="null3"/>
              <w:jc w:val="left"/>
            </w:pPr>
            <w:r>
              <w:rPr>
                <w:rFonts w:ascii="仿宋_GB2312" w:hAnsi="仿宋_GB2312" w:cs="仿宋_GB2312" w:eastAsia="仿宋_GB2312"/>
              </w:rPr>
              <w:t>3.安全防护软件：</w:t>
            </w:r>
          </w:p>
          <w:p>
            <w:pPr>
              <w:pStyle w:val="null3"/>
              <w:jc w:val="left"/>
            </w:pPr>
            <w:r>
              <w:rPr>
                <w:rFonts w:ascii="仿宋_GB2312" w:hAnsi="仿宋_GB2312" w:cs="仿宋_GB2312" w:eastAsia="仿宋_GB2312"/>
              </w:rPr>
              <w:t>安装杀毒软件、防火墙等安全防护软件，保证内部信息不泄露。</w:t>
            </w:r>
          </w:p>
          <w:p>
            <w:pPr>
              <w:pStyle w:val="null3"/>
              <w:jc w:val="left"/>
            </w:pPr>
            <w:r>
              <w:rPr>
                <w:rFonts w:ascii="仿宋_GB2312" w:hAnsi="仿宋_GB2312" w:cs="仿宋_GB2312" w:eastAsia="仿宋_GB2312"/>
              </w:rPr>
              <w:t>（四）服务标准：达到国家及行业相关标准，并满足磋商文件要求。</w:t>
            </w:r>
          </w:p>
          <w:p>
            <w:pPr>
              <w:pStyle w:val="null3"/>
              <w:jc w:val="left"/>
            </w:pPr>
            <w:r>
              <w:rPr>
                <w:rFonts w:ascii="仿宋_GB2312" w:hAnsi="仿宋_GB2312" w:cs="仿宋_GB2312" w:eastAsia="仿宋_GB2312"/>
              </w:rPr>
              <w:t>（五）成果交付要求</w:t>
            </w:r>
          </w:p>
          <w:p>
            <w:pPr>
              <w:pStyle w:val="null3"/>
              <w:jc w:val="left"/>
            </w:pPr>
            <w:r>
              <w:rPr>
                <w:rFonts w:ascii="仿宋_GB2312" w:hAnsi="仿宋_GB2312" w:cs="仿宋_GB2312" w:eastAsia="仿宋_GB2312"/>
              </w:rPr>
              <w:t>1.微信每天完成1条以上内容制作发布；</w:t>
            </w:r>
          </w:p>
          <w:p>
            <w:pPr>
              <w:pStyle w:val="null3"/>
              <w:jc w:val="left"/>
            </w:pPr>
            <w:r>
              <w:rPr>
                <w:rFonts w:ascii="仿宋_GB2312" w:hAnsi="仿宋_GB2312" w:cs="仿宋_GB2312" w:eastAsia="仿宋_GB2312"/>
              </w:rPr>
              <w:t>2.微博每天发布不少于12条，全年共计完成4380条；</w:t>
            </w:r>
          </w:p>
          <w:p>
            <w:pPr>
              <w:pStyle w:val="null3"/>
              <w:jc w:val="left"/>
            </w:pPr>
            <w:r>
              <w:rPr>
                <w:rFonts w:ascii="仿宋_GB2312" w:hAnsi="仿宋_GB2312" w:cs="仿宋_GB2312" w:eastAsia="仿宋_GB2312"/>
              </w:rPr>
              <w:t>3.抖音、视频号全年完成30条以上原创视频制作发布；</w:t>
            </w:r>
          </w:p>
          <w:p>
            <w:pPr>
              <w:pStyle w:val="null3"/>
              <w:jc w:val="left"/>
            </w:pPr>
            <w:r>
              <w:rPr>
                <w:rFonts w:ascii="仿宋_GB2312" w:hAnsi="仿宋_GB2312" w:cs="仿宋_GB2312" w:eastAsia="仿宋_GB2312"/>
              </w:rPr>
              <w:t>4.全年制作长图、H5等新媒体产品不少于50次；</w:t>
            </w:r>
          </w:p>
          <w:p>
            <w:pPr>
              <w:pStyle w:val="null3"/>
            </w:pPr>
            <w:r>
              <w:rPr>
                <w:rFonts w:ascii="仿宋_GB2312" w:hAnsi="仿宋_GB2312" w:cs="仿宋_GB2312" w:eastAsia="仿宋_GB2312"/>
                <w:sz w:val="21"/>
              </w:rPr>
              <w:t>5.省级电视媒体宣传不少于3次；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预付款，合同签订后乙方向甲方提供等额增值税普通发票，达到付款条件起15个工作日内，支付合同总金额的50.0%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进度款，根据项目进度由乙方提交验收资料，经采购人确认后，达到付款条件起15个工作日内，支付合同总金额的50.0%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供应商应提交的相关资格证明材料.docx 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法定代表人直接参加磋商的须出具法定代表人身份证（须与营业执照上信息一致），法定代表人授权代表参加磋商的须出具法定代表人授权书及授权代表身份证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在信用中国网站（www.creditchina.gov.cn）和中国政府采购网（www.ccgp.gov.cn）上被列入失信被执行人、重大税收违法案件当事人名单、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磋商响应报价表.docx 响应承诺书.docx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响应承诺书.docx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对本项目的理解和认识</w:t>
            </w:r>
          </w:p>
        </w:tc>
        <w:tc>
          <w:tcPr>
            <w:tcW w:type="dxa" w:w="2492"/>
          </w:tcPr>
          <w:p>
            <w:pPr>
              <w:pStyle w:val="null3"/>
            </w:pPr>
            <w:r>
              <w:rPr>
                <w:rFonts w:ascii="仿宋_GB2312" w:hAnsi="仿宋_GB2312" w:cs="仿宋_GB2312" w:eastAsia="仿宋_GB2312"/>
              </w:rPr>
              <w:t>一、评审内容 供应商对本项目的理解和认识，内容包括：①对本项目的理解和认识②工作范围。 二、评审标准 1.完整性：切合本项目实际情况，方案内容全面，且有详细描述； 2.合理性：方案分析符合项目实际特点，合理、恰当； 三、赋分标准（满分5分） ①对本项目的理解和认识：每完全满足一个评审标准得1.5分，满分3分； ②工作范围：每完全满足一个评审标准得1分，满分2分；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供应商针对本项目提供服务方案，内容包括：①工作思路②内容重点及成果形式。 二、评审标准 1.完整性：切合本项目实际情况，方案内容全面，且有详细描述； 2.合理性：方案分析符合项目实际特点，合理、恰当； 三、赋分标准（满分5分） ①工作思路：每完全满足一个评审标准得1.5分，满分3分； ②内容重点及成果形式：每完全满足一个评审标准得1分，满分2分；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一、评审内容 供应商针对本项目提供质量控制管理措施，内容包括：①质量控制措施②质量控制目标。 二、评审标准 1.完整性：切合本项目实际情况，方案内容全面，且有详细描述； 2.合理性：方案分析符合项目实际特点，合理、恰当； 三、赋分标准（满分5分） ①质量控制措施：每完全满足一个评审标准得1.5分，满分3分； ②质量控制目标：每完全满足一个评审标准得1分，满分2分；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一、评审内容 供应商针对本项目提供进度控制管理措施，内容包括：①进度保障措施②进度控制目标。 二、评审标准 1.完整性：切合本项目实际情况，方案内容全面，且有详细描述； 2.合理性：方案分析符合项目实际特点，合理、恰当； 三、赋分标准（满分5分） ①进度保障措施：每完全满足一个评审标准得1.5分，满分3分； ②进度控制目标：每完全满足一个评审标准得1分，满分2分；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一、评审内容 针对本项目的保密制度及措施，内容包括：①保密制度②保密措施。 二、评审标准 1.完整性：切合本项目实际情况，方案内容全面，且有详细描述； 2.合理性：方案分析符合项目实际特点，合理、恰当； 三、赋分标准（满分5分） ①保密制度：每完全满足一个评审标准得1.5分，满分3分； ②保密措施：每完全满足一个评审标准得1分，满分2分；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一、评审内容 针对本项目的合理化建议及服务承诺，内容包括：①合理化建议②服务承诺。 二、评审标准 1.完整性：切合本项目实际情况，方案内容全面，且有详细描述； 2.合理性：方案分析符合项目实际特点，合理、恰当； 三、赋分标准（满分5分） ①合理化建议：每完全满足一个评审标准得1.5分，满分3分； ②服务承诺：每完全满足一个评审标准得1分，满分2分；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1.具有本科及以上学历得2分，专科学历得1分，其余不得分； 2.具有3年及以上新媒体服务经验，并提供证明材料。符合要求得3分；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1.团队人员配备（含项目负责人）在满足3人要求的基础上，每增加1人得1分，满分3分。 2.团队人员工作经验在满足2年的基础上，每有一人增加1年工作经验得0.5分，满分2分。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针对本项目的人员方案，内容包括：①团队组建②岗位职责。 二、评审标准 1.完整性：切合本项目实际情况，方案内容全面，且有详细描述； 2.合理性：方案分析符合项目实际特点，合理、恰当； 三、赋分标准（满分5分） ①团队组建：每完全满足一个评审标准得1.5分，满分3分； ②岗位职责：每完全满足一个评审标准得1分，满分2分；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 供应商针对本项目提供重难点分析及应对措施，内容包括：①重点难点分析②具体应对措施。 二、评审标准 1.完整性：切合本项目实际情况，方案内容全面，且有详细描述； 2.合理性：方案分析符合项目实际特点，合理、恰当； 三、赋分标准（满分5分） ①重点难点分析：每完全满足一个评审标准得1.5分，满分3分； ②具体应对措施：每完全满足一个评审标准得1分，满分2分；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运营账号历史数据</w:t>
            </w:r>
          </w:p>
        </w:tc>
        <w:tc>
          <w:tcPr>
            <w:tcW w:type="dxa" w:w="2492"/>
          </w:tcPr>
          <w:p>
            <w:pPr>
              <w:pStyle w:val="null3"/>
            </w:pPr>
            <w:r>
              <w:rPr>
                <w:rFonts w:ascii="仿宋_GB2312" w:hAnsi="仿宋_GB2312" w:cs="仿宋_GB2312" w:eastAsia="仿宋_GB2312"/>
              </w:rPr>
              <w:t>供应商自主运营宣传类账号: 单账号平均每月阅读/播放量大于10万得5分;5-10万得3分;其余不得分。 需附平台创作者后台完整数据截图(带账号ID、时间)。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内容审核机制及数据复盘服务</w:t>
            </w:r>
          </w:p>
        </w:tc>
        <w:tc>
          <w:tcPr>
            <w:tcW w:type="dxa" w:w="2492"/>
          </w:tcPr>
          <w:p>
            <w:pPr>
              <w:pStyle w:val="null3"/>
            </w:pPr>
            <w:r>
              <w:rPr>
                <w:rFonts w:ascii="仿宋_GB2312" w:hAnsi="仿宋_GB2312" w:cs="仿宋_GB2312" w:eastAsia="仿宋_GB2312"/>
              </w:rPr>
              <w:t>1.建立完善的内容审核制度得3分，未提供不得分； 2.按月度提供新媒体宣传数据复盘报告，提供报告模板范本得2分，未提供不得分。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1.承诺提供新媒体宣传培训（每月不少于2小时），得3分；未承诺不得分。 2.提供培训资料得2分；未提供不得分。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针对本项目提供设备配备，每提供1套硬件设备或软件工具得2.5分，本项最多得10分。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针对本项目实际情况，结合项目特点为采购人提供相应的增值服务内容，每提供一个得2.5分，满分5分。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供应商提供近三年（2023年1月1日至今）同类项目业绩，响应文件中附有其业绩证明材料，业绩以合同文件或中标（成交）通知书为依据，每提供一个计2.5分，满分10分。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