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4C0B5">
      <w:pPr>
        <w:pStyle w:val="2"/>
        <w:bidi w:val="0"/>
        <w:spacing w:before="0" w:after="0" w:line="240" w:lineRule="auto"/>
        <w:jc w:val="both"/>
        <w:rPr>
          <w:rFonts w:hint="eastAsia" w:ascii="仿宋" w:hAnsi="仿宋" w:eastAsia="仿宋" w:cs="仿宋"/>
          <w:sz w:val="72"/>
          <w:szCs w:val="36"/>
          <w:lang w:val="en-US" w:eastAsia="zh-CN"/>
        </w:rPr>
      </w:pPr>
    </w:p>
    <w:p w14:paraId="4E86ECC1">
      <w:pPr>
        <w:pStyle w:val="2"/>
        <w:bidi w:val="0"/>
        <w:spacing w:line="240" w:lineRule="auto"/>
        <w:jc w:val="center"/>
        <w:rPr>
          <w:rFonts w:hint="eastAsia" w:ascii="仿宋" w:hAnsi="仿宋" w:eastAsia="仿宋" w:cs="仿宋"/>
          <w:b w:val="0"/>
          <w:bCs/>
          <w:w w:val="100"/>
          <w:sz w:val="56"/>
          <w:szCs w:val="28"/>
          <w:lang w:val="en-US" w:eastAsia="zh-CN"/>
        </w:rPr>
      </w:pPr>
      <w:r>
        <w:rPr>
          <w:rFonts w:hint="eastAsia" w:ascii="仿宋" w:hAnsi="仿宋" w:eastAsia="仿宋" w:cs="仿宋"/>
          <w:b w:val="0"/>
          <w:bCs/>
          <w:w w:val="100"/>
          <w:sz w:val="56"/>
          <w:szCs w:val="28"/>
          <w:lang w:val="en-US" w:eastAsia="zh-CN"/>
        </w:rPr>
        <w:t>项目合同书</w:t>
      </w:r>
    </w:p>
    <w:p w14:paraId="245668E5">
      <w:pPr>
        <w:spacing w:line="240" w:lineRule="auto"/>
        <w:rPr>
          <w:rFonts w:hint="eastAsia" w:ascii="仿宋" w:hAnsi="仿宋" w:eastAsia="仿宋" w:cs="仿宋"/>
          <w:b w:val="0"/>
          <w:bCs/>
          <w:w w:val="100"/>
          <w:sz w:val="18"/>
          <w:szCs w:val="20"/>
          <w:lang w:val="en-US" w:eastAsia="zh-CN"/>
        </w:rPr>
      </w:pPr>
    </w:p>
    <w:p w14:paraId="0FED179F">
      <w:pPr>
        <w:pStyle w:val="2"/>
        <w:bidi w:val="0"/>
        <w:spacing w:line="240" w:lineRule="auto"/>
        <w:jc w:val="center"/>
        <w:rPr>
          <w:rFonts w:hint="eastAsia" w:ascii="仿宋" w:hAnsi="仿宋" w:eastAsia="仿宋" w:cs="仿宋"/>
          <w:b w:val="0"/>
          <w:bCs/>
          <w:w w:val="100"/>
          <w:sz w:val="44"/>
          <w:szCs w:val="22"/>
          <w:lang w:val="en-US" w:eastAsia="zh-CN"/>
        </w:rPr>
      </w:pPr>
      <w:r>
        <w:rPr>
          <w:rFonts w:hint="eastAsia" w:ascii="仿宋" w:hAnsi="仿宋" w:eastAsia="仿宋" w:cs="仿宋"/>
          <w:b w:val="0"/>
          <w:bCs/>
          <w:w w:val="100"/>
          <w:sz w:val="56"/>
          <w:szCs w:val="28"/>
          <w:lang w:val="en-US" w:eastAsia="zh-CN"/>
        </w:rPr>
        <w:t>媒体宣传服务</w:t>
      </w:r>
      <w:r>
        <w:rPr>
          <w:rFonts w:hint="eastAsia" w:ascii="仿宋" w:hAnsi="仿宋" w:eastAsia="仿宋" w:cs="仿宋"/>
          <w:b w:val="0"/>
          <w:bCs/>
          <w:w w:val="100"/>
          <w:sz w:val="56"/>
          <w:szCs w:val="28"/>
        </w:rPr>
        <w:t>合同</w:t>
      </w:r>
    </w:p>
    <w:p w14:paraId="49CCDF9B">
      <w:pPr>
        <w:spacing w:line="240" w:lineRule="auto"/>
        <w:rPr>
          <w:rFonts w:hint="eastAsia" w:ascii="仿宋" w:hAnsi="仿宋" w:eastAsia="仿宋" w:cs="仿宋"/>
          <w:b w:val="0"/>
          <w:bCs/>
          <w:sz w:val="52"/>
          <w:szCs w:val="28"/>
          <w:lang w:val="en-US" w:eastAsia="zh-CN"/>
        </w:rPr>
      </w:pPr>
    </w:p>
    <w:p w14:paraId="7EBA2A70">
      <w:pPr>
        <w:spacing w:line="240" w:lineRule="auto"/>
        <w:rPr>
          <w:rFonts w:hint="eastAsia" w:ascii="仿宋" w:hAnsi="仿宋" w:eastAsia="仿宋" w:cs="仿宋"/>
          <w:b w:val="0"/>
          <w:bCs/>
          <w:sz w:val="52"/>
          <w:szCs w:val="28"/>
          <w:lang w:val="en-US" w:eastAsia="zh-CN"/>
        </w:rPr>
      </w:pPr>
    </w:p>
    <w:p w14:paraId="0FF71978">
      <w:pPr>
        <w:spacing w:line="240" w:lineRule="auto"/>
        <w:rPr>
          <w:rFonts w:hint="eastAsia" w:ascii="仿宋" w:hAnsi="仿宋" w:eastAsia="仿宋" w:cs="仿宋"/>
          <w:b w:val="0"/>
          <w:bCs/>
          <w:sz w:val="52"/>
          <w:szCs w:val="28"/>
          <w:lang w:val="en-US" w:eastAsia="zh-CN"/>
        </w:rPr>
      </w:pPr>
    </w:p>
    <w:p w14:paraId="5BAE468D">
      <w:pPr>
        <w:spacing w:line="240" w:lineRule="auto"/>
        <w:rPr>
          <w:rFonts w:hint="eastAsia" w:ascii="仿宋" w:hAnsi="仿宋" w:eastAsia="仿宋" w:cs="仿宋"/>
          <w:b w:val="0"/>
          <w:bCs/>
          <w:sz w:val="52"/>
          <w:szCs w:val="28"/>
          <w:lang w:val="en-US" w:eastAsia="zh-CN"/>
        </w:rPr>
      </w:pPr>
    </w:p>
    <w:p w14:paraId="25EF1DE4">
      <w:pPr>
        <w:spacing w:line="240" w:lineRule="auto"/>
        <w:rPr>
          <w:rFonts w:hint="eastAsia" w:ascii="仿宋" w:hAnsi="仿宋" w:eastAsia="仿宋" w:cs="仿宋"/>
          <w:b w:val="0"/>
          <w:bCs/>
          <w:sz w:val="52"/>
          <w:szCs w:val="28"/>
          <w:lang w:val="en-US" w:eastAsia="zh-CN"/>
        </w:rPr>
      </w:pPr>
    </w:p>
    <w:p w14:paraId="325527B0">
      <w:pPr>
        <w:spacing w:line="240" w:lineRule="auto"/>
        <w:rPr>
          <w:rFonts w:hint="eastAsia" w:ascii="仿宋" w:hAnsi="仿宋" w:eastAsia="仿宋" w:cs="仿宋"/>
          <w:b w:val="0"/>
          <w:bCs/>
          <w:sz w:val="52"/>
          <w:szCs w:val="28"/>
          <w:lang w:val="en-US" w:eastAsia="zh-CN"/>
        </w:rPr>
      </w:pPr>
    </w:p>
    <w:p w14:paraId="65DF261F">
      <w:pPr>
        <w:widowControl/>
        <w:spacing w:line="240" w:lineRule="auto"/>
        <w:jc w:val="left"/>
        <w:rPr>
          <w:rFonts w:hint="eastAsia" w:ascii="仿宋" w:hAnsi="仿宋" w:eastAsia="仿宋" w:cs="仿宋"/>
          <w:sz w:val="16"/>
          <w:szCs w:val="18"/>
        </w:rPr>
      </w:pPr>
      <w:r>
        <w:rPr>
          <w:rFonts w:hint="eastAsia" w:ascii="仿宋" w:hAnsi="仿宋" w:eastAsia="仿宋" w:cs="仿宋"/>
          <w:b w:val="0"/>
          <w:bCs/>
          <w:sz w:val="32"/>
          <w:szCs w:val="18"/>
          <w:lang w:val="en-US" w:eastAsia="zh-CN"/>
        </w:rPr>
        <w:t>甲方</w:t>
      </w:r>
      <w:r>
        <w:rPr>
          <w:rFonts w:hint="eastAsia" w:ascii="仿宋" w:hAnsi="仿宋" w:eastAsia="仿宋" w:cs="仿宋"/>
          <w:b w:val="0"/>
          <w:bCs/>
          <w:kern w:val="44"/>
          <w:sz w:val="32"/>
          <w:szCs w:val="18"/>
          <w:lang w:val="en-US" w:eastAsia="zh-CN" w:bidi="ar-SA"/>
        </w:rPr>
        <w:t>：西安市未央区人民法院</w:t>
      </w:r>
    </w:p>
    <w:p w14:paraId="2BA12095">
      <w:pPr>
        <w:pStyle w:val="2"/>
        <w:bidi w:val="0"/>
        <w:spacing w:line="240" w:lineRule="auto"/>
        <w:jc w:val="both"/>
        <w:rPr>
          <w:rFonts w:hint="eastAsia" w:ascii="仿宋" w:hAnsi="仿宋" w:eastAsia="仿宋" w:cs="仿宋"/>
          <w:b w:val="0"/>
          <w:bCs/>
          <w:sz w:val="32"/>
          <w:szCs w:val="18"/>
          <w:lang w:val="en-US" w:eastAsia="zh-CN"/>
        </w:rPr>
      </w:pPr>
      <w:r>
        <w:rPr>
          <w:rFonts w:hint="eastAsia" w:ascii="仿宋" w:hAnsi="仿宋" w:eastAsia="仿宋" w:cs="仿宋"/>
          <w:b w:val="0"/>
          <w:bCs/>
          <w:sz w:val="32"/>
          <w:szCs w:val="18"/>
          <w:lang w:val="en-US" w:eastAsia="zh-CN"/>
        </w:rPr>
        <w:t>乙方：</w:t>
      </w:r>
    </w:p>
    <w:p w14:paraId="00B25F6F">
      <w:pPr>
        <w:pStyle w:val="2"/>
        <w:bidi w:val="0"/>
        <w:spacing w:line="240" w:lineRule="auto"/>
        <w:jc w:val="both"/>
        <w:rPr>
          <w:rFonts w:hint="eastAsia" w:ascii="仿宋" w:hAnsi="仿宋" w:eastAsia="仿宋" w:cs="仿宋"/>
          <w:b w:val="0"/>
          <w:bCs/>
          <w:sz w:val="32"/>
          <w:szCs w:val="18"/>
          <w:lang w:val="en-US" w:eastAsia="zh-CN"/>
        </w:rPr>
      </w:pPr>
      <w:r>
        <w:rPr>
          <w:rFonts w:hint="eastAsia" w:ascii="仿宋" w:hAnsi="仿宋" w:eastAsia="仿宋" w:cs="仿宋"/>
          <w:b w:val="0"/>
          <w:bCs/>
          <w:sz w:val="32"/>
          <w:szCs w:val="18"/>
          <w:lang w:val="en-US" w:eastAsia="zh-CN"/>
        </w:rPr>
        <w:t>签订日期：</w:t>
      </w:r>
    </w:p>
    <w:p w14:paraId="3C98B3AF">
      <w:pPr>
        <w:spacing w:line="240" w:lineRule="auto"/>
        <w:rPr>
          <w:rFonts w:hint="eastAsia" w:ascii="仿宋" w:hAnsi="仿宋" w:eastAsia="仿宋" w:cs="仿宋"/>
          <w:b/>
          <w:bCs w:val="0"/>
          <w:color w:val="auto"/>
          <w:kern w:val="2"/>
          <w:sz w:val="24"/>
          <w:szCs w:val="24"/>
          <w:lang w:val="en-US" w:eastAsia="zh-CN" w:bidi="ar-SA"/>
        </w:rPr>
      </w:pPr>
    </w:p>
    <w:p w14:paraId="4FC60FE3">
      <w:pPr>
        <w:pStyle w:val="9"/>
        <w:spacing w:line="240" w:lineRule="auto"/>
        <w:rPr>
          <w:rFonts w:hint="eastAsia" w:ascii="仿宋" w:hAnsi="仿宋" w:eastAsia="仿宋" w:cs="仿宋"/>
          <w:sz w:val="44"/>
          <w:szCs w:val="22"/>
          <w:lang w:eastAsia="zh-CN"/>
        </w:rPr>
      </w:pPr>
    </w:p>
    <w:p w14:paraId="1EA50F54">
      <w:pPr>
        <w:pStyle w:val="9"/>
        <w:spacing w:line="240" w:lineRule="auto"/>
        <w:jc w:val="center"/>
        <w:rPr>
          <w:rFonts w:hint="eastAsia" w:ascii="仿宋" w:hAnsi="仿宋" w:eastAsia="仿宋" w:cs="仿宋"/>
          <w:b/>
          <w:bCs/>
          <w:color w:val="auto"/>
          <w:sz w:val="24"/>
          <w:szCs w:val="24"/>
        </w:rPr>
      </w:pPr>
      <w:r>
        <w:rPr>
          <w:rFonts w:hint="eastAsia" w:ascii="仿宋" w:hAnsi="仿宋" w:eastAsia="仿宋" w:cs="仿宋"/>
          <w:b/>
          <w:bCs/>
          <w:sz w:val="44"/>
          <w:szCs w:val="22"/>
          <w:lang w:eastAsia="zh-CN"/>
        </w:rPr>
        <w:t>媒体宣传服务合同</w:t>
      </w:r>
    </w:p>
    <w:p w14:paraId="187E67F6">
      <w:pPr>
        <w:keepNext w:val="0"/>
        <w:keepLines w:val="0"/>
        <w:widowControl/>
        <w:suppressLineNumbers w:val="0"/>
        <w:spacing w:line="240" w:lineRule="auto"/>
        <w:ind w:firstLine="482" w:firstLineChars="200"/>
        <w:jc w:val="left"/>
        <w:rPr>
          <w:rFonts w:hint="eastAsia" w:ascii="仿宋" w:hAnsi="仿宋" w:eastAsia="仿宋" w:cs="仿宋"/>
          <w:b/>
          <w:bCs w:val="0"/>
          <w:color w:val="auto"/>
          <w:sz w:val="24"/>
          <w:szCs w:val="24"/>
        </w:rPr>
      </w:pPr>
    </w:p>
    <w:p w14:paraId="0F881B34">
      <w:pPr>
        <w:keepNext w:val="0"/>
        <w:keepLines w:val="0"/>
        <w:widowControl/>
        <w:suppressLineNumbers w:val="0"/>
        <w:spacing w:line="240" w:lineRule="auto"/>
        <w:ind w:firstLine="480" w:firstLineChars="200"/>
        <w:jc w:val="left"/>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甲方：</w:t>
      </w:r>
    </w:p>
    <w:p w14:paraId="0E9F6336">
      <w:pPr>
        <w:keepNext w:val="0"/>
        <w:keepLines w:val="0"/>
        <w:widowControl/>
        <w:suppressLineNumbers w:val="0"/>
        <w:spacing w:line="240" w:lineRule="auto"/>
        <w:ind w:firstLine="480" w:firstLineChars="200"/>
        <w:jc w:val="left"/>
        <w:rPr>
          <w:rFonts w:hint="eastAsia" w:ascii="仿宋" w:hAnsi="仿宋" w:eastAsia="仿宋" w:cs="仿宋"/>
          <w:b/>
          <w:bCs w:val="0"/>
          <w:color w:val="auto"/>
          <w:sz w:val="24"/>
          <w:szCs w:val="24"/>
        </w:rPr>
      </w:pPr>
      <w:r>
        <w:rPr>
          <w:rFonts w:hint="eastAsia" w:ascii="仿宋" w:hAnsi="仿宋" w:eastAsia="仿宋" w:cs="仿宋"/>
          <w:b w:val="0"/>
          <w:bCs/>
          <w:color w:val="auto"/>
          <w:sz w:val="24"/>
          <w:szCs w:val="24"/>
        </w:rPr>
        <w:t>乙方：</w:t>
      </w:r>
    </w:p>
    <w:p w14:paraId="7871DAB1">
      <w:pPr>
        <w:pStyle w:val="9"/>
        <w:spacing w:line="240" w:lineRule="auto"/>
        <w:rPr>
          <w:rFonts w:hint="eastAsia" w:ascii="仿宋" w:hAnsi="仿宋" w:eastAsia="仿宋" w:cs="仿宋"/>
          <w:b w:val="0"/>
          <w:bCs/>
          <w:color w:val="auto"/>
          <w:sz w:val="24"/>
          <w:szCs w:val="24"/>
        </w:rPr>
      </w:pPr>
    </w:p>
    <w:p w14:paraId="39E008BE">
      <w:pPr>
        <w:spacing w:line="240" w:lineRule="auto"/>
        <w:ind w:firstLine="386" w:firstLineChars="161"/>
        <w:jc w:val="left"/>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鉴于：甲方为主办方，乙方为执行方。根据中华人民共和国《中华人民共和国民法典</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中华人民共和国广告法》及有关规定，甲方与乙方本着平等互利、相互尊重的原则，就甲方</w:t>
      </w:r>
      <w:r>
        <w:rPr>
          <w:rFonts w:hint="eastAsia" w:ascii="仿宋" w:hAnsi="仿宋" w:eastAsia="仿宋" w:cs="仿宋"/>
          <w:b w:val="0"/>
          <w:bCs/>
          <w:color w:val="auto"/>
          <w:sz w:val="24"/>
          <w:szCs w:val="24"/>
          <w:lang w:eastAsia="zh-CN"/>
        </w:rPr>
        <w:t>西安市未央区人民法院</w:t>
      </w:r>
      <w:r>
        <w:rPr>
          <w:rFonts w:hint="eastAsia" w:ascii="仿宋" w:hAnsi="仿宋" w:eastAsia="仿宋" w:cs="仿宋"/>
          <w:b w:val="0"/>
          <w:bCs/>
          <w:color w:val="auto"/>
          <w:sz w:val="24"/>
          <w:szCs w:val="24"/>
          <w:lang w:val="en-US" w:eastAsia="zh-CN"/>
        </w:rPr>
        <w:t>媒体宣传服务</w:t>
      </w:r>
      <w:r>
        <w:rPr>
          <w:rFonts w:hint="eastAsia" w:ascii="仿宋" w:hAnsi="仿宋" w:eastAsia="仿宋" w:cs="仿宋"/>
          <w:b w:val="0"/>
          <w:bCs/>
          <w:color w:val="auto"/>
          <w:sz w:val="24"/>
          <w:szCs w:val="24"/>
          <w:lang w:eastAsia="zh-CN"/>
        </w:rPr>
        <w:t>项目</w:t>
      </w:r>
      <w:r>
        <w:rPr>
          <w:rFonts w:hint="eastAsia" w:ascii="仿宋" w:hAnsi="仿宋" w:eastAsia="仿宋" w:cs="仿宋"/>
          <w:b w:val="0"/>
          <w:bCs/>
          <w:color w:val="auto"/>
          <w:sz w:val="24"/>
          <w:szCs w:val="24"/>
        </w:rPr>
        <w:t>，相关宣传服务事宜进行合作，为明确双方的权利，义务和经济责任，经友好协商签订本合约，以资共同遵守。达成如下协议：</w:t>
      </w:r>
    </w:p>
    <w:p w14:paraId="34572A02">
      <w:pPr>
        <w:pStyle w:val="3"/>
        <w:pageBreakBefore w:val="0"/>
        <w:kinsoku/>
        <w:wordWrap/>
        <w:overflowPunct/>
        <w:topLinePunct w:val="0"/>
        <w:autoSpaceDE/>
        <w:autoSpaceDN/>
        <w:bidi w:val="0"/>
        <w:adjustRightInd/>
        <w:snapToGrid/>
        <w:spacing w:before="156" w:after="156"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一、合作内容</w:t>
      </w:r>
    </w:p>
    <w:p w14:paraId="26CA2E57">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1、服务期限：</w:t>
      </w:r>
      <w:r>
        <w:rPr>
          <w:rFonts w:hint="eastAsia" w:ascii="仿宋" w:hAnsi="仿宋" w:eastAsia="仿宋" w:cs="仿宋"/>
          <w:b/>
          <w:bCs w:val="0"/>
          <w:color w:val="auto"/>
          <w:sz w:val="24"/>
          <w:szCs w:val="24"/>
          <w:lang w:val="en-US" w:eastAsia="zh-CN"/>
        </w:rPr>
        <w:t>自合同签订生效之日</w:t>
      </w:r>
      <w:r>
        <w:rPr>
          <w:rFonts w:hint="eastAsia" w:ascii="仿宋" w:hAnsi="仿宋" w:eastAsia="仿宋" w:cs="仿宋"/>
          <w:b/>
          <w:bCs w:val="0"/>
          <w:color w:val="auto"/>
          <w:sz w:val="24"/>
          <w:szCs w:val="24"/>
          <w:highlight w:val="none"/>
          <w:lang w:val="en-US" w:eastAsia="zh-CN"/>
        </w:rPr>
        <w:t>起</w:t>
      </w:r>
      <w:r>
        <w:rPr>
          <w:rFonts w:hint="eastAsia" w:ascii="仿宋" w:hAnsi="仿宋" w:eastAsia="仿宋" w:cs="仿宋"/>
          <w:b/>
          <w:bCs w:val="0"/>
          <w:color w:val="auto"/>
          <w:sz w:val="24"/>
          <w:szCs w:val="24"/>
          <w:highlight w:val="none"/>
        </w:rPr>
        <w:t>至</w:t>
      </w:r>
      <w:r>
        <w:rPr>
          <w:rFonts w:hint="eastAsia" w:ascii="仿宋" w:hAnsi="仿宋" w:eastAsia="仿宋" w:cs="仿宋"/>
          <w:b/>
          <w:bCs w:val="0"/>
          <w:color w:val="auto"/>
          <w:sz w:val="24"/>
          <w:szCs w:val="24"/>
          <w:highlight w:val="none"/>
          <w:lang w:val="en-US" w:eastAsia="zh-CN"/>
        </w:rPr>
        <w:t xml:space="preserve"> </w:t>
      </w:r>
      <w:r>
        <w:rPr>
          <w:rFonts w:hint="eastAsia" w:ascii="仿宋" w:hAnsi="仿宋" w:eastAsia="仿宋" w:cs="仿宋"/>
          <w:b/>
          <w:bCs w:val="0"/>
          <w:color w:val="auto"/>
          <w:sz w:val="24"/>
          <w:szCs w:val="24"/>
          <w:highlight w:val="none"/>
          <w:u w:val="single"/>
          <w:lang w:val="en-US" w:eastAsia="zh-CN"/>
        </w:rPr>
        <w:t xml:space="preserve">    </w:t>
      </w:r>
      <w:r>
        <w:rPr>
          <w:rFonts w:hint="eastAsia" w:ascii="仿宋" w:hAnsi="仿宋" w:eastAsia="仿宋" w:cs="仿宋"/>
          <w:b/>
          <w:bCs w:val="0"/>
          <w:color w:val="auto"/>
          <w:sz w:val="24"/>
          <w:szCs w:val="24"/>
          <w:highlight w:val="none"/>
        </w:rPr>
        <w:t>年</w:t>
      </w:r>
      <w:r>
        <w:rPr>
          <w:rFonts w:hint="eastAsia" w:ascii="仿宋" w:hAnsi="仿宋" w:eastAsia="仿宋" w:cs="仿宋"/>
          <w:b/>
          <w:bCs w:val="0"/>
          <w:color w:val="auto"/>
          <w:sz w:val="24"/>
          <w:szCs w:val="24"/>
          <w:highlight w:val="none"/>
          <w:u w:val="single"/>
          <w:lang w:val="en-US" w:eastAsia="zh-CN"/>
        </w:rPr>
        <w:t xml:space="preserve">     </w:t>
      </w:r>
      <w:r>
        <w:rPr>
          <w:rFonts w:hint="eastAsia" w:ascii="仿宋" w:hAnsi="仿宋" w:eastAsia="仿宋" w:cs="仿宋"/>
          <w:b/>
          <w:bCs w:val="0"/>
          <w:color w:val="auto"/>
          <w:sz w:val="24"/>
          <w:szCs w:val="24"/>
          <w:highlight w:val="none"/>
        </w:rPr>
        <w:t>月</w:t>
      </w:r>
      <w:r>
        <w:rPr>
          <w:rFonts w:hint="eastAsia" w:ascii="仿宋" w:hAnsi="仿宋" w:eastAsia="仿宋" w:cs="仿宋"/>
          <w:b/>
          <w:bCs w:val="0"/>
          <w:color w:val="auto"/>
          <w:sz w:val="24"/>
          <w:szCs w:val="24"/>
          <w:highlight w:val="none"/>
          <w:u w:val="single"/>
          <w:lang w:val="en-US" w:eastAsia="zh-CN"/>
        </w:rPr>
        <w:t xml:space="preserve">     </w:t>
      </w:r>
      <w:r>
        <w:rPr>
          <w:rFonts w:hint="eastAsia" w:ascii="仿宋" w:hAnsi="仿宋" w:eastAsia="仿宋" w:cs="仿宋"/>
          <w:b/>
          <w:bCs w:val="0"/>
          <w:color w:val="auto"/>
          <w:sz w:val="24"/>
          <w:szCs w:val="24"/>
          <w:highlight w:val="none"/>
        </w:rPr>
        <w:t>日</w:t>
      </w:r>
      <w:r>
        <w:rPr>
          <w:rFonts w:hint="eastAsia" w:ascii="仿宋" w:hAnsi="仿宋" w:eastAsia="仿宋" w:cs="仿宋"/>
          <w:b/>
          <w:bCs w:val="0"/>
          <w:color w:val="auto"/>
          <w:sz w:val="24"/>
          <w:szCs w:val="24"/>
          <w:highlight w:val="none"/>
          <w:lang w:eastAsia="zh-CN"/>
        </w:rPr>
        <w:t>（</w:t>
      </w:r>
      <w:r>
        <w:rPr>
          <w:rFonts w:hint="eastAsia" w:ascii="仿宋" w:hAnsi="仿宋" w:eastAsia="仿宋" w:cs="仿宋"/>
          <w:b/>
          <w:bCs w:val="0"/>
          <w:color w:val="auto"/>
          <w:sz w:val="24"/>
          <w:szCs w:val="24"/>
          <w:highlight w:val="none"/>
          <w:lang w:val="en-US" w:eastAsia="zh-CN"/>
        </w:rPr>
        <w:t>如因</w:t>
      </w:r>
      <w:r>
        <w:rPr>
          <w:rFonts w:hint="eastAsia" w:ascii="仿宋" w:hAnsi="仿宋" w:eastAsia="仿宋" w:cs="仿宋"/>
          <w:b/>
          <w:bCs w:val="0"/>
          <w:color w:val="auto"/>
          <w:sz w:val="24"/>
          <w:szCs w:val="24"/>
          <w:lang w:val="en-US" w:eastAsia="zh-CN"/>
        </w:rPr>
        <w:t>特殊等原因导致时间调整，具体服务日期相应顺延</w:t>
      </w:r>
      <w:r>
        <w:rPr>
          <w:rFonts w:hint="eastAsia" w:ascii="仿宋" w:hAnsi="仿宋" w:eastAsia="仿宋" w:cs="仿宋"/>
          <w:b/>
          <w:bCs w:val="0"/>
          <w:color w:val="auto"/>
          <w:sz w:val="24"/>
          <w:szCs w:val="24"/>
          <w:lang w:eastAsia="zh-CN"/>
        </w:rPr>
        <w:t>）。</w:t>
      </w:r>
    </w:p>
    <w:p w14:paraId="4D2AE9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w:t>
      </w:r>
      <w:r>
        <w:rPr>
          <w:rFonts w:hint="eastAsia" w:ascii="仿宋" w:hAnsi="仿宋" w:eastAsia="仿宋" w:cs="仿宋"/>
          <w:b w:val="0"/>
          <w:bCs/>
          <w:color w:val="auto"/>
          <w:sz w:val="24"/>
          <w:szCs w:val="24"/>
          <w:lang w:eastAsia="zh-CN"/>
        </w:rPr>
        <w:t>项目名称</w:t>
      </w:r>
      <w:r>
        <w:rPr>
          <w:rFonts w:hint="eastAsia" w:ascii="仿宋" w:hAnsi="仿宋" w:eastAsia="仿宋" w:cs="仿宋"/>
          <w:b w:val="0"/>
          <w:bCs/>
          <w:color w:val="auto"/>
          <w:kern w:val="0"/>
          <w:sz w:val="24"/>
          <w:szCs w:val="24"/>
          <w:lang w:val="en-US" w:eastAsia="zh-CN" w:bidi="ar"/>
        </w:rPr>
        <w:t>：媒体宣传服务</w:t>
      </w:r>
    </w:p>
    <w:p w14:paraId="30C58F1C">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二、合作费用及支付</w:t>
      </w:r>
    </w:p>
    <w:p w14:paraId="00C2C936">
      <w:pPr>
        <w:pageBreakBefore w:val="0"/>
        <w:kinsoku/>
        <w:wordWrap/>
        <w:overflowPunct/>
        <w:topLinePunct w:val="0"/>
        <w:autoSpaceDE/>
        <w:autoSpaceDN/>
        <w:bidi w:val="0"/>
        <w:adjustRightInd/>
        <w:snapToGrid/>
        <w:spacing w:line="360" w:lineRule="auto"/>
        <w:ind w:firstLine="480" w:firstLineChars="200"/>
        <w:jc w:val="left"/>
        <w:textAlignment w:val="baseline"/>
        <w:rPr>
          <w:rFonts w:hint="eastAsia" w:ascii="仿宋" w:hAnsi="仿宋" w:eastAsia="仿宋" w:cs="仿宋"/>
          <w:b w:val="0"/>
          <w:bCs/>
          <w:color w:val="auto"/>
          <w:kern w:val="0"/>
          <w:sz w:val="24"/>
          <w:szCs w:val="24"/>
        </w:rPr>
      </w:pPr>
      <w:r>
        <w:rPr>
          <w:rFonts w:hint="eastAsia" w:ascii="仿宋" w:hAnsi="仿宋" w:eastAsia="仿宋" w:cs="仿宋"/>
          <w:b w:val="0"/>
          <w:bCs/>
          <w:color w:val="auto"/>
          <w:sz w:val="24"/>
          <w:szCs w:val="24"/>
        </w:rPr>
        <w:t>1、本合同含增值税金额为</w:t>
      </w:r>
      <w:r>
        <w:rPr>
          <w:rFonts w:hint="eastAsia" w:ascii="仿宋" w:hAnsi="仿宋" w:eastAsia="仿宋" w:cs="仿宋"/>
          <w:b/>
          <w:bCs w:val="0"/>
          <w:color w:val="auto"/>
          <w:kern w:val="0"/>
          <w:sz w:val="24"/>
          <w:szCs w:val="24"/>
          <w:lang w:val="en-US" w:eastAsia="zh-CN"/>
        </w:rPr>
        <w:t>¥</w:t>
      </w:r>
      <w:r>
        <w:rPr>
          <w:rFonts w:hint="eastAsia" w:ascii="仿宋" w:hAnsi="仿宋" w:eastAsia="仿宋" w:cs="仿宋"/>
          <w:b/>
          <w:bCs w:val="0"/>
          <w:color w:val="auto"/>
          <w:kern w:val="0"/>
          <w:sz w:val="24"/>
          <w:szCs w:val="24"/>
          <w:u w:val="single"/>
        </w:rPr>
        <w:t xml:space="preserve"> </w:t>
      </w:r>
      <w:r>
        <w:rPr>
          <w:rFonts w:hint="eastAsia" w:ascii="仿宋" w:hAnsi="仿宋" w:eastAsia="仿宋" w:cs="仿宋"/>
          <w:b/>
          <w:bCs w:val="0"/>
          <w:color w:val="auto"/>
          <w:kern w:val="0"/>
          <w:sz w:val="24"/>
          <w:szCs w:val="24"/>
          <w:u w:val="single"/>
          <w:lang w:val="en-US" w:eastAsia="zh-CN"/>
        </w:rPr>
        <w:t xml:space="preserve">        </w:t>
      </w:r>
      <w:r>
        <w:rPr>
          <w:rFonts w:hint="eastAsia" w:ascii="仿宋" w:hAnsi="仿宋" w:eastAsia="仿宋" w:cs="仿宋"/>
          <w:b/>
          <w:bCs w:val="0"/>
          <w:color w:val="auto"/>
          <w:kern w:val="0"/>
          <w:sz w:val="24"/>
          <w:szCs w:val="24"/>
          <w:u w:val="single"/>
        </w:rPr>
        <w:t>元整</w:t>
      </w:r>
      <w:r>
        <w:rPr>
          <w:rFonts w:hint="eastAsia" w:ascii="仿宋" w:hAnsi="仿宋" w:eastAsia="仿宋" w:cs="仿宋"/>
          <w:b/>
          <w:bCs w:val="0"/>
          <w:color w:val="auto"/>
          <w:kern w:val="0"/>
          <w:sz w:val="24"/>
          <w:szCs w:val="24"/>
        </w:rPr>
        <w:t>（大写：</w:t>
      </w:r>
      <w:r>
        <w:rPr>
          <w:rFonts w:hint="eastAsia" w:ascii="仿宋" w:hAnsi="仿宋" w:eastAsia="仿宋" w:cs="仿宋"/>
          <w:b/>
          <w:bCs w:val="0"/>
          <w:color w:val="auto"/>
          <w:kern w:val="0"/>
          <w:sz w:val="24"/>
          <w:szCs w:val="24"/>
          <w:lang w:eastAsia="zh-CN"/>
        </w:rPr>
        <w:t>人民币</w:t>
      </w:r>
      <w:r>
        <w:rPr>
          <w:rFonts w:hint="eastAsia" w:ascii="仿宋" w:hAnsi="仿宋" w:eastAsia="仿宋" w:cs="仿宋"/>
          <w:b/>
          <w:bCs w:val="0"/>
          <w:color w:val="auto"/>
          <w:kern w:val="0"/>
          <w:sz w:val="24"/>
          <w:szCs w:val="24"/>
          <w:u w:val="single"/>
          <w:lang w:val="en-US" w:eastAsia="zh-CN"/>
        </w:rPr>
        <w:t xml:space="preserve">           </w:t>
      </w:r>
      <w:r>
        <w:rPr>
          <w:rFonts w:hint="eastAsia" w:ascii="仿宋" w:hAnsi="仿宋" w:eastAsia="仿宋" w:cs="仿宋"/>
          <w:b/>
          <w:bCs w:val="0"/>
          <w:color w:val="auto"/>
          <w:kern w:val="0"/>
          <w:sz w:val="24"/>
          <w:szCs w:val="24"/>
          <w:u w:val="single"/>
        </w:rPr>
        <w:t>整</w:t>
      </w:r>
      <w:r>
        <w:rPr>
          <w:rFonts w:hint="eastAsia" w:ascii="仿宋" w:hAnsi="仿宋" w:eastAsia="仿宋" w:cs="仿宋"/>
          <w:b/>
          <w:bCs w:val="0"/>
          <w:color w:val="auto"/>
          <w:kern w:val="0"/>
          <w:sz w:val="24"/>
          <w:szCs w:val="24"/>
        </w:rPr>
        <w:t>）</w:t>
      </w:r>
      <w:r>
        <w:rPr>
          <w:rFonts w:hint="eastAsia" w:ascii="仿宋" w:hAnsi="仿宋" w:eastAsia="仿宋" w:cs="仿宋"/>
          <w:b w:val="0"/>
          <w:bCs/>
          <w:color w:val="auto"/>
          <w:kern w:val="0"/>
          <w:sz w:val="24"/>
          <w:szCs w:val="24"/>
        </w:rPr>
        <w:t>。</w:t>
      </w:r>
    </w:p>
    <w:p w14:paraId="49EF6A02">
      <w:pPr>
        <w:pageBreakBefore w:val="0"/>
        <w:widowControl/>
        <w:kinsoku/>
        <w:wordWrap/>
        <w:overflowPunct/>
        <w:topLinePunct w:val="0"/>
        <w:autoSpaceDE/>
        <w:autoSpaceDN/>
        <w:bidi w:val="0"/>
        <w:adjustRightInd/>
        <w:snapToGrid/>
        <w:spacing w:line="360" w:lineRule="auto"/>
        <w:jc w:val="left"/>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结算方式：合同签订后</w:t>
      </w:r>
      <w:r>
        <w:rPr>
          <w:rFonts w:hint="eastAsia" w:ascii="仿宋" w:hAnsi="仿宋" w:eastAsia="仿宋" w:cs="仿宋"/>
          <w:b w:val="0"/>
          <w:bCs/>
          <w:color w:val="auto"/>
          <w:sz w:val="24"/>
          <w:szCs w:val="24"/>
          <w:lang w:val="en-US" w:eastAsia="zh-CN"/>
        </w:rPr>
        <w:t>乙方向甲方提供等额增值税普通发票后，</w:t>
      </w:r>
      <w:r>
        <w:rPr>
          <w:rFonts w:hint="eastAsia" w:ascii="仿宋" w:hAnsi="仿宋" w:eastAsia="仿宋" w:cs="仿宋"/>
          <w:b w:val="0"/>
          <w:bCs/>
          <w:color w:val="auto"/>
          <w:sz w:val="24"/>
          <w:szCs w:val="24"/>
        </w:rPr>
        <w:t>15个工作日</w:t>
      </w:r>
      <w:r>
        <w:rPr>
          <w:rFonts w:hint="eastAsia" w:ascii="仿宋" w:hAnsi="仿宋" w:eastAsia="仿宋" w:cs="仿宋"/>
          <w:b w:val="0"/>
          <w:bCs/>
          <w:color w:val="auto"/>
          <w:sz w:val="24"/>
          <w:szCs w:val="24"/>
          <w:lang w:val="en-US" w:eastAsia="zh-CN"/>
        </w:rPr>
        <w:t>内甲方需</w:t>
      </w:r>
      <w:r>
        <w:rPr>
          <w:rFonts w:hint="eastAsia" w:ascii="仿宋" w:hAnsi="仿宋" w:eastAsia="仿宋" w:cs="仿宋"/>
          <w:b w:val="0"/>
          <w:bCs/>
          <w:color w:val="auto"/>
          <w:sz w:val="24"/>
          <w:szCs w:val="24"/>
        </w:rPr>
        <w:t>付款50%，</w:t>
      </w:r>
      <w:r>
        <w:rPr>
          <w:rFonts w:hint="eastAsia" w:ascii="仿宋" w:hAnsi="仿宋" w:eastAsia="仿宋" w:cs="仿宋"/>
          <w:b w:val="0"/>
          <w:bCs/>
          <w:color w:val="auto"/>
          <w:sz w:val="24"/>
          <w:szCs w:val="24"/>
          <w:lang w:eastAsia="zh-CN"/>
        </w:rPr>
        <w:t>即人民币¥</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lang w:eastAsia="zh-CN"/>
        </w:rPr>
        <w:t>元（大写</w:t>
      </w:r>
      <w:r>
        <w:rPr>
          <w:rFonts w:hint="eastAsia" w:ascii="仿宋" w:hAnsi="仿宋" w:eastAsia="仿宋" w:cs="仿宋"/>
          <w:b w:val="0"/>
          <w:bCs/>
          <w:color w:val="auto"/>
          <w:sz w:val="24"/>
          <w:szCs w:val="24"/>
          <w:u w:val="single"/>
          <w:lang w:eastAsia="zh-CN"/>
        </w:rPr>
        <w:t>：</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lang w:eastAsia="zh-CN"/>
        </w:rPr>
        <w:t>元整）。</w:t>
      </w:r>
      <w:r>
        <w:rPr>
          <w:rFonts w:hint="eastAsia" w:ascii="仿宋" w:hAnsi="仿宋" w:eastAsia="仿宋" w:cs="仿宋"/>
          <w:b w:val="0"/>
          <w:bCs/>
          <w:color w:val="auto"/>
          <w:sz w:val="24"/>
          <w:szCs w:val="24"/>
        </w:rPr>
        <w:t>其余50%款项</w:t>
      </w:r>
      <w:r>
        <w:rPr>
          <w:rFonts w:hint="eastAsia" w:ascii="仿宋" w:hAnsi="仿宋" w:eastAsia="仿宋" w:cs="仿宋"/>
          <w:b w:val="0"/>
          <w:bCs/>
          <w:color w:val="auto"/>
          <w:sz w:val="24"/>
          <w:szCs w:val="24"/>
          <w:lang w:eastAsia="zh-CN"/>
        </w:rPr>
        <w:t>即人民币¥</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lang w:val="en-US" w:eastAsia="zh-CN"/>
        </w:rPr>
        <w:t xml:space="preserve"> </w:t>
      </w:r>
      <w:r>
        <w:rPr>
          <w:rFonts w:hint="eastAsia" w:ascii="仿宋" w:hAnsi="仿宋" w:eastAsia="仿宋" w:cs="仿宋"/>
          <w:b w:val="0"/>
          <w:bCs/>
          <w:color w:val="auto"/>
          <w:sz w:val="24"/>
          <w:szCs w:val="24"/>
          <w:lang w:eastAsia="zh-CN"/>
        </w:rPr>
        <w:t>元（大写：人民币</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lang w:eastAsia="zh-CN"/>
        </w:rPr>
        <w:t>元整），根据项目进度由乙方提交验收资料，经采购人确认后</w:t>
      </w:r>
      <w:r>
        <w:rPr>
          <w:rFonts w:hint="eastAsia" w:ascii="仿宋" w:hAnsi="仿宋" w:eastAsia="仿宋" w:cs="仿宋"/>
          <w:b w:val="0"/>
          <w:bCs/>
          <w:color w:val="auto"/>
          <w:sz w:val="24"/>
          <w:szCs w:val="24"/>
        </w:rPr>
        <w:t>15个工作日</w:t>
      </w:r>
      <w:r>
        <w:rPr>
          <w:rFonts w:hint="eastAsia" w:ascii="仿宋" w:hAnsi="仿宋" w:eastAsia="仿宋" w:cs="仿宋"/>
          <w:b w:val="0"/>
          <w:bCs/>
          <w:color w:val="auto"/>
          <w:sz w:val="24"/>
          <w:szCs w:val="24"/>
          <w:lang w:val="en-US" w:eastAsia="zh-CN"/>
        </w:rPr>
        <w:t>内完成支付</w:t>
      </w:r>
      <w:r>
        <w:rPr>
          <w:rFonts w:hint="eastAsia" w:ascii="仿宋" w:hAnsi="仿宋" w:eastAsia="仿宋" w:cs="仿宋"/>
          <w:b w:val="0"/>
          <w:bCs/>
          <w:color w:val="auto"/>
          <w:sz w:val="24"/>
          <w:szCs w:val="24"/>
          <w:lang w:eastAsia="zh-CN"/>
        </w:rPr>
        <w:t>。</w:t>
      </w:r>
    </w:p>
    <w:p w14:paraId="5668704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2.服务内容</w:t>
      </w:r>
    </w:p>
    <w:p w14:paraId="3D576D5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（1）微信公众号、微博、视频号、抖音、今日头条的日常运维，完善平台的认证续约、常规栏目建设等工作。</w:t>
      </w:r>
    </w:p>
    <w:p w14:paraId="2DCA1E6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（2）对新媒体账号进行整体VI设计，形成统一又符合各平台特色的形象设计。</w:t>
      </w:r>
    </w:p>
    <w:p w14:paraId="5A04E13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（3）结合未央法院工作特点做好宣传信息和视频的采编、发布工作。</w:t>
      </w:r>
    </w:p>
    <w:p w14:paraId="3161976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（4）创新宣传形式。重点工作、重要活动等推出相应主题策划系列报道；制作海报、短视频、H5页面、长图等新媒体产品，不断丰富呈现方式。</w:t>
      </w:r>
    </w:p>
    <w:p w14:paraId="103543F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5）策划优质传播内容：深入挖掘基层法院的法治文化与人文内涵，策划并制作一系列围绕典型案件、法官风采、司法守护者及社区法治共建等主题的优质传播内容，协调开展省级以上媒体相应的宣传工作，助力公众感知司法公正之美、激发尊法学法守法用法之情。</w:t>
      </w:r>
    </w:p>
    <w:p w14:paraId="4BFB072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（6）协助日常工作，如重要活动的拍照、信息稿撰写等。</w:t>
      </w:r>
    </w:p>
    <w:p w14:paraId="6D97D9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3.</w:t>
      </w:r>
      <w:r>
        <w:rPr>
          <w:rFonts w:hint="eastAsia" w:ascii="仿宋" w:hAnsi="仿宋" w:eastAsia="仿宋" w:cs="仿宋"/>
          <w:b w:val="0"/>
          <w:bCs/>
          <w:color w:val="auto"/>
          <w:sz w:val="24"/>
          <w:szCs w:val="24"/>
        </w:rPr>
        <w:t>乙方账号信息如下：</w:t>
      </w:r>
    </w:p>
    <w:p w14:paraId="38772190">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名称：</w:t>
      </w:r>
      <w:r>
        <w:rPr>
          <w:rFonts w:hint="eastAsia" w:ascii="仿宋" w:hAnsi="仿宋" w:eastAsia="仿宋" w:cs="仿宋"/>
          <w:b w:val="0"/>
          <w:bCs/>
          <w:color w:val="auto"/>
          <w:sz w:val="24"/>
          <w:szCs w:val="24"/>
          <w:lang w:val="en-US" w:eastAsia="zh-CN"/>
        </w:rPr>
        <w:t xml:space="preserve"> </w:t>
      </w:r>
      <w:r>
        <w:rPr>
          <w:rFonts w:hint="eastAsia" w:ascii="仿宋" w:hAnsi="仿宋" w:eastAsia="仿宋" w:cs="仿宋"/>
          <w:b w:val="0"/>
          <w:bCs/>
          <w:color w:val="auto"/>
          <w:sz w:val="24"/>
          <w:szCs w:val="24"/>
        </w:rPr>
        <w:t xml:space="preserve">  </w:t>
      </w:r>
    </w:p>
    <w:p w14:paraId="542AD85A">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纳税人识别号：</w:t>
      </w:r>
      <w:r>
        <w:rPr>
          <w:rFonts w:hint="eastAsia" w:ascii="仿宋" w:hAnsi="仿宋" w:eastAsia="仿宋" w:cs="仿宋"/>
          <w:b w:val="0"/>
          <w:bCs/>
          <w:color w:val="auto"/>
          <w:sz w:val="24"/>
          <w:szCs w:val="24"/>
          <w:lang w:val="en-US" w:eastAsia="zh-CN"/>
        </w:rPr>
        <w:t xml:space="preserve"> </w:t>
      </w:r>
    </w:p>
    <w:p w14:paraId="2BC7D1E5">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地址：</w:t>
      </w:r>
      <w:r>
        <w:rPr>
          <w:rFonts w:hint="eastAsia" w:ascii="仿宋" w:hAnsi="仿宋" w:eastAsia="仿宋" w:cs="仿宋"/>
          <w:b w:val="0"/>
          <w:bCs/>
          <w:color w:val="auto"/>
          <w:sz w:val="24"/>
          <w:szCs w:val="24"/>
          <w:lang w:val="en-US" w:eastAsia="zh-CN"/>
        </w:rPr>
        <w:t xml:space="preserve"> </w:t>
      </w:r>
    </w:p>
    <w:p w14:paraId="1A6D044D">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电话：</w:t>
      </w:r>
      <w:r>
        <w:rPr>
          <w:rFonts w:hint="eastAsia" w:ascii="仿宋" w:hAnsi="仿宋" w:eastAsia="仿宋" w:cs="仿宋"/>
          <w:b w:val="0"/>
          <w:bCs/>
          <w:color w:val="auto"/>
          <w:sz w:val="24"/>
          <w:szCs w:val="24"/>
          <w:lang w:val="en-US" w:eastAsia="zh-CN"/>
        </w:rPr>
        <w:t xml:space="preserve"> </w:t>
      </w:r>
    </w:p>
    <w:p w14:paraId="1A9C204F">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开户行：</w:t>
      </w:r>
      <w:r>
        <w:rPr>
          <w:rFonts w:hint="eastAsia" w:ascii="仿宋" w:hAnsi="仿宋" w:eastAsia="仿宋" w:cs="仿宋"/>
          <w:b w:val="0"/>
          <w:bCs/>
          <w:color w:val="auto"/>
          <w:sz w:val="24"/>
          <w:szCs w:val="24"/>
          <w:lang w:val="en-US" w:eastAsia="zh-CN"/>
        </w:rPr>
        <w:t xml:space="preserve"> </w:t>
      </w:r>
    </w:p>
    <w:p w14:paraId="740E8A53">
      <w:pPr>
        <w:pageBreakBefore w:val="0"/>
        <w:numPr>
          <w:ilvl w:val="0"/>
          <w:numId w:val="0"/>
        </w:numPr>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eastAsia="zh-CN"/>
        </w:rPr>
        <w:t>账号</w:t>
      </w: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 xml:space="preserve"> </w:t>
      </w:r>
    </w:p>
    <w:p w14:paraId="4AA509AA">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p>
    <w:p w14:paraId="3DB65299">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四、甲乙双方权利及义务</w:t>
      </w:r>
    </w:p>
    <w:p w14:paraId="4562A7F0">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1、甲方负责提供宣传内容，并保证内容的真实性和准确性；</w:t>
      </w:r>
    </w:p>
    <w:p w14:paraId="71AE6A26">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2、甲方应及时验收乙方的工作成果。乙方服务结束之日起7个工作日内，甲方未提出任何书面异议，或者提出的书面异议明显无合理根据的，视为乙方已经依合约履行完毕相关合同义务；</w:t>
      </w:r>
    </w:p>
    <w:p w14:paraId="6FC10AD9">
      <w:pPr>
        <w:pStyle w:val="9"/>
        <w:pageBreakBefore w:val="0"/>
        <w:kinsoku/>
        <w:wordWrap/>
        <w:overflowPunct/>
        <w:topLinePunct w:val="0"/>
        <w:autoSpaceDE/>
        <w:autoSpaceDN/>
        <w:bidi w:val="0"/>
        <w:adjustRightInd/>
        <w:snapToGrid/>
        <w:spacing w:line="360" w:lineRule="auto"/>
        <w:ind w:firstLine="513" w:firstLineChars="214"/>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3、乙方负责提供设备、技术支持等相关工作；</w:t>
      </w:r>
    </w:p>
    <w:p w14:paraId="3F92E0D0">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4、</w:t>
      </w:r>
      <w:r>
        <w:rPr>
          <w:rFonts w:hint="eastAsia" w:ascii="仿宋" w:hAnsi="仿宋" w:eastAsia="仿宋" w:cs="仿宋"/>
          <w:b w:val="0"/>
          <w:bCs/>
          <w:color w:val="auto"/>
          <w:sz w:val="24"/>
          <w:szCs w:val="24"/>
          <w:lang w:val="en-US" w:eastAsia="zh-CN"/>
        </w:rPr>
        <w:t>乙方</w:t>
      </w:r>
      <w:r>
        <w:rPr>
          <w:rFonts w:hint="eastAsia" w:ascii="仿宋" w:hAnsi="仿宋" w:eastAsia="仿宋" w:cs="仿宋"/>
          <w:b w:val="0"/>
          <w:bCs/>
          <w:color w:val="auto"/>
          <w:sz w:val="24"/>
          <w:szCs w:val="24"/>
        </w:rPr>
        <w:t>依照合同约定内容与甲方进行合作，履行乙方义务。在甲方无明确、具体指示及要求的情况下，乙方可以依据从业经验和行业惯例，合理发挥主观能动性，以便充分实现合同目的。</w:t>
      </w:r>
    </w:p>
    <w:p w14:paraId="01C2B2B5">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五、</w:t>
      </w:r>
      <w:r>
        <w:rPr>
          <w:rFonts w:hint="eastAsia" w:ascii="仿宋" w:hAnsi="仿宋" w:eastAsia="仿宋" w:cs="仿宋"/>
          <w:b w:val="0"/>
          <w:bCs/>
          <w:color w:val="auto"/>
          <w:sz w:val="24"/>
          <w:szCs w:val="24"/>
          <w:lang w:eastAsia="zh-CN"/>
        </w:rPr>
        <w:t>违约</w:t>
      </w:r>
      <w:r>
        <w:rPr>
          <w:rFonts w:hint="eastAsia" w:ascii="仿宋" w:hAnsi="仿宋" w:eastAsia="仿宋" w:cs="仿宋"/>
          <w:b w:val="0"/>
          <w:bCs/>
          <w:color w:val="auto"/>
          <w:sz w:val="24"/>
          <w:szCs w:val="24"/>
        </w:rPr>
        <w:t>责任</w:t>
      </w:r>
    </w:p>
    <w:p w14:paraId="0EE161E9">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本合同一经签订，因一方当事人违反本合同条款而直接或间接地给另一方当事人造成的损失，违约方当事人应根据守约方的实际损失情况承担相应的经济赔偿责任。实际损失系指包括但不限于守约方经济利益的损失，守约方为证实违约方之违约行为所支出的各项调查取证费、公证费</w:t>
      </w:r>
      <w:r>
        <w:rPr>
          <w:rFonts w:hint="eastAsia" w:ascii="仿宋" w:hAnsi="仿宋" w:eastAsia="仿宋" w:cs="仿宋"/>
          <w:b w:val="0"/>
          <w:bCs/>
          <w:color w:val="auto"/>
          <w:sz w:val="24"/>
          <w:szCs w:val="24"/>
          <w:lang w:eastAsia="zh-CN"/>
        </w:rPr>
        <w:t>，以及</w:t>
      </w:r>
      <w:r>
        <w:rPr>
          <w:rFonts w:hint="eastAsia" w:ascii="仿宋" w:hAnsi="仿宋" w:eastAsia="仿宋" w:cs="仿宋"/>
          <w:b w:val="0"/>
          <w:bCs/>
          <w:color w:val="auto"/>
          <w:sz w:val="24"/>
          <w:szCs w:val="24"/>
        </w:rPr>
        <w:t>守约方为寻求救济而支付的诉讼费、律师费等。</w:t>
      </w:r>
    </w:p>
    <w:p w14:paraId="4674AA7D">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2、甲方无故逾期支付服务费用的，应</w:t>
      </w:r>
      <w:r>
        <w:rPr>
          <w:rFonts w:hint="eastAsia" w:ascii="仿宋" w:hAnsi="仿宋" w:eastAsia="仿宋" w:cs="仿宋"/>
          <w:b w:val="0"/>
          <w:bCs/>
          <w:color w:val="auto"/>
          <w:sz w:val="24"/>
          <w:szCs w:val="24"/>
          <w:lang w:val="en-US" w:eastAsia="zh-CN"/>
        </w:rPr>
        <w:t>以拖欠金额万分之五标准支付</w:t>
      </w:r>
      <w:r>
        <w:rPr>
          <w:rFonts w:hint="eastAsia" w:ascii="仿宋" w:hAnsi="仿宋" w:eastAsia="仿宋" w:cs="仿宋"/>
          <w:b w:val="0"/>
          <w:bCs/>
          <w:color w:val="auto"/>
          <w:sz w:val="24"/>
          <w:szCs w:val="24"/>
        </w:rPr>
        <w:t>逾期付款违约金</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lang w:val="en-US" w:eastAsia="zh-CN"/>
        </w:rPr>
        <w:t>最高不超过合同总金额的10%</w:t>
      </w:r>
      <w:r>
        <w:rPr>
          <w:rFonts w:hint="eastAsia" w:ascii="仿宋" w:hAnsi="仿宋" w:eastAsia="仿宋" w:cs="仿宋"/>
          <w:b w:val="0"/>
          <w:bCs/>
          <w:color w:val="auto"/>
          <w:sz w:val="24"/>
          <w:szCs w:val="24"/>
        </w:rPr>
        <w:t>。</w:t>
      </w:r>
    </w:p>
    <w:p w14:paraId="342853D6">
      <w:pPr>
        <w:pageBreakBefore w:val="0"/>
        <w:kinsoku/>
        <w:wordWrap/>
        <w:overflowPunct/>
        <w:topLinePunct w:val="0"/>
        <w:autoSpaceDE/>
        <w:autoSpaceDN/>
        <w:bidi w:val="0"/>
        <w:adjustRightInd/>
        <w:snapToGrid/>
        <w:spacing w:line="360" w:lineRule="auto"/>
        <w:ind w:firstLine="513" w:firstLineChars="214"/>
        <w:jc w:val="left"/>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3、若乙方未能按本协议向甲方履行相关义务，则乙方</w:t>
      </w:r>
      <w:r>
        <w:rPr>
          <w:rFonts w:hint="eastAsia" w:ascii="仿宋" w:hAnsi="仿宋" w:eastAsia="仿宋" w:cs="仿宋"/>
          <w:b w:val="0"/>
          <w:bCs/>
          <w:color w:val="auto"/>
          <w:sz w:val="24"/>
          <w:szCs w:val="24"/>
          <w:lang w:val="en-US" w:eastAsia="zh-CN"/>
        </w:rPr>
        <w:t>应承担至少为合同金额10%的费用作为违约金，甲方可在应付款中予以扣除，同时乙方应对甲方的损失承担相应的责任</w:t>
      </w:r>
      <w:r>
        <w:rPr>
          <w:rFonts w:hint="eastAsia" w:ascii="仿宋" w:hAnsi="仿宋" w:eastAsia="仿宋" w:cs="仿宋"/>
          <w:b w:val="0"/>
          <w:bCs/>
          <w:color w:val="auto"/>
          <w:sz w:val="24"/>
          <w:szCs w:val="24"/>
        </w:rPr>
        <w:t>。</w:t>
      </w:r>
    </w:p>
    <w:p w14:paraId="7DD61C04">
      <w:pPr>
        <w:pageBreakBefore w:val="0"/>
        <w:kinsoku/>
        <w:wordWrap/>
        <w:overflowPunct/>
        <w:topLinePunct w:val="0"/>
        <w:autoSpaceDE/>
        <w:autoSpaceDN/>
        <w:bidi w:val="0"/>
        <w:adjustRightInd/>
        <w:snapToGrid/>
        <w:spacing w:line="360" w:lineRule="auto"/>
        <w:ind w:firstLine="513" w:firstLineChars="214"/>
        <w:jc w:val="left"/>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4、若甲方未能按本协议向乙方履行相关义务，则甲方将承担相应的责任并对乙方遭受的损失赔偿乙方，乙方有权单方面终止协议并终止相关服务。</w:t>
      </w:r>
    </w:p>
    <w:p w14:paraId="4798F881">
      <w:pPr>
        <w:pageBreakBefore w:val="0"/>
        <w:kinsoku/>
        <w:wordWrap/>
        <w:overflowPunct/>
        <w:topLinePunct w:val="0"/>
        <w:autoSpaceDE/>
        <w:autoSpaceDN/>
        <w:bidi w:val="0"/>
        <w:adjustRightInd/>
        <w:snapToGrid/>
        <w:spacing w:line="360" w:lineRule="auto"/>
        <w:ind w:firstLine="513" w:firstLineChars="214"/>
        <w:jc w:val="left"/>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5、乙方应当保证宣传过程不侵犯任何第三方权益，若因乙方原因导致第三方权益受损，则由乙方承担全部赔偿责任。</w:t>
      </w:r>
    </w:p>
    <w:p w14:paraId="25385064">
      <w:pPr>
        <w:pageBreakBefore w:val="0"/>
        <w:kinsoku/>
        <w:wordWrap/>
        <w:overflowPunct/>
        <w:topLinePunct w:val="0"/>
        <w:autoSpaceDE/>
        <w:autoSpaceDN/>
        <w:bidi w:val="0"/>
        <w:adjustRightInd/>
        <w:snapToGrid/>
        <w:spacing w:line="360" w:lineRule="auto"/>
        <w:jc w:val="left"/>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五、验收方式</w:t>
      </w:r>
    </w:p>
    <w:p w14:paraId="3E19CE25">
      <w:pPr>
        <w:pageBreakBefore w:val="0"/>
        <w:kinsoku/>
        <w:wordWrap/>
        <w:overflowPunct/>
        <w:topLinePunct w:val="0"/>
        <w:autoSpaceDE/>
        <w:autoSpaceDN/>
        <w:bidi w:val="0"/>
        <w:adjustRightInd/>
        <w:snapToGrid/>
        <w:spacing w:line="360" w:lineRule="auto"/>
        <w:ind w:firstLine="480"/>
        <w:jc w:val="left"/>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1、乙方需在服务期届满后3日内向甲方提交验收资料以供甲方验收。</w:t>
      </w:r>
    </w:p>
    <w:p w14:paraId="09B3F997">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六</w:t>
      </w:r>
      <w:r>
        <w:rPr>
          <w:rFonts w:hint="eastAsia" w:ascii="仿宋" w:hAnsi="仿宋" w:eastAsia="仿宋" w:cs="仿宋"/>
          <w:b w:val="0"/>
          <w:bCs/>
          <w:color w:val="auto"/>
          <w:sz w:val="24"/>
          <w:szCs w:val="24"/>
        </w:rPr>
        <w:t>、不可抗力</w:t>
      </w:r>
      <w:bookmarkStart w:id="0" w:name="_GoBack"/>
      <w:bookmarkEnd w:id="0"/>
    </w:p>
    <w:p w14:paraId="1292FA12">
      <w:pPr>
        <w:pageBreakBefore w:val="0"/>
        <w:kinsoku/>
        <w:wordWrap/>
        <w:overflowPunct/>
        <w:topLinePunct w:val="0"/>
        <w:autoSpaceDE/>
        <w:autoSpaceDN/>
        <w:bidi w:val="0"/>
        <w:adjustRightInd/>
        <w:snapToGrid/>
        <w:spacing w:line="360" w:lineRule="auto"/>
        <w:ind w:firstLine="513" w:firstLineChars="214"/>
        <w:jc w:val="left"/>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本合同任何一方由于自然灾害、网络黑客、法律法规或其他不可抗力事件，致使直接影响协议的履行或不能按约定的条件履行协议的，受不可抗力影响的一方应立即通知其他方，并在不可抗力事件发生之日起十五日内向其他方提供有关不可抗力事件的报告并说明其影响程度。双方将根据不可抗力对履行协议影响的程度，协商决定是否解除协议，免除或部分免除履行协议的责任，或延期履行协议。</w:t>
      </w:r>
    </w:p>
    <w:p w14:paraId="416E74A2">
      <w:pPr>
        <w:pageBreakBefore w:val="0"/>
        <w:kinsoku/>
        <w:wordWrap/>
        <w:overflowPunct/>
        <w:topLinePunct w:val="0"/>
        <w:autoSpaceDE/>
        <w:autoSpaceDN/>
        <w:bidi w:val="0"/>
        <w:adjustRightInd/>
        <w:snapToGrid/>
        <w:spacing w:line="360" w:lineRule="auto"/>
        <w:ind w:firstLine="513" w:firstLineChars="214"/>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2、由于因政策管控等不可抗力因素而造成的合同无法执行而导致的损失及损害，双方均不承担赔偿责任。</w:t>
      </w:r>
    </w:p>
    <w:p w14:paraId="7441FF51">
      <w:pPr>
        <w:pStyle w:val="3"/>
        <w:pageBreakBefore w:val="0"/>
        <w:kinsoku/>
        <w:wordWrap/>
        <w:overflowPunct/>
        <w:topLinePunct w:val="0"/>
        <w:autoSpaceDE/>
        <w:autoSpaceDN/>
        <w:bidi w:val="0"/>
        <w:adjustRightInd/>
        <w:snapToGrid/>
        <w:spacing w:before="0" w:after="0"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七</w:t>
      </w:r>
      <w:r>
        <w:rPr>
          <w:rFonts w:hint="eastAsia" w:ascii="仿宋" w:hAnsi="仿宋" w:eastAsia="仿宋" w:cs="仿宋"/>
          <w:b w:val="0"/>
          <w:bCs/>
          <w:color w:val="auto"/>
          <w:sz w:val="24"/>
          <w:szCs w:val="24"/>
        </w:rPr>
        <w:t>、争议解决及法律适用</w:t>
      </w:r>
    </w:p>
    <w:p w14:paraId="6282224E">
      <w:pPr>
        <w:pageBreakBefore w:val="0"/>
        <w:kinsoku/>
        <w:wordWrap/>
        <w:overflowPunct/>
        <w:topLinePunct w:val="0"/>
        <w:autoSpaceDE/>
        <w:autoSpaceDN/>
        <w:bidi w:val="0"/>
        <w:adjustRightInd/>
        <w:snapToGrid/>
        <w:spacing w:line="360" w:lineRule="auto"/>
        <w:ind w:firstLine="496" w:firstLineChars="207"/>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1、凡因履行本协议而引发的一切争议或纠纷，双方应首先友好协商解决；</w:t>
      </w:r>
      <w:r>
        <w:rPr>
          <w:rFonts w:hint="eastAsia" w:ascii="仿宋" w:hAnsi="仿宋" w:eastAsia="仿宋" w:cs="仿宋"/>
          <w:b w:val="0"/>
          <w:bCs/>
          <w:color w:val="auto"/>
          <w:sz w:val="24"/>
          <w:szCs w:val="24"/>
          <w:lang w:val="en-US" w:eastAsia="zh-CN"/>
        </w:rPr>
        <w:t>经过协商仍无法解决的</w:t>
      </w:r>
      <w:r>
        <w:rPr>
          <w:rFonts w:hint="eastAsia" w:ascii="仿宋" w:hAnsi="仿宋" w:eastAsia="仿宋" w:cs="仿宋"/>
          <w:b w:val="0"/>
          <w:bCs/>
          <w:color w:val="auto"/>
          <w:sz w:val="24"/>
          <w:szCs w:val="24"/>
        </w:rPr>
        <w:t>，任何一方均有权向甲方所在地有管辖权的法院提起诉讼。</w:t>
      </w:r>
    </w:p>
    <w:p w14:paraId="332AE43B">
      <w:pPr>
        <w:pageBreakBefore w:val="0"/>
        <w:kinsoku/>
        <w:wordWrap/>
        <w:overflowPunct/>
        <w:topLinePunct w:val="0"/>
        <w:autoSpaceDE/>
        <w:autoSpaceDN/>
        <w:bidi w:val="0"/>
        <w:adjustRightInd/>
        <w:snapToGrid/>
        <w:spacing w:line="360" w:lineRule="auto"/>
        <w:ind w:firstLine="496" w:firstLineChars="207"/>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2、本协议的订立、效力、履行、解释以及解除均适用中华人民共和国法律。</w:t>
      </w:r>
    </w:p>
    <w:p w14:paraId="72FF68DC">
      <w:pPr>
        <w:pageBreakBefore w:val="0"/>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八</w:t>
      </w:r>
      <w:r>
        <w:rPr>
          <w:rFonts w:hint="eastAsia" w:ascii="仿宋" w:hAnsi="仿宋" w:eastAsia="仿宋" w:cs="仿宋"/>
          <w:b w:val="0"/>
          <w:bCs/>
          <w:color w:val="auto"/>
          <w:sz w:val="24"/>
          <w:szCs w:val="24"/>
        </w:rPr>
        <w:t>、其他事项</w:t>
      </w:r>
    </w:p>
    <w:p w14:paraId="6D61EB39">
      <w:pPr>
        <w:pageBreakBefore w:val="0"/>
        <w:kinsoku/>
        <w:wordWrap/>
        <w:overflowPunct/>
        <w:topLinePunct w:val="0"/>
        <w:autoSpaceDE/>
        <w:autoSpaceDN/>
        <w:bidi w:val="0"/>
        <w:adjustRightInd/>
        <w:snapToGrid/>
        <w:spacing w:line="360" w:lineRule="auto"/>
        <w:ind w:firstLine="480" w:firstLineChars="200"/>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w:t>
      </w:r>
      <w:r>
        <w:rPr>
          <w:rFonts w:hint="eastAsia" w:ascii="仿宋" w:hAnsi="仿宋" w:eastAsia="仿宋" w:cs="仿宋"/>
          <w:b w:val="0"/>
          <w:bCs/>
          <w:color w:val="auto"/>
          <w:sz w:val="24"/>
          <w:szCs w:val="24"/>
          <w:u w:val="single"/>
        </w:rPr>
        <w:t>、本合同壹式</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rPr>
        <w:t>份，甲方持</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rPr>
        <w:t>份，乙方持</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rPr>
        <w:t>份</w:t>
      </w:r>
      <w:r>
        <w:rPr>
          <w:rFonts w:hint="eastAsia" w:ascii="仿宋" w:hAnsi="仿宋" w:eastAsia="仿宋" w:cs="仿宋"/>
          <w:b w:val="0"/>
          <w:bCs/>
          <w:color w:val="auto"/>
          <w:sz w:val="24"/>
          <w:szCs w:val="24"/>
        </w:rPr>
        <w:t>，具有同等法律效力，且从双方签署之日起生效。本合同为标准格式版本，手写条款无效。</w:t>
      </w:r>
    </w:p>
    <w:p w14:paraId="0DF84A25">
      <w:pPr>
        <w:pageBreakBefore w:val="0"/>
        <w:kinsoku/>
        <w:wordWrap/>
        <w:overflowPunct/>
        <w:topLinePunct w:val="0"/>
        <w:autoSpaceDE/>
        <w:autoSpaceDN/>
        <w:bidi w:val="0"/>
        <w:adjustRightInd/>
        <w:snapToGrid/>
        <w:spacing w:line="360" w:lineRule="auto"/>
        <w:ind w:firstLine="480" w:firstLineChars="200"/>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2、若本合同中存在条款被</w:t>
      </w:r>
      <w:r>
        <w:rPr>
          <w:rFonts w:hint="eastAsia" w:ascii="仿宋" w:hAnsi="仿宋" w:eastAsia="仿宋" w:cs="仿宋"/>
          <w:b w:val="0"/>
          <w:bCs/>
          <w:color w:val="auto"/>
          <w:sz w:val="24"/>
          <w:szCs w:val="24"/>
          <w:lang w:eastAsia="zh-CN"/>
        </w:rPr>
        <w:t>法律法规</w:t>
      </w:r>
      <w:r>
        <w:rPr>
          <w:rFonts w:hint="eastAsia" w:ascii="仿宋" w:hAnsi="仿宋" w:eastAsia="仿宋" w:cs="仿宋"/>
          <w:b w:val="0"/>
          <w:bCs/>
          <w:color w:val="auto"/>
          <w:sz w:val="24"/>
          <w:szCs w:val="24"/>
        </w:rPr>
        <w:t>认为无效时，则该条款应被视为并非构成本合同的组成部分，而本合同其他条款的有效性和可履行性均不受影响。</w:t>
      </w:r>
    </w:p>
    <w:p w14:paraId="3AA64094">
      <w:pPr>
        <w:pageBreakBefore w:val="0"/>
        <w:kinsoku/>
        <w:wordWrap/>
        <w:overflowPunct/>
        <w:topLinePunct w:val="0"/>
        <w:autoSpaceDE/>
        <w:autoSpaceDN/>
        <w:bidi w:val="0"/>
        <w:adjustRightInd/>
        <w:snapToGrid/>
        <w:spacing w:line="360" w:lineRule="auto"/>
        <w:ind w:firstLine="480" w:firstLineChars="200"/>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3、本合同未尽事宜，由甲、乙双方协商解决，并签订本合同的电子版或纸质版补充协议，经双方确认签字盖章后生效，并与本合同具有同等的法律效力。</w:t>
      </w:r>
    </w:p>
    <w:p w14:paraId="00832F80">
      <w:pPr>
        <w:pageBreakBefore w:val="0"/>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九、送达条款</w:t>
      </w:r>
    </w:p>
    <w:p w14:paraId="0F82B2D7">
      <w:pPr>
        <w:pageBreakBefore w:val="0"/>
        <w:kinsoku/>
        <w:wordWrap/>
        <w:overflowPunct/>
        <w:topLinePunct w:val="0"/>
        <w:autoSpaceDE/>
        <w:autoSpaceDN/>
        <w:bidi w:val="0"/>
        <w:adjustRightInd/>
        <w:snapToGrid/>
        <w:spacing w:line="360" w:lineRule="auto"/>
        <w:ind w:firstLine="480" w:firstLineChars="200"/>
        <w:textAlignment w:val="baseline"/>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本合同约定的当事人联系方式和联系信息，适用于双方往来联系、书面文件送达及争议解决时法律公文送达。因当事人改变联系方式和联系信息未及时通知另一方或当事人失联、拒收等原因而未能直接送达的，自按本合同约定的联系信息交邮后第5日视为送达。</w:t>
      </w:r>
    </w:p>
    <w:p w14:paraId="6E890235">
      <w:pPr>
        <w:pStyle w:val="9"/>
        <w:pageBreakBefore w:val="0"/>
        <w:kinsoku/>
        <w:wordWrap/>
        <w:overflowPunct/>
        <w:topLinePunct w:val="0"/>
        <w:autoSpaceDE/>
        <w:autoSpaceDN/>
        <w:bidi w:val="0"/>
        <w:adjustRightInd/>
        <w:snapToGrid/>
        <w:spacing w:line="360" w:lineRule="auto"/>
        <w:ind w:left="0" w:leftChars="0" w:firstLine="0" w:firstLineChars="0"/>
        <w:rPr>
          <w:rFonts w:hint="eastAsia" w:ascii="仿宋" w:hAnsi="仿宋" w:eastAsia="仿宋" w:cs="仿宋"/>
          <w:b w:val="0"/>
          <w:bCs/>
          <w:color w:val="auto"/>
          <w:sz w:val="24"/>
          <w:szCs w:val="24"/>
          <w:lang w:val="en-US" w:eastAsia="zh-CN"/>
        </w:rPr>
      </w:pPr>
    </w:p>
    <w:p w14:paraId="6A964D3C">
      <w:pPr>
        <w:pStyle w:val="9"/>
        <w:pageBreakBefore w:val="0"/>
        <w:kinsoku/>
        <w:wordWrap/>
        <w:overflowPunct/>
        <w:topLinePunct w:val="0"/>
        <w:autoSpaceDE/>
        <w:autoSpaceDN/>
        <w:bidi w:val="0"/>
        <w:adjustRightInd/>
        <w:snapToGrid/>
        <w:spacing w:line="360" w:lineRule="auto"/>
        <w:ind w:left="0" w:leftChars="0" w:firstLine="0" w:firstLineChars="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 xml:space="preserve">甲方联系人：                     乙方联系人： </w:t>
      </w:r>
    </w:p>
    <w:p w14:paraId="1E37182E">
      <w:pPr>
        <w:pStyle w:val="9"/>
        <w:pageBreakBefore w:val="0"/>
        <w:kinsoku/>
        <w:wordWrap/>
        <w:overflowPunct/>
        <w:topLinePunct w:val="0"/>
        <w:autoSpaceDE/>
        <w:autoSpaceDN/>
        <w:bidi w:val="0"/>
        <w:adjustRightInd/>
        <w:snapToGrid/>
        <w:spacing w:line="360" w:lineRule="auto"/>
        <w:ind w:left="0" w:leftChars="0" w:firstLine="0" w:firstLineChars="0"/>
        <w:rPr>
          <w:rFonts w:hint="eastAsia" w:ascii="仿宋" w:hAnsi="仿宋" w:eastAsia="仿宋" w:cs="仿宋"/>
          <w:b w:val="0"/>
          <w:bCs/>
          <w:color w:val="auto"/>
          <w:sz w:val="24"/>
          <w:szCs w:val="24"/>
          <w:lang w:val="en-US"/>
        </w:rPr>
      </w:pPr>
      <w:r>
        <w:rPr>
          <w:rFonts w:hint="eastAsia" w:ascii="仿宋" w:hAnsi="仿宋" w:eastAsia="仿宋" w:cs="仿宋"/>
          <w:b w:val="0"/>
          <w:bCs/>
          <w:color w:val="auto"/>
          <w:sz w:val="24"/>
          <w:szCs w:val="24"/>
          <w:lang w:val="en-US" w:eastAsia="zh-CN"/>
        </w:rPr>
        <w:t xml:space="preserve">联系电话：                       联系电话： </w:t>
      </w:r>
    </w:p>
    <w:p w14:paraId="6CB0BB37">
      <w:pPr>
        <w:pStyle w:val="9"/>
        <w:pageBreakBefore w:val="0"/>
        <w:kinsoku/>
        <w:wordWrap/>
        <w:overflowPunct/>
        <w:topLinePunct w:val="0"/>
        <w:autoSpaceDE/>
        <w:autoSpaceDN/>
        <w:bidi w:val="0"/>
        <w:adjustRightInd/>
        <w:snapToGrid/>
        <w:spacing w:line="360" w:lineRule="auto"/>
        <w:ind w:firstLine="560"/>
        <w:rPr>
          <w:rFonts w:hint="eastAsia" w:ascii="仿宋" w:hAnsi="仿宋" w:eastAsia="仿宋" w:cs="仿宋"/>
          <w:b w:val="0"/>
          <w:bCs/>
          <w:color w:val="auto"/>
          <w:sz w:val="24"/>
          <w:szCs w:val="24"/>
        </w:rPr>
      </w:pPr>
    </w:p>
    <w:p w14:paraId="7677AFEA">
      <w:pPr>
        <w:pageBreakBefore w:val="0"/>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甲方（盖章）：                    乙方（盖章）：</w:t>
      </w:r>
    </w:p>
    <w:p w14:paraId="3FD90CAC">
      <w:pPr>
        <w:pageBreakBefore w:val="0"/>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授权代表：                        授权代表：</w:t>
      </w:r>
    </w:p>
    <w:p w14:paraId="0D0AE4A1">
      <w:pPr>
        <w:pageBreakBefore w:val="0"/>
        <w:kinsoku/>
        <w:wordWrap/>
        <w:overflowPunct/>
        <w:topLinePunct w:val="0"/>
        <w:autoSpaceDE/>
        <w:autoSpaceDN/>
        <w:bidi w:val="0"/>
        <w:adjustRightInd/>
        <w:snapToGrid/>
        <w:spacing w:line="360" w:lineRule="auto"/>
        <w:ind w:firstLine="386" w:firstLineChars="161"/>
        <w:textAlignment w:val="baseline"/>
        <w:rPr>
          <w:rFonts w:hint="eastAsia" w:ascii="仿宋" w:hAnsi="仿宋" w:eastAsia="仿宋" w:cs="仿宋"/>
          <w:b w:val="0"/>
          <w:bCs/>
          <w:color w:val="auto"/>
          <w:sz w:val="24"/>
          <w:szCs w:val="24"/>
        </w:rPr>
      </w:pPr>
    </w:p>
    <w:p w14:paraId="71AAF6A9">
      <w:pPr>
        <w:pageBreakBefore w:val="0"/>
        <w:kinsoku/>
        <w:wordWrap/>
        <w:overflowPunct/>
        <w:topLinePunct w:val="0"/>
        <w:autoSpaceDE/>
        <w:autoSpaceDN/>
        <w:bidi w:val="0"/>
        <w:adjustRightInd/>
        <w:snapToGrid/>
        <w:spacing w:line="360" w:lineRule="auto"/>
        <w:textAlignment w:val="baseline"/>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年    月    日                    年    月    日</w:t>
      </w:r>
    </w:p>
    <w:p w14:paraId="6FE926D7">
      <w:pPr>
        <w:pageBreakBefore w:val="0"/>
        <w:kinsoku/>
        <w:wordWrap/>
        <w:overflowPunct/>
        <w:topLinePunct w:val="0"/>
        <w:autoSpaceDE/>
        <w:autoSpaceDN/>
        <w:bidi w:val="0"/>
        <w:adjustRightInd/>
        <w:snapToGrid/>
        <w:spacing w:line="360" w:lineRule="auto"/>
        <w:rPr>
          <w:rFonts w:hint="eastAsia" w:ascii="仿宋" w:hAnsi="仿宋" w:eastAsia="仿宋" w:cs="仿宋"/>
          <w:b w:val="0"/>
          <w:bCs/>
          <w:color w:val="auto"/>
          <w:sz w:val="24"/>
          <w:szCs w:val="24"/>
        </w:rPr>
      </w:pPr>
    </w:p>
    <w:sectPr>
      <w:headerReference r:id="rId3" w:type="default"/>
      <w:footerReference r:id="rId4" w:type="default"/>
      <w:pgSz w:w="11906" w:h="16838"/>
      <w:pgMar w:top="1440" w:right="1701" w:bottom="1440" w:left="1701" w:header="567"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621F5">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9155" cy="147955"/>
              <wp:effectExtent l="0" t="0" r="0" b="0"/>
              <wp:wrapNone/>
              <wp:docPr id="4097" name="文本框 1"/>
              <wp:cNvGraphicFramePr/>
              <a:graphic xmlns:a="http://schemas.openxmlformats.org/drawingml/2006/main">
                <a:graphicData uri="http://schemas.microsoft.com/office/word/2010/wordprocessingShape">
                  <wps:wsp>
                    <wps:cNvSpPr/>
                    <wps:spPr>
                      <a:xfrm>
                        <a:off x="0" y="0"/>
                        <a:ext cx="859155" cy="147955"/>
                      </a:xfrm>
                      <a:prstGeom prst="rect">
                        <a:avLst/>
                      </a:prstGeom>
                      <a:noFill/>
                      <a:ln>
                        <a:noFill/>
                      </a:ln>
                      <a:effectLst/>
                    </wps:spPr>
                    <wps:txbx>
                      <w:txbxContent>
                        <w:p w14:paraId="1B961AE0">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wps:txbx>
                    <wps:bodyPr wrap="none" lIns="0" tIns="0" rIns="0" bIns="0">
                      <a:spAutoFit/>
                    </wps:bodyPr>
                  </wps:wsp>
                </a:graphicData>
              </a:graphic>
            </wp:anchor>
          </w:drawing>
        </mc:Choice>
        <mc:Fallback>
          <w:pict>
            <v:rect id="文本框 1" o:spid="_x0000_s1026" o:spt="1" style="position:absolute;left:0pt;margin-top:0pt;height:11.65pt;width:67.65pt;mso-position-horizontal:center;mso-position-horizontal-relative:margin;mso-wrap-style:none;z-index:251659264;mso-width-relative:page;mso-height-relative:page;" filled="f" stroked="f" coordsize="21600,21600" o:gfxdata="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Q9i1fSAAAABAEAAA8AAAAAAAAAAQAgAAAAIgAAAGRycy9kb3ducmV2&#10;LnhtbFBLAQIUABQAAAAIAIdO4kDg4uFByQEAAJIDAAAOAAAAAAAAAAEAIAAAACEBAABkcnMvZTJv&#10;RG9jLnhtbFBLBQYAAAAABgAGAFkBAABcBQAAAAA=&#10;">
              <v:fill on="f" focussize="0,0"/>
              <v:stroke on="f"/>
              <v:imagedata o:title=""/>
              <o:lock v:ext="edit" aspectratio="f"/>
              <v:textbox inset="0mm,0mm,0mm,0mm" style="mso-fit-shape-to-text:t;">
                <w:txbxContent>
                  <w:p w14:paraId="1B961AE0">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FC1B9">
    <w:pPr>
      <w:pStyle w:val="5"/>
      <w:pBdr>
        <w:bottom w:val="none" w:color="auto" w:sz="0" w:space="0"/>
      </w:pBdr>
      <w:tabs>
        <w:tab w:val="center" w:pos="4213"/>
        <w:tab w:val="left" w:pos="7251"/>
      </w:tabs>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kNTkxMzk5ZmJhNTc0ZmQ2OWIwNTEzMmNmMDAwOTAifQ=="/>
  </w:docVars>
  <w:rsids>
    <w:rsidRoot w:val="00000000"/>
    <w:rsid w:val="0C565DA5"/>
    <w:rsid w:val="15445376"/>
    <w:rsid w:val="1B813443"/>
    <w:rsid w:val="20AC2D10"/>
    <w:rsid w:val="21C422DC"/>
    <w:rsid w:val="2D5175E5"/>
    <w:rsid w:val="31D2040B"/>
    <w:rsid w:val="3A554039"/>
    <w:rsid w:val="402B735F"/>
    <w:rsid w:val="43EB7FFB"/>
    <w:rsid w:val="45260A34"/>
    <w:rsid w:val="4FE6033A"/>
    <w:rsid w:val="50D6330E"/>
    <w:rsid w:val="512C5624"/>
    <w:rsid w:val="528145E7"/>
    <w:rsid w:val="58CC445F"/>
    <w:rsid w:val="5B422D85"/>
    <w:rsid w:val="62C54F90"/>
    <w:rsid w:val="65927D46"/>
    <w:rsid w:val="72EB4E73"/>
    <w:rsid w:val="7DAC2BAA"/>
    <w:rsid w:val="7EF84914"/>
    <w:rsid w:val="F7C34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qFormat/>
    <w:uiPriority w:val="0"/>
    <w:pPr>
      <w:keepNext/>
      <w:keepLines/>
      <w:spacing w:before="260" w:after="26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customStyle="1" w:styleId="9">
    <w:name w:val="Normal Indent1"/>
    <w:basedOn w:val="1"/>
    <w:qFormat/>
    <w:uiPriority w:val="0"/>
    <w:pPr>
      <w:ind w:firstLine="200" w:firstLineChars="200"/>
    </w:pPr>
    <w:rPr>
      <w:rFonts w:eastAsia="楷体_GB2312"/>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2159</Words>
  <Characters>2173</Characters>
  <Lines>0</Lines>
  <Paragraphs>0</Paragraphs>
  <TotalTime>2</TotalTime>
  <ScaleCrop>false</ScaleCrop>
  <LinksUpToDate>false</LinksUpToDate>
  <CharactersWithSpaces>2405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2024-08-21T16:13:00Z</dcterms:created>
  <dc:creator>凉凉</dc:creator>
  <cp:lastModifiedBy>那就这样吧</cp:lastModifiedBy>
  <dcterms:modified xsi:type="dcterms:W3CDTF">2026-06-10T09:20:45Z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D2EB48FF6096480BA77C7367169E1309_13</vt:lpwstr>
  </property>
  <property fmtid="{D5CDD505-2E9C-101B-9397-08002B2CF9AE}" pid="4" name="KSOTemplateDocerSaveRecord">
    <vt:lpwstr>eyJoZGlkIjoiNzM3ZTFhZWQxMThkOTVlMmI2YWFlMWQyOWI1Y2ZhOTciLCJ1c2VySWQiOiIyNzIwNjQ2ODcifQ==</vt:lpwstr>
  </property>
</Properties>
</file>