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4ED2B9">
      <w:pPr>
        <w:pStyle w:val="2"/>
        <w:rPr>
          <w:highlight w:val="none"/>
        </w:rPr>
      </w:pPr>
      <w:bookmarkStart w:id="0" w:name="_Toc26732"/>
      <w:bookmarkStart w:id="1" w:name="OLE_LINK9"/>
      <w:bookmarkStart w:id="2" w:name="OLE_LINK10"/>
      <w:r>
        <w:rPr>
          <w:rFonts w:hint="eastAsia"/>
          <w:highlight w:val="none"/>
        </w:rPr>
        <w:t>合同包1 项目设计服务</w:t>
      </w:r>
      <w:bookmarkEnd w:id="0"/>
    </w:p>
    <w:p w14:paraId="346177CE">
      <w:pPr>
        <w:pStyle w:val="5"/>
        <w:rPr>
          <w:highlight w:val="none"/>
        </w:rPr>
      </w:pPr>
      <w:bookmarkStart w:id="3" w:name="_Toc18162"/>
      <w:r>
        <w:rPr>
          <w:rFonts w:hint="eastAsia"/>
          <w:highlight w:val="none"/>
        </w:rPr>
        <w:t>一、项目概述</w:t>
      </w:r>
      <w:bookmarkEnd w:id="3"/>
    </w:p>
    <w:p w14:paraId="6FFADB49">
      <w:pPr>
        <w:spacing w:line="360" w:lineRule="auto"/>
        <w:ind w:firstLine="241" w:firstLineChars="100"/>
        <w:rPr>
          <w:rFonts w:hint="eastAsia" w:ascii="宋体" w:hAnsi="宋体" w:cs="宋体"/>
          <w:b/>
          <w:bCs/>
          <w:sz w:val="24"/>
          <w:highlight w:val="none"/>
        </w:rPr>
      </w:pPr>
      <w:r>
        <w:rPr>
          <w:rFonts w:hint="eastAsia" w:ascii="宋体" w:hAnsi="宋体" w:cs="宋体"/>
          <w:b/>
          <w:bCs/>
          <w:sz w:val="24"/>
          <w:highlight w:val="none"/>
        </w:rPr>
        <w:t>（一）项目背景</w:t>
      </w:r>
    </w:p>
    <w:p w14:paraId="19556A8E">
      <w:pPr>
        <w:spacing w:line="360" w:lineRule="auto"/>
        <w:ind w:firstLine="480" w:firstLineChars="200"/>
        <w:rPr>
          <w:rFonts w:hint="eastAsia" w:ascii="宋体" w:hAnsi="宋体" w:cs="宋体"/>
          <w:sz w:val="24"/>
          <w:highlight w:val="none"/>
        </w:rPr>
      </w:pPr>
      <w:bookmarkStart w:id="4" w:name="OLE_LINK2"/>
      <w:bookmarkStart w:id="5" w:name="OLE_LINK1"/>
      <w:r>
        <w:rPr>
          <w:rFonts w:hint="eastAsia" w:ascii="宋体" w:hAnsi="宋体" w:cs="宋体"/>
          <w:sz w:val="24"/>
          <w:highlight w:val="none"/>
        </w:rPr>
        <w:t>富平校区大中小一体化思政教育实践中心设计、监理位于渭南师范学院富平校区实训楼二层及三层部分区域及户外长廊，建筑面积约2900平方米。</w:t>
      </w:r>
    </w:p>
    <w:bookmarkEnd w:id="4"/>
    <w:bookmarkEnd w:id="5"/>
    <w:p w14:paraId="7C2E782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为深入贯彻落实党的二十大精神及习近平总书记关于思想政治教育的重要论述，紧扣学校《推进大中小学思想政治教育一体化建设实施方案》要求，以铸魂育人、贯通衔接、知行合一、润心赋能为核心，紧扣大中小学思想政治教育一体化主线，立足渭南富平红色资源与华夏文化底蕴，打造全国一流、错位发展、学段适配、科技赋能、实践闭环的思政研学示范基地，避免沦为地方文化馆或传统红色展馆，突出思想政治教育范式创新与渭师特色。</w:t>
      </w:r>
    </w:p>
    <w:p w14:paraId="5A2EA54D">
      <w:pPr>
        <w:spacing w:line="360" w:lineRule="auto"/>
        <w:ind w:firstLine="241" w:firstLineChars="100"/>
        <w:rPr>
          <w:rFonts w:hint="eastAsia" w:ascii="宋体" w:hAnsi="宋体" w:cs="宋体"/>
          <w:b/>
          <w:bCs/>
          <w:sz w:val="24"/>
          <w:highlight w:val="none"/>
        </w:rPr>
      </w:pPr>
      <w:r>
        <w:rPr>
          <w:rFonts w:hint="eastAsia" w:ascii="宋体" w:hAnsi="宋体" w:cs="宋体"/>
          <w:b/>
          <w:bCs/>
          <w:sz w:val="24"/>
          <w:highlight w:val="none"/>
        </w:rPr>
        <w:t>（二）必要性</w:t>
      </w:r>
    </w:p>
    <w:p w14:paraId="77FC635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1.落实立德树人根本任务</w:t>
      </w:r>
    </w:p>
    <w:p w14:paraId="58F3F1D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以习近平文化思想为指引，打破学段壁垒，构建启蒙认知—理性认同—实践创新阶梯式育人体系，融入情感浸润—意志锤炼—人格完善心理发展路径，培育身心健康、堪当民族复兴大任的时代新人。</w:t>
      </w:r>
    </w:p>
    <w:p w14:paraId="52DE186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2.打造全国一流思政研学标杆</w:t>
      </w:r>
    </w:p>
    <w:p w14:paraId="76D284F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融合科技＋思政＋体验＋学段贯通模式，与关中革命纪念馆等场馆差异化互补，建成兼具理论深度、文化厚度、体验温度的全国示范基地。</w:t>
      </w:r>
    </w:p>
    <w:p w14:paraId="3BA2471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3.破解思想政治教育现实难题</w:t>
      </w:r>
    </w:p>
    <w:p w14:paraId="31103A6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解决学段衔接不紧、实践资源不均、形式单一等问题，构建校地联动、学段贯通、线上线下思想政治教育新格局，形成可复制的渭师模式。</w:t>
      </w:r>
    </w:p>
    <w:p w14:paraId="5C335D5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4.赋能区域思想政治教育发展</w:t>
      </w:r>
    </w:p>
    <w:p w14:paraId="4288A31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发起成立渭南大中小学思想政治教育共建联盟，推动课程共建、师资共享、活动共办、成果共研，辐射陕西及西北，彰显高校社会服务价值。</w:t>
      </w:r>
    </w:p>
    <w:p w14:paraId="06B941DA">
      <w:pPr>
        <w:spacing w:line="360" w:lineRule="auto"/>
        <w:ind w:firstLine="241" w:firstLineChars="100"/>
        <w:rPr>
          <w:rFonts w:hint="eastAsia" w:ascii="宋体" w:hAnsi="宋体" w:cs="宋体"/>
          <w:b/>
          <w:bCs/>
          <w:sz w:val="24"/>
          <w:highlight w:val="none"/>
        </w:rPr>
      </w:pPr>
      <w:r>
        <w:rPr>
          <w:rFonts w:hint="eastAsia" w:ascii="宋体" w:hAnsi="宋体" w:cs="宋体"/>
          <w:b/>
          <w:bCs/>
          <w:sz w:val="24"/>
          <w:highlight w:val="none"/>
        </w:rPr>
        <w:t>（三）预期效益</w:t>
      </w:r>
    </w:p>
    <w:p w14:paraId="304457C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根据本次设计，规划展馆全部设施、布局规划及内容方案策划应用，形成渭师样板，领跑全国一体化思政研学场馆。</w:t>
      </w:r>
    </w:p>
    <w:p w14:paraId="413FAAFB">
      <w:pPr>
        <w:pStyle w:val="5"/>
        <w:ind w:left="0" w:firstLine="0"/>
        <w:rPr>
          <w:rFonts w:hint="eastAsia"/>
          <w:highlight w:val="none"/>
        </w:rPr>
      </w:pPr>
      <w:bookmarkStart w:id="6" w:name="_Toc4495"/>
      <w:r>
        <w:rPr>
          <w:rFonts w:hint="eastAsia"/>
          <w:highlight w:val="none"/>
        </w:rPr>
        <w:t>二、设计内容及要求</w:t>
      </w:r>
      <w:bookmarkEnd w:id="6"/>
    </w:p>
    <w:p w14:paraId="3920D46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设计范围包括渭南师范学院富平校区实训楼二层及三层部分区域及户外长廊，建筑面积约2900平方米。</w:t>
      </w:r>
    </w:p>
    <w:p w14:paraId="1E07A89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完成研学馆的全部平面设计、3D设计、工程量清单及内容文字撰写。出具效果图，根据效果图出具对应的施工图及工程量清单，并且制作内容文字撰写方案。</w:t>
      </w:r>
    </w:p>
    <w:p w14:paraId="75FA636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项目建设一廊、一馆和实践体验工坊，即一体化育人长廊、一体化研学馆、“唱、说、读、写、做”实践体验工坊。研学馆核心围绕五大主题内容展开，同时完善富平校区广播室暨广播电视台建设，配合三大融合工坊，贯穿大中小学思想政治教育一体化主线，兼顾理论性、地域性、实践性和学段适配性，各内容相互支撑、层层递进，构建完整的思政育人体系。</w:t>
      </w:r>
    </w:p>
    <w:p w14:paraId="5BB3748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坚持内容为本、科技为用，采用静展＋活展＋留白＋动手＋数智“五位一体”策略，拒绝单一形式堆砌。</w:t>
      </w:r>
    </w:p>
    <w:p w14:paraId="1395596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1.技术赋能：VR／AR／AI服务研学目标，配套课程脚本、学情反馈、运维方案，控制VR设备密度。</w:t>
      </w:r>
    </w:p>
    <w:p w14:paraId="4C8A58F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2.交互优选：优先实体交互（拼图、拓印、翻书等），辅以高沉浸VR（红色遗址漫游）。</w:t>
      </w:r>
    </w:p>
    <w:p w14:paraId="269D88F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3.轻量化互动：手环打卡积分等。</w:t>
      </w:r>
    </w:p>
    <w:p w14:paraId="6C092810">
      <w:pPr>
        <w:spacing w:line="360" w:lineRule="auto"/>
        <w:ind w:firstLine="241" w:firstLineChars="100"/>
        <w:rPr>
          <w:rFonts w:ascii="宋体" w:hAnsi="宋体" w:cs="宋体"/>
          <w:b/>
          <w:bCs/>
          <w:sz w:val="24"/>
          <w:highlight w:val="none"/>
        </w:rPr>
      </w:pPr>
      <w:r>
        <w:rPr>
          <w:rFonts w:hint="eastAsia" w:ascii="宋体" w:hAnsi="宋体" w:cs="宋体"/>
          <w:b/>
          <w:bCs/>
          <w:sz w:val="24"/>
          <w:highlight w:val="none"/>
        </w:rPr>
        <w:t>（一）教育体系内容</w:t>
      </w:r>
    </w:p>
    <w:p w14:paraId="5963F9E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1.思想引领</w:t>
      </w:r>
    </w:p>
    <w:p w14:paraId="150109C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聚焦习近平文化思想与思想政治教育重要论述，融入习仲勋同志革命精神与育人思想、新时代伟大成就、陕西省立德树人工程之铸魂、传承、强基、淬炼、解惑5项行动，锚定一体化培根铸魂方向，突出思想政治教育改革前沿。</w:t>
      </w:r>
    </w:p>
    <w:p w14:paraId="2D5C498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2.文化根脉</w:t>
      </w:r>
    </w:p>
    <w:p w14:paraId="3D4C201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深挖渭南华夏之根底蕴，以仓颉造字、司马迁文脉、华山文化、渭南非遗为核心，采用历史＋文物＋文化育人模式，增设渭南文化名人墙。既凸显地方文化根脉，又兼顾全国普适性认同。</w:t>
      </w:r>
    </w:p>
    <w:p w14:paraId="2C5B63C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3.红色基因</w:t>
      </w:r>
    </w:p>
    <w:p w14:paraId="29FF4B4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整合陕西红色资源，挖掘渭南关中红色资源（习仲勋事迹、渭华起义、八路军120师、米家窑地下交通站等）与红色教育发展史，打造渭南红色数字基因库。以中国共产党人伟大精神谱系为依托，打造红色思政资源库。在整合权威党史资源、梳理中国共产党自诞生以来的重大历史事件、重要会议、主要人物、重要精神等的基础上，构建党史资源库。实现数字化、沉浸式、互动式传播，打造具有渭南地方文化与思想教育特色的红色场馆。</w:t>
      </w:r>
    </w:p>
    <w:p w14:paraId="25ACB88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4.品德铸魂</w:t>
      </w:r>
    </w:p>
    <w:p w14:paraId="2A70944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以数智技术为引擎，以体验互动为方式，构建“铸魂育人、贯通衔接、知行合一”全链条创新育人模式。精准对接小学、中学、大学思政课标，建立分学段资源库，通过分层内容、差异化交互实现一体化教学，展示跨学段同课异构、教研共建成果，配套学段衔接思政课程库。聚焦思政热点、党的创新理论、教育前沿发展和国家发展战略，打造时政主题资源库。构建具有“理论实践化、内容场景化、互动智慧化”特点的师生共研、共创、共享思想政治教育新范式。</w:t>
      </w:r>
    </w:p>
    <w:p w14:paraId="60ADB79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5.国旗荣光</w:t>
      </w:r>
    </w:p>
    <w:p w14:paraId="54E8FA5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打造标准化国旗专题展区，展示天安门广场同日升起的校庆国旗，系统呈现国旗历史、《国旗法》、礼仪规范，设置国旗宣誓台＋移动微课堂，厚植家国情怀。展示爱国主义教育精品案例，创新推出“讲出我的自信”师生专属数字人形象，突显参与感、体验感。</w:t>
      </w:r>
    </w:p>
    <w:p w14:paraId="2DB1E15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6.融媒体传播</w:t>
      </w:r>
    </w:p>
    <w:p w14:paraId="0E0627B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完善富平校区广播室暨广播电视台，建设播音、演播录制、融媒体办公三大区域，搭建学生实践平台，助力思政内容多元传播，支撑研学成果线上展播。</w:t>
      </w:r>
    </w:p>
    <w:p w14:paraId="7FAEE0E2">
      <w:pPr>
        <w:spacing w:line="360" w:lineRule="auto"/>
        <w:ind w:firstLine="241" w:firstLineChars="100"/>
        <w:rPr>
          <w:rFonts w:hint="eastAsia" w:ascii="宋体" w:hAnsi="宋体" w:cs="宋体"/>
          <w:b/>
          <w:bCs/>
          <w:sz w:val="24"/>
          <w:highlight w:val="none"/>
        </w:rPr>
      </w:pPr>
      <w:r>
        <w:rPr>
          <w:rFonts w:hint="eastAsia" w:ascii="宋体" w:hAnsi="宋体" w:cs="宋体"/>
          <w:b/>
          <w:bCs/>
          <w:sz w:val="24"/>
          <w:highlight w:val="none"/>
        </w:rPr>
        <w:t>（二）区域划分</w:t>
      </w:r>
    </w:p>
    <w:p w14:paraId="655DF49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遵循同进同出、顺时针单向闭环、不走回头路动线，保留室外—楼道—馆内—实践—休闲全场景，按说唱合一、读写合一、手作独立重构三大工坊，严格动静分区，满足整班（40－50人）使用，按智慧教室标准打造。</w:t>
      </w:r>
    </w:p>
    <w:p w14:paraId="6B08451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1.室外草坪先导区</w:t>
      </w:r>
    </w:p>
    <w:p w14:paraId="5A448FB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东门正对的环道旁，设置立于东门内即可见的景观引导标识柱。打造华夏根脉文化长廊（L型廊、楼梯口雕塑），营造沉浸式入口氛围，可观可看可用。</w:t>
      </w:r>
    </w:p>
    <w:p w14:paraId="36CAA01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2.楼道通道过渡区</w:t>
      </w:r>
    </w:p>
    <w:p w14:paraId="097BED6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①楼口馆名牌</w:t>
      </w:r>
    </w:p>
    <w:p w14:paraId="4ABA276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②长廊巷侧浮雕</w:t>
      </w:r>
    </w:p>
    <w:p w14:paraId="68E6107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③楼道亮化文创</w:t>
      </w:r>
    </w:p>
    <w:p w14:paraId="642C67E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④适当留白：用于师生文创、作品展示与推广</w:t>
      </w:r>
    </w:p>
    <w:p w14:paraId="1CBF6BB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3.馆内核心体验区</w:t>
      </w:r>
    </w:p>
    <w:p w14:paraId="3D15F02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按思想引领→文化根脉→红色基因→品德铸魂→国旗荣光线性展开，设置：</w:t>
      </w:r>
    </w:p>
    <w:p w14:paraId="6367F8D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①馆口前言</w:t>
      </w:r>
    </w:p>
    <w:p w14:paraId="1A1263A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②五大主题展区（分学段分层展示、差异化交互）</w:t>
      </w:r>
    </w:p>
    <w:p w14:paraId="6C39103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③国旗宣誓台＋移动微课堂（配便携式座椅，节约空间）</w:t>
      </w:r>
    </w:p>
    <w:p w14:paraId="21CA307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④实体交互区（拼图、拓印、积木等，皮实耐造、低成本高参与）</w:t>
      </w:r>
    </w:p>
    <w:p w14:paraId="3E46B85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4.实践体验拓展区（三大融合工坊）</w:t>
      </w:r>
    </w:p>
    <w:p w14:paraId="2ADED50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①声韵思政工坊（唱＋说 融合·动区）</w:t>
      </w:r>
    </w:p>
    <w:p w14:paraId="051759E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整合时代回响音乐工坊与薪火相传演说工坊，主打“唱红歌、讲党史、诵经典”，可容纳50人整班使用，兼容合唱排练、器乐教学、红色故事宣讲、微党课录制、小组辩论配备音响、录播、投屏设备，产出红歌MV、演说视频、微课作品，形成成果闭环</w:t>
      </w:r>
    </w:p>
    <w:p w14:paraId="03E1A88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②文心思政工坊（读＋写 融合·静区）</w:t>
      </w:r>
    </w:p>
    <w:p w14:paraId="7B22B29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整合精神解码阅读工坊与笔墨山河创作工坊，主打“读经典、写感悟、书初心”安静沉浸式空间，满足阅读研学、思政主题写作、书法创作、手抄报制作配备阅读角、书写台、作品展示墙，产出思政作文、书法作品、阅读笔记</w:t>
      </w:r>
    </w:p>
    <w:p w14:paraId="4066393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③匠心手作工坊（手作 独立·动静分区）</w:t>
      </w:r>
    </w:p>
    <w:p w14:paraId="6917EFF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独立设置，内部再分静区与动区，不与其他工坊混用，保障手作完整性</w:t>
      </w:r>
    </w:p>
    <w:p w14:paraId="5171D40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静区：剪纸、皮影、拓印、文创绘制等精细手工</w:t>
      </w:r>
    </w:p>
    <w:p w14:paraId="708F671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动区：陶艺、雕刻、模型搭建等体验项目</w:t>
      </w:r>
    </w:p>
    <w:p w14:paraId="21324C6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材料齐全、安全易用，所有作品可制作、可带走、可展示，对接渭南非遗资源，打造地域特色思政手作品牌。</w:t>
      </w:r>
    </w:p>
    <w:p w14:paraId="6D96A35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5.成果反馈与休闲区</w:t>
      </w:r>
    </w:p>
    <w:p w14:paraId="208D70E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①知识测试（数字化学情反馈）</w:t>
      </w:r>
    </w:p>
    <w:p w14:paraId="53B25B5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②文化休闲露台：休息、交流、学生作品展示，配套简易服务</w:t>
      </w:r>
    </w:p>
    <w:p w14:paraId="6CB64FC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③来宾休息室＋文创区：接待室／门厅设文创赠送／售卖区</w:t>
      </w:r>
    </w:p>
    <w:p w14:paraId="28B627D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特别说明：以上所有板块（包括各小的分类区）均应体现有主有次、有大有小，尽量避免区域大小均等、同质化和机械式雷同。</w:t>
      </w:r>
    </w:p>
    <w:p w14:paraId="19BC8ACC">
      <w:pPr>
        <w:pStyle w:val="5"/>
        <w:rPr>
          <w:rFonts w:hint="eastAsia"/>
          <w:highlight w:val="none"/>
        </w:rPr>
      </w:pPr>
      <w:bookmarkStart w:id="7" w:name="_Toc18785"/>
      <w:r>
        <w:rPr>
          <w:rFonts w:hint="eastAsia"/>
          <w:highlight w:val="none"/>
        </w:rPr>
        <w:t>三、实施要求</w:t>
      </w:r>
      <w:bookmarkEnd w:id="7"/>
    </w:p>
    <w:p w14:paraId="5BCDEA6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1.国旗展区核心地位：精准尺寸国旗（长5m、宽3.3m），微课堂嵌入，系统展示我校国旗的光荣来历以及国旗馆的发展实绩，让红旗引领成为鲜明底色。</w:t>
      </w:r>
    </w:p>
    <w:p w14:paraId="2497829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2.实践体验工坊：声韵工坊（唱说）、文心工坊（读写）、匠心工坊（手作独立），空间高效、功能清晰。</w:t>
      </w:r>
    </w:p>
    <w:p w14:paraId="65B5302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3.整体气质：内容上，铸魂润心赋能，突出思想政治教育范式创新；形式上，全方位体现时代感（整体设计与光影视觉冲击力强）、科技感（最新科技形式恰当体现）、体验感（参与感强、互动性高）。</w:t>
      </w:r>
    </w:p>
    <w:p w14:paraId="409936D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4.设计实施：优选优质设计，明确差异化定位；提供设计效果图、施工图及工程量清单等</w:t>
      </w:r>
    </w:p>
    <w:p w14:paraId="1DF7634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5.学段适配：同一展项分层内容、差异化交互，满足大中小学不同需求。</w:t>
      </w:r>
    </w:p>
    <w:p w14:paraId="6AB396F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6.本项目室内需做消音、隔声、吸声处理。空调通风设备配套消声装置，整体声环境符合国家现行建筑声学规范。</w:t>
      </w:r>
    </w:p>
    <w:bookmarkEnd w:id="1"/>
    <w:bookmarkEnd w:id="2"/>
    <w:p w14:paraId="24C3376A">
      <w:pPr>
        <w:pStyle w:val="5"/>
        <w:rPr>
          <w:highlight w:val="none"/>
        </w:rPr>
      </w:pPr>
      <w:bookmarkStart w:id="8" w:name="_Toc15454"/>
      <w:r>
        <w:rPr>
          <w:rFonts w:hint="eastAsia"/>
          <w:highlight w:val="none"/>
        </w:rPr>
        <w:t>四、商务要求</w:t>
      </w:r>
      <w:bookmarkEnd w:id="8"/>
    </w:p>
    <w:p w14:paraId="43976F53">
      <w:pPr>
        <w:spacing w:line="360" w:lineRule="auto"/>
        <w:ind w:firstLine="480" w:firstLineChars="200"/>
        <w:rPr>
          <w:rFonts w:ascii="宋体" w:hAnsi="宋体"/>
          <w:bCs/>
          <w:sz w:val="24"/>
          <w:highlight w:val="none"/>
        </w:rPr>
      </w:pPr>
      <w:r>
        <w:rPr>
          <w:rFonts w:hint="eastAsia" w:ascii="宋体" w:hAnsi="宋体"/>
          <w:sz w:val="24"/>
          <w:highlight w:val="none"/>
        </w:rPr>
        <w:t>1.服务期</w:t>
      </w:r>
      <w:r>
        <w:rPr>
          <w:rFonts w:hint="eastAsia" w:ascii="宋体" w:hAnsi="宋体"/>
          <w:bCs/>
          <w:sz w:val="24"/>
          <w:highlight w:val="none"/>
        </w:rPr>
        <w:t>：</w:t>
      </w:r>
      <w:r>
        <w:rPr>
          <w:rFonts w:hint="eastAsia"/>
          <w:sz w:val="24"/>
          <w:highlight w:val="none"/>
        </w:rPr>
        <w:t>合同签订之日起7日内完成全部设计优化及定稿。</w:t>
      </w:r>
    </w:p>
    <w:p w14:paraId="4EBE65D2">
      <w:pPr>
        <w:spacing w:line="360" w:lineRule="auto"/>
        <w:ind w:firstLine="480" w:firstLineChars="200"/>
        <w:rPr>
          <w:rFonts w:hint="eastAsia" w:ascii="宋体" w:hAnsi="宋体" w:cs="宋体"/>
          <w:sz w:val="24"/>
          <w:highlight w:val="none"/>
        </w:rPr>
      </w:pPr>
      <w:r>
        <w:rPr>
          <w:rFonts w:hint="eastAsia" w:ascii="宋体" w:hAnsi="宋体"/>
          <w:bCs/>
          <w:sz w:val="24"/>
          <w:highlight w:val="none"/>
        </w:rPr>
        <w:t>2.工程地点：</w:t>
      </w:r>
      <w:r>
        <w:rPr>
          <w:rFonts w:hint="eastAsia" w:ascii="宋体" w:hAnsi="宋体" w:cs="宋体"/>
          <w:sz w:val="24"/>
          <w:highlight w:val="none"/>
        </w:rPr>
        <w:t>渭南师范学院富平校区实训楼二层及三层部分区域及户外长廊。</w:t>
      </w:r>
    </w:p>
    <w:p w14:paraId="043683F3">
      <w:pPr>
        <w:spacing w:line="360" w:lineRule="auto"/>
        <w:ind w:firstLine="480" w:firstLineChars="200"/>
        <w:rPr>
          <w:rFonts w:ascii="宋体" w:hAnsi="宋体"/>
          <w:sz w:val="24"/>
          <w:highlight w:val="none"/>
        </w:rPr>
      </w:pPr>
      <w:r>
        <w:rPr>
          <w:rFonts w:hint="eastAsia" w:ascii="宋体" w:hAnsi="宋体"/>
          <w:sz w:val="24"/>
          <w:highlight w:val="none"/>
        </w:rPr>
        <w:t>3.合同价款</w:t>
      </w:r>
    </w:p>
    <w:p w14:paraId="14989449">
      <w:pPr>
        <w:spacing w:line="360" w:lineRule="auto"/>
        <w:ind w:firstLine="480" w:firstLineChars="200"/>
        <w:rPr>
          <w:rFonts w:ascii="宋体" w:hAnsi="宋体"/>
          <w:sz w:val="24"/>
          <w:highlight w:val="none"/>
        </w:rPr>
      </w:pPr>
      <w:r>
        <w:rPr>
          <w:rFonts w:hint="eastAsia" w:ascii="宋体" w:hAnsi="宋体"/>
          <w:sz w:val="24"/>
          <w:highlight w:val="none"/>
        </w:rPr>
        <w:t>合同总价一次性包死，不受市场价格变化因素的影响。</w:t>
      </w:r>
    </w:p>
    <w:p w14:paraId="3C86B55B">
      <w:pPr>
        <w:spacing w:line="360" w:lineRule="auto"/>
        <w:ind w:firstLine="480" w:firstLineChars="200"/>
        <w:rPr>
          <w:rFonts w:ascii="宋体" w:hAnsi="宋体"/>
          <w:sz w:val="24"/>
          <w:highlight w:val="none"/>
        </w:rPr>
      </w:pPr>
      <w:r>
        <w:rPr>
          <w:rFonts w:hint="eastAsia" w:ascii="宋体" w:hAnsi="宋体"/>
          <w:sz w:val="24"/>
          <w:highlight w:val="none"/>
        </w:rPr>
        <w:t>4.款项结算</w:t>
      </w:r>
    </w:p>
    <w:p w14:paraId="74DC967F">
      <w:pPr>
        <w:spacing w:line="360" w:lineRule="auto"/>
        <w:ind w:firstLine="480" w:firstLineChars="200"/>
        <w:rPr>
          <w:rFonts w:ascii="宋体" w:hAnsi="宋体"/>
          <w:sz w:val="24"/>
          <w:highlight w:val="none"/>
        </w:rPr>
      </w:pPr>
      <w:r>
        <w:rPr>
          <w:rFonts w:hint="eastAsia" w:ascii="宋体" w:hAnsi="宋体"/>
          <w:sz w:val="24"/>
          <w:highlight w:val="none"/>
        </w:rPr>
        <w:t>（1）付款方式：所有设计成果验收合格后一次性支付100%合同款。</w:t>
      </w:r>
    </w:p>
    <w:p w14:paraId="1E968F91">
      <w:pPr>
        <w:spacing w:line="360" w:lineRule="auto"/>
        <w:ind w:firstLine="480" w:firstLineChars="200"/>
        <w:rPr>
          <w:rFonts w:ascii="宋体" w:hAnsi="宋体"/>
          <w:sz w:val="24"/>
          <w:highlight w:val="none"/>
        </w:rPr>
      </w:pPr>
      <w:r>
        <w:rPr>
          <w:rFonts w:hint="eastAsia" w:ascii="宋体" w:hAnsi="宋体"/>
          <w:sz w:val="24"/>
          <w:highlight w:val="none"/>
        </w:rPr>
        <w:t>（2）支付方式：银行转账。</w:t>
      </w:r>
    </w:p>
    <w:p w14:paraId="478E9146">
      <w:pPr>
        <w:spacing w:line="360" w:lineRule="auto"/>
        <w:ind w:firstLine="480" w:firstLineChars="200"/>
        <w:rPr>
          <w:rFonts w:hint="eastAsia" w:ascii="宋体" w:hAnsi="宋体"/>
          <w:sz w:val="24"/>
          <w:highlight w:val="none"/>
        </w:rPr>
      </w:pPr>
      <w:r>
        <w:rPr>
          <w:rFonts w:hint="eastAsia" w:ascii="宋体" w:hAnsi="宋体"/>
          <w:sz w:val="24"/>
          <w:highlight w:val="none"/>
        </w:rPr>
        <w:t>（3）结算方式：成交单位持中标通知书、合同、发票，与采购人结算。甲方付款前，乙方应向甲方提供经甲方财务认可的等额正式发票，因乙方开具发票不及时，不规范，不合法或涉嫌虚开发票导致甲方付款延迟的，甲方不承担责任;引起税务问题的，乙方需依法向甲方重新开具发票，并就因此给甲方造成实际损失承担赔偿责任，包括但不限于税款、滞纳金、罚款等相关损失。</w:t>
      </w:r>
    </w:p>
    <w:p w14:paraId="3AAA1AB3">
      <w:pPr>
        <w:spacing w:line="360" w:lineRule="auto"/>
        <w:ind w:firstLine="480" w:firstLineChars="200"/>
        <w:rPr>
          <w:rFonts w:hint="eastAsia" w:ascii="宋体" w:hAnsi="宋体"/>
          <w:sz w:val="24"/>
          <w:highlight w:val="none"/>
        </w:rPr>
      </w:pPr>
      <w:r>
        <w:rPr>
          <w:rFonts w:hint="eastAsia" w:ascii="宋体" w:hAnsi="宋体"/>
          <w:sz w:val="24"/>
          <w:highlight w:val="none"/>
        </w:rPr>
        <w:t>5.验收要求</w:t>
      </w:r>
    </w:p>
    <w:p w14:paraId="5FE86697">
      <w:pPr>
        <w:spacing w:line="360" w:lineRule="auto"/>
        <w:ind w:firstLine="480" w:firstLineChars="200"/>
        <w:rPr>
          <w:rFonts w:ascii="宋体" w:hAnsi="宋体"/>
          <w:sz w:val="24"/>
          <w:highlight w:val="none"/>
        </w:rPr>
      </w:pPr>
      <w:r>
        <w:rPr>
          <w:rFonts w:hint="eastAsia" w:ascii="宋体" w:hAnsi="宋体"/>
          <w:sz w:val="24"/>
          <w:highlight w:val="none"/>
        </w:rPr>
        <w:t>（1）</w:t>
      </w:r>
      <w:r>
        <w:rPr>
          <w:rFonts w:ascii="宋体" w:hAnsi="宋体"/>
          <w:sz w:val="24"/>
          <w:highlight w:val="none"/>
        </w:rPr>
        <w:t>符合强制性规范条文；工程类施工图需通过官方审查、图纸错漏率≤0.3%；平面类文件格式达标、无版权纠纷</w:t>
      </w:r>
    </w:p>
    <w:p w14:paraId="740C53EF">
      <w:pPr>
        <w:spacing w:line="360" w:lineRule="auto"/>
        <w:ind w:firstLine="480" w:firstLineChars="200"/>
        <w:rPr>
          <w:rFonts w:ascii="宋体" w:hAnsi="宋体"/>
          <w:sz w:val="24"/>
          <w:highlight w:val="none"/>
        </w:rPr>
      </w:pPr>
      <w:r>
        <w:rPr>
          <w:rFonts w:hint="eastAsia" w:ascii="宋体" w:hAnsi="宋体"/>
          <w:sz w:val="24"/>
          <w:highlight w:val="none"/>
        </w:rPr>
        <w:t>（2）</w:t>
      </w:r>
      <w:r>
        <w:rPr>
          <w:rFonts w:ascii="宋体" w:hAnsi="宋体"/>
          <w:sz w:val="24"/>
          <w:highlight w:val="none"/>
        </w:rPr>
        <w:t>严格按合同约定期限交付，采购人原因或不可抗力可顺延</w:t>
      </w:r>
    </w:p>
    <w:p w14:paraId="221F25CA">
      <w:pPr>
        <w:spacing w:line="360" w:lineRule="auto"/>
        <w:ind w:firstLine="480" w:firstLineChars="200"/>
        <w:rPr>
          <w:rFonts w:ascii="宋体" w:hAnsi="宋体"/>
          <w:sz w:val="24"/>
          <w:highlight w:val="none"/>
        </w:rPr>
      </w:pPr>
      <w:r>
        <w:rPr>
          <w:rFonts w:hint="eastAsia" w:ascii="宋体" w:hAnsi="宋体"/>
          <w:sz w:val="24"/>
          <w:highlight w:val="none"/>
        </w:rPr>
        <w:t>（3）</w:t>
      </w:r>
      <w:r>
        <w:rPr>
          <w:rFonts w:ascii="宋体" w:hAnsi="宋体"/>
          <w:sz w:val="24"/>
          <w:highlight w:val="none"/>
        </w:rPr>
        <w:t>交付完整电子文件，全部成果知识产权归采购人所有。</w:t>
      </w:r>
    </w:p>
    <w:p w14:paraId="5953D601">
      <w:pPr>
        <w:spacing w:line="360" w:lineRule="auto"/>
        <w:ind w:firstLine="480" w:firstLineChars="200"/>
        <w:rPr>
          <w:rFonts w:hint="eastAsia" w:ascii="宋体" w:hAnsi="宋体"/>
          <w:sz w:val="24"/>
          <w:highlight w:val="none"/>
        </w:rPr>
      </w:pPr>
      <w:r>
        <w:rPr>
          <w:rFonts w:hint="eastAsia" w:ascii="宋体" w:hAnsi="宋体"/>
          <w:sz w:val="24"/>
          <w:highlight w:val="none"/>
        </w:rPr>
        <w:t>6.违约责任</w:t>
      </w:r>
    </w:p>
    <w:p w14:paraId="11A67FD6">
      <w:pPr>
        <w:spacing w:line="360" w:lineRule="auto"/>
        <w:ind w:firstLine="480" w:firstLineChars="200"/>
        <w:rPr>
          <w:rFonts w:hint="eastAsia" w:ascii="宋体" w:hAnsi="宋体"/>
          <w:sz w:val="24"/>
          <w:highlight w:val="none"/>
        </w:rPr>
      </w:pPr>
      <w:r>
        <w:rPr>
          <w:rFonts w:hint="eastAsia" w:ascii="宋体" w:hAnsi="宋体"/>
          <w:sz w:val="24"/>
          <w:highlight w:val="none"/>
        </w:rPr>
        <w:t>（1）按《中华人民共和国民法典》中的相关条款执行。</w:t>
      </w:r>
    </w:p>
    <w:p w14:paraId="2B336491">
      <w:pPr>
        <w:spacing w:line="360" w:lineRule="auto"/>
        <w:ind w:firstLine="480" w:firstLineChars="200"/>
        <w:rPr>
          <w:rFonts w:hint="eastAsia" w:ascii="宋体" w:hAnsi="宋体"/>
          <w:sz w:val="24"/>
          <w:highlight w:val="none"/>
        </w:rPr>
      </w:pPr>
      <w:r>
        <w:rPr>
          <w:rFonts w:hint="eastAsia" w:ascii="宋体" w:hAnsi="宋体"/>
          <w:sz w:val="24"/>
          <w:highlight w:val="none"/>
        </w:rPr>
        <w:t>（2）逾期交付：每逾期 1 日，按合同总金额的 0.1‰~0.5‰支付违约金，累计不超过合同总额的 5%；逾期超过 15 日，甲方有权解除合同。</w:t>
      </w:r>
    </w:p>
    <w:p w14:paraId="52F92A3C">
      <w:pPr>
        <w:spacing w:line="360" w:lineRule="auto"/>
        <w:ind w:firstLine="480" w:firstLineChars="200"/>
        <w:rPr>
          <w:rFonts w:hint="eastAsia" w:ascii="宋体" w:hAnsi="宋体"/>
          <w:sz w:val="24"/>
          <w:highlight w:val="none"/>
        </w:rPr>
      </w:pPr>
      <w:r>
        <w:rPr>
          <w:rFonts w:hint="eastAsia" w:ascii="宋体" w:hAnsi="宋体"/>
          <w:sz w:val="24"/>
          <w:highlight w:val="none"/>
        </w:rPr>
        <w:t>（3）质量不达标：成果不符合规范或需求的，乙方无偿整改直至合格；造成经济损失的，乙方承担全额赔偿；出现重大设计失误、违反强制性条文的，甲方可直接解除合同并追责。</w:t>
      </w:r>
    </w:p>
    <w:p w14:paraId="7241201E">
      <w:pPr>
        <w:spacing w:line="360" w:lineRule="auto"/>
        <w:ind w:firstLine="480" w:firstLineChars="200"/>
        <w:rPr>
          <w:rFonts w:ascii="宋体" w:hAnsi="宋体"/>
          <w:sz w:val="24"/>
          <w:highlight w:val="none"/>
        </w:rPr>
      </w:pPr>
      <w:r>
        <w:rPr>
          <w:rFonts w:hint="eastAsia" w:ascii="宋体" w:hAnsi="宋体"/>
          <w:sz w:val="24"/>
          <w:highlight w:val="none"/>
        </w:rPr>
        <w:t>7.争议处理</w:t>
      </w:r>
    </w:p>
    <w:p w14:paraId="495375B2">
      <w:pPr>
        <w:spacing w:line="360" w:lineRule="auto"/>
        <w:ind w:firstLine="480" w:firstLineChars="200"/>
        <w:rPr>
          <w:rFonts w:hint="eastAsia" w:ascii="宋体" w:hAnsi="宋体"/>
          <w:sz w:val="24"/>
          <w:highlight w:val="none"/>
        </w:rPr>
      </w:pPr>
      <w:r>
        <w:rPr>
          <w:rFonts w:hint="eastAsia" w:ascii="宋体" w:hAnsi="宋体"/>
          <w:sz w:val="24"/>
          <w:highlight w:val="none"/>
        </w:rPr>
        <w:t>（1）合同履行中发生争议，双方首先通过友好协商解决。</w:t>
      </w:r>
    </w:p>
    <w:p w14:paraId="608252EC">
      <w:pPr>
        <w:spacing w:line="360" w:lineRule="auto"/>
        <w:ind w:firstLine="480" w:firstLineChars="200"/>
        <w:rPr>
          <w:rFonts w:hint="eastAsia" w:ascii="宋体" w:hAnsi="宋体"/>
          <w:sz w:val="24"/>
          <w:highlight w:val="none"/>
        </w:rPr>
      </w:pPr>
      <w:r>
        <w:rPr>
          <w:rFonts w:hint="eastAsia" w:ascii="宋体" w:hAnsi="宋体"/>
          <w:sz w:val="24"/>
          <w:highlight w:val="none"/>
        </w:rPr>
        <w:t>（2）协商不成的，向项目所在地有管辖权的人民法院提起诉讼。</w:t>
      </w:r>
    </w:p>
    <w:p w14:paraId="3FAC2A05">
      <w:pPr>
        <w:spacing w:line="360" w:lineRule="auto"/>
        <w:ind w:firstLine="480" w:firstLineChars="200"/>
        <w:rPr>
          <w:rFonts w:hint="eastAsia" w:ascii="宋体" w:hAnsi="宋体"/>
          <w:sz w:val="24"/>
          <w:highlight w:val="none"/>
        </w:rPr>
      </w:pPr>
      <w:r>
        <w:rPr>
          <w:rFonts w:hint="eastAsia" w:ascii="宋体" w:hAnsi="宋体"/>
          <w:sz w:val="24"/>
          <w:highlight w:val="none"/>
        </w:rPr>
        <w:t>（3）争议处理期间，除争议事项外，双方应继续履行合同其他无争议条款。</w:t>
      </w:r>
    </w:p>
    <w:p w14:paraId="0CB8973F">
      <w:pPr>
        <w:rPr>
          <w:rFonts w:hint="eastAsia"/>
          <w:highlight w:val="none"/>
        </w:rPr>
      </w:pPr>
      <w:r>
        <w:rPr>
          <w:rFonts w:hint="eastAsia"/>
          <w:highlight w:val="none"/>
        </w:rPr>
        <w:br w:type="page"/>
      </w:r>
    </w:p>
    <w:p w14:paraId="2783F765">
      <w:pPr>
        <w:pStyle w:val="2"/>
        <w:rPr>
          <w:rFonts w:hint="eastAsia"/>
          <w:highlight w:val="none"/>
        </w:rPr>
      </w:pPr>
      <w:bookmarkStart w:id="9" w:name="_Toc12219"/>
      <w:bookmarkStart w:id="13" w:name="_GoBack"/>
      <w:bookmarkEnd w:id="13"/>
      <w:r>
        <w:rPr>
          <w:rFonts w:hint="eastAsia"/>
          <w:highlight w:val="none"/>
        </w:rPr>
        <w:t>合同包2  项目监理服务</w:t>
      </w:r>
      <w:bookmarkEnd w:id="9"/>
    </w:p>
    <w:p w14:paraId="099893D2">
      <w:pPr>
        <w:pStyle w:val="5"/>
        <w:rPr>
          <w:highlight w:val="none"/>
        </w:rPr>
      </w:pPr>
      <w:bookmarkStart w:id="10" w:name="_Toc23953"/>
      <w:r>
        <w:rPr>
          <w:rFonts w:hint="eastAsia"/>
          <w:highlight w:val="none"/>
        </w:rPr>
        <w:t>一、监理服务的内容及要求</w:t>
      </w:r>
      <w:bookmarkEnd w:id="10"/>
    </w:p>
    <w:p w14:paraId="11D686C8">
      <w:pPr>
        <w:pStyle w:val="3"/>
        <w:spacing w:line="360" w:lineRule="auto"/>
        <w:ind w:firstLine="0"/>
        <w:rPr>
          <w:rFonts w:hint="eastAsia" w:hAnsi="宋体" w:cs="宋体"/>
          <w:szCs w:val="24"/>
          <w:highlight w:val="none"/>
        </w:rPr>
      </w:pPr>
      <w:r>
        <w:rPr>
          <w:rFonts w:hint="eastAsia" w:hAnsi="宋体" w:cs="宋体"/>
          <w:szCs w:val="24"/>
          <w:highlight w:val="none"/>
        </w:rPr>
        <w:t>（一）监理服务应遵守的基本准则</w:t>
      </w:r>
    </w:p>
    <w:p w14:paraId="3883AD63">
      <w:pPr>
        <w:pStyle w:val="3"/>
        <w:numPr>
          <w:ilvl w:val="0"/>
          <w:numId w:val="1"/>
        </w:numPr>
        <w:spacing w:line="360" w:lineRule="auto"/>
        <w:rPr>
          <w:rFonts w:hint="eastAsia" w:hAnsi="宋体" w:cs="宋体"/>
          <w:szCs w:val="24"/>
          <w:highlight w:val="none"/>
        </w:rPr>
      </w:pPr>
      <w:r>
        <w:rPr>
          <w:rFonts w:hint="eastAsia" w:hAnsi="宋体" w:cs="宋体"/>
          <w:szCs w:val="24"/>
          <w:highlight w:val="none"/>
        </w:rPr>
        <w:t>遵照国家及行业的规定，以“守法、诚信、公正、科学”的准则执业，维护采购人与被监理单位的合法权益。</w:t>
      </w:r>
    </w:p>
    <w:p w14:paraId="2531344E">
      <w:pPr>
        <w:pStyle w:val="3"/>
        <w:numPr>
          <w:ilvl w:val="0"/>
          <w:numId w:val="1"/>
        </w:numPr>
        <w:spacing w:line="360" w:lineRule="auto"/>
        <w:rPr>
          <w:rFonts w:hint="eastAsia" w:hAnsi="宋体" w:cs="宋体"/>
          <w:szCs w:val="24"/>
          <w:highlight w:val="none"/>
        </w:rPr>
      </w:pPr>
      <w:r>
        <w:rPr>
          <w:rFonts w:hint="eastAsia" w:hAnsi="宋体" w:cs="宋体"/>
          <w:szCs w:val="24"/>
          <w:highlight w:val="none"/>
        </w:rPr>
        <w:t>执行有关项目建设的国家法律、法规、规范、标准和制度，履行监理合同规定的义务和职责；</w:t>
      </w:r>
    </w:p>
    <w:p w14:paraId="46D907E2">
      <w:pPr>
        <w:pStyle w:val="3"/>
        <w:numPr>
          <w:ilvl w:val="0"/>
          <w:numId w:val="1"/>
        </w:numPr>
        <w:spacing w:line="360" w:lineRule="auto"/>
        <w:rPr>
          <w:rFonts w:hint="eastAsia" w:hAnsi="宋体" w:cs="宋体"/>
          <w:szCs w:val="24"/>
          <w:highlight w:val="none"/>
        </w:rPr>
      </w:pPr>
      <w:r>
        <w:rPr>
          <w:rFonts w:hint="eastAsia" w:hAnsi="宋体" w:cs="宋体"/>
          <w:szCs w:val="24"/>
          <w:highlight w:val="none"/>
        </w:rPr>
        <w:t>不得收受被监理单位的任何礼金；</w:t>
      </w:r>
    </w:p>
    <w:p w14:paraId="26CEB318">
      <w:pPr>
        <w:pStyle w:val="3"/>
        <w:numPr>
          <w:ilvl w:val="0"/>
          <w:numId w:val="1"/>
        </w:numPr>
        <w:spacing w:line="360" w:lineRule="auto"/>
        <w:rPr>
          <w:rFonts w:hint="eastAsia" w:hAnsi="宋体" w:cs="宋体"/>
          <w:szCs w:val="24"/>
          <w:highlight w:val="none"/>
        </w:rPr>
      </w:pPr>
      <w:r>
        <w:rPr>
          <w:rFonts w:hint="eastAsia" w:hAnsi="宋体" w:cs="宋体"/>
          <w:szCs w:val="24"/>
          <w:highlight w:val="none"/>
        </w:rPr>
        <w:t>不得泄漏所监理项目各方认为需要保密的事项；</w:t>
      </w:r>
    </w:p>
    <w:p w14:paraId="281E32F8">
      <w:pPr>
        <w:pStyle w:val="3"/>
        <w:numPr>
          <w:ilvl w:val="0"/>
          <w:numId w:val="1"/>
        </w:numPr>
        <w:spacing w:line="360" w:lineRule="auto"/>
        <w:rPr>
          <w:rFonts w:hint="eastAsia" w:hAnsi="宋体" w:cs="宋体"/>
          <w:szCs w:val="24"/>
          <w:highlight w:val="none"/>
        </w:rPr>
      </w:pPr>
      <w:r>
        <w:rPr>
          <w:rFonts w:hint="eastAsia" w:hAnsi="宋体" w:cs="宋体"/>
          <w:szCs w:val="24"/>
          <w:highlight w:val="none"/>
        </w:rPr>
        <w:t>遵守国家的法律和政府的有关条例、规定和办法等；</w:t>
      </w:r>
    </w:p>
    <w:p w14:paraId="52AA559C">
      <w:pPr>
        <w:pStyle w:val="3"/>
        <w:numPr>
          <w:ilvl w:val="0"/>
          <w:numId w:val="1"/>
        </w:numPr>
        <w:spacing w:line="360" w:lineRule="auto"/>
        <w:rPr>
          <w:rFonts w:hint="eastAsia" w:hAnsi="宋体" w:cs="宋体"/>
          <w:szCs w:val="24"/>
          <w:highlight w:val="none"/>
        </w:rPr>
      </w:pPr>
      <w:r>
        <w:rPr>
          <w:rFonts w:hint="eastAsia" w:hAnsi="宋体" w:cs="宋体"/>
          <w:szCs w:val="24"/>
          <w:highlight w:val="none"/>
        </w:rPr>
        <w:t>坚持公正、公平、公开、独立地处理有关项目各方的争议；</w:t>
      </w:r>
    </w:p>
    <w:p w14:paraId="6FE6EF2A">
      <w:pPr>
        <w:pStyle w:val="3"/>
        <w:numPr>
          <w:ilvl w:val="0"/>
          <w:numId w:val="1"/>
        </w:numPr>
        <w:spacing w:line="360" w:lineRule="auto"/>
        <w:rPr>
          <w:rFonts w:hint="eastAsia" w:hAnsi="宋体" w:cs="宋体"/>
          <w:szCs w:val="24"/>
          <w:highlight w:val="none"/>
        </w:rPr>
      </w:pPr>
      <w:r>
        <w:rPr>
          <w:rFonts w:hint="eastAsia" w:hAnsi="宋体" w:cs="宋体"/>
          <w:szCs w:val="24"/>
          <w:highlight w:val="none"/>
        </w:rPr>
        <w:t>坚持科学的态度和实事求是的原则；</w:t>
      </w:r>
    </w:p>
    <w:p w14:paraId="551B45C7">
      <w:pPr>
        <w:pStyle w:val="3"/>
        <w:numPr>
          <w:ilvl w:val="0"/>
          <w:numId w:val="1"/>
        </w:numPr>
        <w:spacing w:line="360" w:lineRule="auto"/>
        <w:rPr>
          <w:rFonts w:hint="eastAsia" w:hAnsi="宋体" w:cs="宋体"/>
          <w:szCs w:val="24"/>
          <w:highlight w:val="none"/>
        </w:rPr>
      </w:pPr>
      <w:r>
        <w:rPr>
          <w:rFonts w:hint="eastAsia" w:hAnsi="宋体" w:cs="宋体"/>
          <w:szCs w:val="24"/>
          <w:highlight w:val="none"/>
        </w:rPr>
        <w:t>在坚持按监理合同的规定向采购人提供技术服务的同时，帮助被监理单位完成所担负的建设任务。</w:t>
      </w:r>
    </w:p>
    <w:p w14:paraId="29AF2401">
      <w:pPr>
        <w:pStyle w:val="3"/>
        <w:spacing w:line="360" w:lineRule="auto"/>
        <w:ind w:firstLine="0"/>
        <w:rPr>
          <w:rFonts w:hint="eastAsia" w:hAnsi="宋体" w:cs="宋体"/>
          <w:szCs w:val="24"/>
          <w:highlight w:val="none"/>
        </w:rPr>
      </w:pPr>
      <w:r>
        <w:rPr>
          <w:rFonts w:hint="eastAsia" w:hAnsi="宋体" w:cs="宋体"/>
          <w:szCs w:val="24"/>
          <w:highlight w:val="none"/>
        </w:rPr>
        <w:t>（二）服务依据</w:t>
      </w:r>
    </w:p>
    <w:p w14:paraId="26189BEF">
      <w:pPr>
        <w:pStyle w:val="3"/>
        <w:numPr>
          <w:ilvl w:val="0"/>
          <w:numId w:val="2"/>
        </w:numPr>
        <w:spacing w:line="360" w:lineRule="auto"/>
        <w:rPr>
          <w:rFonts w:hint="eastAsia" w:hAnsi="宋体" w:cs="宋体"/>
          <w:szCs w:val="24"/>
          <w:highlight w:val="none"/>
        </w:rPr>
      </w:pPr>
      <w:r>
        <w:rPr>
          <w:rFonts w:hint="eastAsia" w:hAnsi="宋体" w:cs="宋体"/>
          <w:szCs w:val="24"/>
          <w:highlight w:val="none"/>
        </w:rPr>
        <w:t>监理行业的有关文件；</w:t>
      </w:r>
    </w:p>
    <w:p w14:paraId="761316C3">
      <w:pPr>
        <w:pStyle w:val="3"/>
        <w:numPr>
          <w:ilvl w:val="0"/>
          <w:numId w:val="2"/>
        </w:numPr>
        <w:spacing w:line="360" w:lineRule="auto"/>
        <w:rPr>
          <w:rFonts w:hint="eastAsia" w:hAnsi="宋体" w:cs="宋体"/>
          <w:szCs w:val="24"/>
          <w:highlight w:val="none"/>
        </w:rPr>
      </w:pPr>
      <w:r>
        <w:rPr>
          <w:rFonts w:hint="eastAsia" w:hAnsi="宋体" w:cs="宋体"/>
          <w:szCs w:val="24"/>
          <w:highlight w:val="none"/>
        </w:rPr>
        <w:t>监理单位与采购人签订的监理服务合同；</w:t>
      </w:r>
    </w:p>
    <w:p w14:paraId="062E61CD">
      <w:pPr>
        <w:pStyle w:val="3"/>
        <w:numPr>
          <w:ilvl w:val="0"/>
          <w:numId w:val="2"/>
        </w:numPr>
        <w:spacing w:line="360" w:lineRule="auto"/>
        <w:rPr>
          <w:rFonts w:hint="eastAsia" w:hAnsi="宋体" w:cs="宋体"/>
          <w:szCs w:val="24"/>
          <w:highlight w:val="none"/>
        </w:rPr>
      </w:pPr>
      <w:r>
        <w:rPr>
          <w:rFonts w:hint="eastAsia" w:hAnsi="宋体" w:cs="宋体"/>
          <w:szCs w:val="24"/>
          <w:highlight w:val="none"/>
        </w:rPr>
        <w:t>招标文件，投标文件，监理合同。</w:t>
      </w:r>
    </w:p>
    <w:p w14:paraId="291A156C">
      <w:pPr>
        <w:pStyle w:val="3"/>
        <w:spacing w:line="360" w:lineRule="auto"/>
        <w:ind w:firstLine="0"/>
        <w:rPr>
          <w:rFonts w:hint="eastAsia" w:hAnsi="宋体" w:cs="宋体"/>
          <w:szCs w:val="24"/>
          <w:highlight w:val="none"/>
        </w:rPr>
      </w:pPr>
      <w:r>
        <w:rPr>
          <w:rFonts w:hint="eastAsia" w:hAnsi="宋体" w:cs="宋体"/>
          <w:szCs w:val="24"/>
          <w:highlight w:val="none"/>
        </w:rPr>
        <w:t>（三）监理依据</w:t>
      </w:r>
    </w:p>
    <w:p w14:paraId="6B779A98">
      <w:pPr>
        <w:pStyle w:val="3"/>
        <w:numPr>
          <w:ilvl w:val="0"/>
          <w:numId w:val="3"/>
        </w:numPr>
        <w:spacing w:line="360" w:lineRule="auto"/>
        <w:rPr>
          <w:rFonts w:hint="eastAsia" w:hAnsi="宋体" w:cs="宋体"/>
          <w:szCs w:val="24"/>
          <w:highlight w:val="none"/>
        </w:rPr>
      </w:pPr>
      <w:r>
        <w:rPr>
          <w:rFonts w:hint="eastAsia" w:hAnsi="宋体" w:cs="宋体"/>
          <w:szCs w:val="24"/>
          <w:highlight w:val="none"/>
        </w:rPr>
        <w:t>监理所使用的规范、标准和依据包括但不限于如下：</w:t>
      </w:r>
    </w:p>
    <w:p w14:paraId="07E8200B">
      <w:pPr>
        <w:pStyle w:val="3"/>
        <w:numPr>
          <w:ilvl w:val="0"/>
          <w:numId w:val="3"/>
        </w:numPr>
        <w:spacing w:line="360" w:lineRule="auto"/>
        <w:rPr>
          <w:rFonts w:hint="eastAsia" w:hAnsi="宋体" w:cs="宋体"/>
          <w:szCs w:val="24"/>
          <w:highlight w:val="none"/>
        </w:rPr>
      </w:pPr>
      <w:r>
        <w:rPr>
          <w:rFonts w:hint="eastAsia" w:hAnsi="宋体" w:cs="宋体"/>
          <w:szCs w:val="24"/>
          <w:highlight w:val="none"/>
        </w:rPr>
        <w:t>《建设工程监理规范》GB/T50319-2013</w:t>
      </w:r>
    </w:p>
    <w:p w14:paraId="0171A133">
      <w:pPr>
        <w:pStyle w:val="3"/>
        <w:numPr>
          <w:ilvl w:val="0"/>
          <w:numId w:val="3"/>
        </w:numPr>
        <w:spacing w:line="360" w:lineRule="auto"/>
        <w:rPr>
          <w:rFonts w:hint="eastAsia" w:hAnsi="宋体" w:cs="宋体"/>
          <w:szCs w:val="24"/>
          <w:highlight w:val="none"/>
        </w:rPr>
      </w:pPr>
      <w:r>
        <w:rPr>
          <w:rFonts w:hint="eastAsia" w:hAnsi="宋体" w:cs="宋体"/>
          <w:szCs w:val="24"/>
          <w:highlight w:val="none"/>
        </w:rPr>
        <w:t>《建筑工程施工质量验收统一标准》（GB50300-2013）</w:t>
      </w:r>
    </w:p>
    <w:p w14:paraId="6526F204">
      <w:pPr>
        <w:pStyle w:val="3"/>
        <w:spacing w:line="360" w:lineRule="auto"/>
        <w:ind w:firstLine="480" w:firstLineChars="200"/>
        <w:rPr>
          <w:rFonts w:hint="eastAsia" w:hAnsi="宋体" w:cs="宋体"/>
          <w:szCs w:val="24"/>
          <w:highlight w:val="none"/>
        </w:rPr>
      </w:pPr>
      <w:r>
        <w:rPr>
          <w:rFonts w:hint="eastAsia" w:hAnsi="宋体" w:cs="宋体"/>
          <w:szCs w:val="24"/>
          <w:highlight w:val="none"/>
        </w:rPr>
        <w:t>注：如有最新标准执行最新标。</w:t>
      </w:r>
    </w:p>
    <w:p w14:paraId="2CEB56D4">
      <w:pPr>
        <w:pStyle w:val="3"/>
        <w:spacing w:line="360" w:lineRule="auto"/>
        <w:ind w:firstLine="0"/>
        <w:rPr>
          <w:rFonts w:hint="eastAsia" w:hAnsi="宋体" w:cs="宋体"/>
          <w:szCs w:val="24"/>
          <w:highlight w:val="none"/>
        </w:rPr>
      </w:pPr>
      <w:r>
        <w:rPr>
          <w:rFonts w:hint="eastAsia" w:hAnsi="宋体" w:cs="宋体"/>
          <w:szCs w:val="24"/>
          <w:highlight w:val="none"/>
        </w:rPr>
        <w:t>（四）总体说明</w:t>
      </w:r>
    </w:p>
    <w:p w14:paraId="3E8A578D">
      <w:pPr>
        <w:pStyle w:val="3"/>
        <w:spacing w:line="360" w:lineRule="auto"/>
        <w:ind w:firstLine="480" w:firstLineChars="200"/>
        <w:rPr>
          <w:rFonts w:hint="eastAsia" w:hAnsi="宋体" w:cs="宋体"/>
          <w:szCs w:val="24"/>
          <w:highlight w:val="none"/>
        </w:rPr>
      </w:pPr>
      <w:r>
        <w:rPr>
          <w:rFonts w:hint="eastAsia" w:hAnsi="宋体" w:cs="宋体"/>
          <w:szCs w:val="24"/>
          <w:highlight w:val="none"/>
        </w:rPr>
        <w:t>监理单位依据国家的有关法规、技术规范和标准，以及业主与承建方签订的合同，对建设项目实施有重点的、全面的、精线条的监理。对项目实施阶段、试运行与验收阶段、保修期阶段的质量、进度和投资、变更等进行有效控制，对合同、工程信息进行科学管理，积极协调工程相关方的工作关系，保证工程按期、高质量地完成。</w:t>
      </w:r>
    </w:p>
    <w:p w14:paraId="35D1580F">
      <w:pPr>
        <w:pStyle w:val="3"/>
        <w:spacing w:line="360" w:lineRule="auto"/>
        <w:ind w:firstLine="0"/>
        <w:rPr>
          <w:rFonts w:hint="eastAsia" w:hAnsi="宋体" w:cs="宋体"/>
          <w:szCs w:val="24"/>
          <w:highlight w:val="none"/>
        </w:rPr>
      </w:pPr>
      <w:r>
        <w:rPr>
          <w:rFonts w:hint="eastAsia" w:hAnsi="宋体" w:cs="宋体"/>
          <w:szCs w:val="24"/>
          <w:highlight w:val="none"/>
        </w:rPr>
        <w:t>（五）监理服务内容</w:t>
      </w:r>
    </w:p>
    <w:p w14:paraId="53D7480A">
      <w:pPr>
        <w:pStyle w:val="3"/>
        <w:numPr>
          <w:ilvl w:val="0"/>
          <w:numId w:val="4"/>
        </w:numPr>
        <w:spacing w:line="360" w:lineRule="auto"/>
        <w:rPr>
          <w:rFonts w:hint="eastAsia" w:hAnsi="宋体" w:cs="宋体"/>
          <w:szCs w:val="24"/>
          <w:highlight w:val="none"/>
        </w:rPr>
      </w:pPr>
      <w:r>
        <w:rPr>
          <w:rFonts w:hint="eastAsia" w:hAnsi="宋体" w:cs="宋体"/>
          <w:szCs w:val="24"/>
          <w:highlight w:val="none"/>
        </w:rPr>
        <w:t>合同洽谈阶段，协助采购人洽谈、审核和签定工程合同。</w:t>
      </w:r>
    </w:p>
    <w:p w14:paraId="0D9B0661">
      <w:pPr>
        <w:pStyle w:val="3"/>
        <w:numPr>
          <w:ilvl w:val="0"/>
          <w:numId w:val="4"/>
        </w:numPr>
        <w:spacing w:line="360" w:lineRule="auto"/>
        <w:rPr>
          <w:rFonts w:hint="eastAsia" w:hAnsi="宋体" w:cs="宋体"/>
          <w:szCs w:val="24"/>
          <w:highlight w:val="none"/>
        </w:rPr>
      </w:pPr>
      <w:r>
        <w:rPr>
          <w:rFonts w:hint="eastAsia" w:hAnsi="宋体" w:cs="宋体"/>
          <w:szCs w:val="24"/>
          <w:highlight w:val="none"/>
        </w:rPr>
        <w:t>深化设计阶段，组织审核深化设计文件和图纸，并根据项目实际情况，提出合理化建议。</w:t>
      </w:r>
    </w:p>
    <w:p w14:paraId="5B7CB1FA">
      <w:pPr>
        <w:pStyle w:val="3"/>
        <w:numPr>
          <w:ilvl w:val="0"/>
          <w:numId w:val="4"/>
        </w:numPr>
        <w:spacing w:line="360" w:lineRule="auto"/>
        <w:rPr>
          <w:rFonts w:hint="eastAsia" w:hAnsi="宋体" w:cs="宋体"/>
          <w:szCs w:val="24"/>
          <w:highlight w:val="none"/>
        </w:rPr>
      </w:pPr>
      <w:r>
        <w:rPr>
          <w:rFonts w:hint="eastAsia" w:hAnsi="宋体" w:cs="宋体"/>
          <w:szCs w:val="24"/>
          <w:highlight w:val="none"/>
        </w:rPr>
        <w:t>开工前审核施工进度计划以及工程实施人员,了解施工条件及实施人员到位情况，审批开工申请。</w:t>
      </w:r>
    </w:p>
    <w:p w14:paraId="1A0AF1EC">
      <w:pPr>
        <w:pStyle w:val="3"/>
        <w:numPr>
          <w:ilvl w:val="0"/>
          <w:numId w:val="4"/>
        </w:numPr>
        <w:spacing w:line="360" w:lineRule="auto"/>
        <w:rPr>
          <w:rFonts w:hint="eastAsia" w:hAnsi="宋体" w:cs="宋体"/>
          <w:szCs w:val="24"/>
          <w:highlight w:val="none"/>
        </w:rPr>
      </w:pPr>
      <w:r>
        <w:rPr>
          <w:rFonts w:hint="eastAsia" w:hAnsi="宋体" w:cs="宋体"/>
          <w:szCs w:val="24"/>
          <w:highlight w:val="none"/>
        </w:rPr>
        <w:t>项目施工阶段，采取技术审核、技术评审、度量签认、巡视检查、旁站监督、平行检验、测试确认、统计分析等监理形式，对工程质量进行控制和把关；组织对进场材料、设备到货验收；组织对分项目工程验收和系统功能测试验收。</w:t>
      </w:r>
    </w:p>
    <w:p w14:paraId="03FBADE1">
      <w:pPr>
        <w:pStyle w:val="3"/>
        <w:numPr>
          <w:ilvl w:val="0"/>
          <w:numId w:val="4"/>
        </w:numPr>
        <w:spacing w:line="360" w:lineRule="auto"/>
        <w:rPr>
          <w:rFonts w:hint="eastAsia" w:hAnsi="宋体" w:cs="宋体"/>
          <w:szCs w:val="24"/>
          <w:highlight w:val="none"/>
        </w:rPr>
      </w:pPr>
      <w:r>
        <w:rPr>
          <w:rFonts w:hint="eastAsia" w:hAnsi="宋体" w:cs="宋体"/>
          <w:szCs w:val="24"/>
          <w:highlight w:val="none"/>
        </w:rPr>
        <w:t>对施工总体进度及阶段进度进行控制。在实施过程中检查、监督承建单位严格按合同和施工规范、工程技术标准、设计要求和进度计划进行施工，及时提出调整计划意见。</w:t>
      </w:r>
    </w:p>
    <w:p w14:paraId="7D9AB0FA">
      <w:pPr>
        <w:pStyle w:val="3"/>
        <w:numPr>
          <w:ilvl w:val="0"/>
          <w:numId w:val="4"/>
        </w:numPr>
        <w:spacing w:line="360" w:lineRule="auto"/>
        <w:rPr>
          <w:rFonts w:hint="eastAsia" w:hAnsi="宋体" w:cs="宋体"/>
          <w:szCs w:val="24"/>
          <w:highlight w:val="none"/>
        </w:rPr>
      </w:pPr>
      <w:r>
        <w:rPr>
          <w:rFonts w:hint="eastAsia" w:hAnsi="宋体" w:cs="宋体"/>
          <w:szCs w:val="24"/>
          <w:highlight w:val="none"/>
        </w:rPr>
        <w:t>对工程投资（含变更）进行有效控制，对施工单位提出的付款申请进行审核，并出具支付证书；参与设计变更的签证，复核施工过程中的变更，并对施工过程中的变更进行签证。</w:t>
      </w:r>
    </w:p>
    <w:p w14:paraId="045074FC">
      <w:pPr>
        <w:pStyle w:val="3"/>
        <w:numPr>
          <w:ilvl w:val="0"/>
          <w:numId w:val="4"/>
        </w:numPr>
        <w:spacing w:line="360" w:lineRule="auto"/>
        <w:rPr>
          <w:rFonts w:hint="eastAsia" w:hAnsi="宋体" w:cs="宋体"/>
          <w:szCs w:val="24"/>
          <w:highlight w:val="none"/>
        </w:rPr>
      </w:pPr>
      <w:r>
        <w:rPr>
          <w:rFonts w:hint="eastAsia" w:hAnsi="宋体" w:cs="宋体"/>
          <w:szCs w:val="24"/>
          <w:highlight w:val="none"/>
        </w:rPr>
        <w:t>对施工安全进行管理、检查，确保无安全事故发生；检查环境保护和文明施工措施，督促承建方做好文明施工和环境保护。</w:t>
      </w:r>
    </w:p>
    <w:p w14:paraId="0BD7DA4D">
      <w:pPr>
        <w:pStyle w:val="3"/>
        <w:numPr>
          <w:ilvl w:val="0"/>
          <w:numId w:val="4"/>
        </w:numPr>
        <w:spacing w:line="360" w:lineRule="auto"/>
        <w:rPr>
          <w:rFonts w:hint="eastAsia" w:hAnsi="宋体" w:cs="宋体"/>
          <w:szCs w:val="24"/>
          <w:highlight w:val="none"/>
        </w:rPr>
      </w:pPr>
      <w:r>
        <w:rPr>
          <w:rFonts w:hint="eastAsia" w:hAnsi="宋体" w:cs="宋体"/>
          <w:szCs w:val="24"/>
          <w:highlight w:val="none"/>
        </w:rPr>
        <w:t>主持召开工程协调会议并做好会议纪要，调解有关工程建设各种合同争议，处理索赔事项。</w:t>
      </w:r>
    </w:p>
    <w:p w14:paraId="32A73087">
      <w:pPr>
        <w:pStyle w:val="3"/>
        <w:numPr>
          <w:ilvl w:val="0"/>
          <w:numId w:val="4"/>
        </w:numPr>
        <w:spacing w:line="360" w:lineRule="auto"/>
        <w:rPr>
          <w:rFonts w:hint="eastAsia" w:hAnsi="宋体" w:cs="宋体"/>
          <w:szCs w:val="24"/>
          <w:highlight w:val="none"/>
        </w:rPr>
      </w:pPr>
      <w:r>
        <w:rPr>
          <w:rFonts w:hint="eastAsia" w:hAnsi="宋体" w:cs="宋体"/>
          <w:szCs w:val="24"/>
          <w:highlight w:val="none"/>
        </w:rPr>
        <w:t>协助采购人组织系统测试与初验、系统试运行和终极验收；审查验收资料。</w:t>
      </w:r>
    </w:p>
    <w:p w14:paraId="4BE6C8B2">
      <w:pPr>
        <w:pStyle w:val="3"/>
        <w:numPr>
          <w:ilvl w:val="0"/>
          <w:numId w:val="4"/>
        </w:numPr>
        <w:spacing w:line="360" w:lineRule="auto"/>
        <w:rPr>
          <w:rFonts w:hint="eastAsia" w:hAnsi="宋体" w:cs="宋体"/>
          <w:szCs w:val="24"/>
          <w:highlight w:val="none"/>
        </w:rPr>
      </w:pPr>
      <w:r>
        <w:rPr>
          <w:rFonts w:hint="eastAsia" w:hAnsi="宋体" w:cs="宋体"/>
          <w:szCs w:val="24"/>
          <w:highlight w:val="none"/>
        </w:rPr>
        <w:t>在项目各阶段对项目合同、工程资料和信息进行管理，确保项目合同的履行和信息的保密。</w:t>
      </w:r>
    </w:p>
    <w:p w14:paraId="2D924B81">
      <w:pPr>
        <w:pStyle w:val="3"/>
        <w:numPr>
          <w:ilvl w:val="0"/>
          <w:numId w:val="4"/>
        </w:numPr>
        <w:spacing w:line="360" w:lineRule="auto"/>
        <w:rPr>
          <w:rFonts w:hint="eastAsia" w:hAnsi="宋体" w:cs="宋体"/>
          <w:szCs w:val="24"/>
          <w:highlight w:val="none"/>
        </w:rPr>
      </w:pPr>
      <w:r>
        <w:rPr>
          <w:rFonts w:hint="eastAsia" w:hAnsi="宋体" w:cs="宋体"/>
          <w:szCs w:val="24"/>
          <w:highlight w:val="none"/>
        </w:rPr>
        <w:t>在项目各阶段，协调采购人方与承建方的工作关系；定期以书面形式向采购人方汇报施工和监理工作，提交监理工作报告。</w:t>
      </w:r>
    </w:p>
    <w:p w14:paraId="57588DB4">
      <w:pPr>
        <w:pStyle w:val="3"/>
        <w:numPr>
          <w:ilvl w:val="0"/>
          <w:numId w:val="4"/>
        </w:numPr>
        <w:spacing w:line="360" w:lineRule="auto"/>
        <w:rPr>
          <w:rFonts w:hint="eastAsia" w:hAnsi="宋体" w:cs="宋体"/>
          <w:szCs w:val="24"/>
          <w:highlight w:val="none"/>
        </w:rPr>
      </w:pPr>
      <w:r>
        <w:rPr>
          <w:rFonts w:hint="eastAsia" w:hAnsi="宋体" w:cs="宋体"/>
          <w:szCs w:val="24"/>
          <w:highlight w:val="none"/>
        </w:rPr>
        <w:t>在项目各阶段，向采购人方提供相关的技术咨询服务。</w:t>
      </w:r>
    </w:p>
    <w:p w14:paraId="408765C8">
      <w:pPr>
        <w:pStyle w:val="3"/>
        <w:spacing w:line="360" w:lineRule="auto"/>
        <w:ind w:firstLine="0"/>
        <w:rPr>
          <w:rFonts w:hint="eastAsia" w:hAnsi="宋体" w:cs="宋体"/>
          <w:szCs w:val="24"/>
          <w:highlight w:val="none"/>
        </w:rPr>
      </w:pPr>
      <w:r>
        <w:rPr>
          <w:rFonts w:hint="eastAsia" w:hAnsi="宋体" w:cs="宋体"/>
          <w:szCs w:val="24"/>
          <w:highlight w:val="none"/>
        </w:rPr>
        <w:t>（六）监理人员要求</w:t>
      </w:r>
    </w:p>
    <w:p w14:paraId="644CF9B0">
      <w:pPr>
        <w:pStyle w:val="3"/>
        <w:numPr>
          <w:ilvl w:val="0"/>
          <w:numId w:val="5"/>
        </w:numPr>
        <w:spacing w:line="360" w:lineRule="auto"/>
        <w:rPr>
          <w:rFonts w:hint="eastAsia" w:hAnsi="宋体" w:cs="宋体"/>
          <w:szCs w:val="24"/>
          <w:highlight w:val="none"/>
        </w:rPr>
      </w:pPr>
      <w:r>
        <w:rPr>
          <w:rFonts w:hint="eastAsia" w:hAnsi="宋体" w:cs="宋体"/>
          <w:szCs w:val="24"/>
          <w:highlight w:val="none"/>
        </w:rPr>
        <w:t>投标人应派遣具有相关资格及经验的人员作为本项目总监理工程师及监理工作人员。</w:t>
      </w:r>
    </w:p>
    <w:p w14:paraId="13088C77">
      <w:pPr>
        <w:pStyle w:val="3"/>
        <w:numPr>
          <w:ilvl w:val="0"/>
          <w:numId w:val="5"/>
        </w:numPr>
        <w:spacing w:line="360" w:lineRule="auto"/>
        <w:rPr>
          <w:rFonts w:hint="eastAsia" w:hAnsi="宋体" w:cs="宋体"/>
          <w:szCs w:val="24"/>
          <w:highlight w:val="none"/>
        </w:rPr>
      </w:pPr>
      <w:r>
        <w:rPr>
          <w:rFonts w:hint="eastAsia" w:hAnsi="宋体" w:cs="宋体"/>
          <w:szCs w:val="24"/>
          <w:highlight w:val="none"/>
        </w:rPr>
        <w:t>中标人在投标文件中拟派遣的监理人员，在项目执行过程中，未经采购人同意不得擅自更换。</w:t>
      </w:r>
    </w:p>
    <w:p w14:paraId="2CAE3111">
      <w:pPr>
        <w:pStyle w:val="3"/>
        <w:numPr>
          <w:ilvl w:val="0"/>
          <w:numId w:val="5"/>
        </w:numPr>
        <w:spacing w:line="360" w:lineRule="auto"/>
        <w:rPr>
          <w:rFonts w:hint="eastAsia" w:hAnsi="宋体" w:cs="宋体"/>
          <w:szCs w:val="24"/>
          <w:highlight w:val="none"/>
        </w:rPr>
      </w:pPr>
      <w:r>
        <w:rPr>
          <w:rFonts w:hint="eastAsia" w:hAnsi="宋体" w:cs="宋体"/>
          <w:szCs w:val="24"/>
          <w:highlight w:val="none"/>
        </w:rPr>
        <w:t>本项目监理工作人员提供的监理服务不满足采购人要求或出现其他使采购人不满意的情况，经采购人提出后，中标人应立即更换人员，最终新更换的人员应使采购人满意。</w:t>
      </w:r>
    </w:p>
    <w:p w14:paraId="2AFF3B90">
      <w:pPr>
        <w:pStyle w:val="3"/>
        <w:spacing w:line="360" w:lineRule="auto"/>
        <w:ind w:firstLine="0"/>
        <w:rPr>
          <w:rFonts w:hint="eastAsia" w:hAnsi="宋体" w:cs="宋体"/>
          <w:szCs w:val="24"/>
          <w:highlight w:val="none"/>
        </w:rPr>
      </w:pPr>
      <w:r>
        <w:rPr>
          <w:rFonts w:hint="eastAsia" w:hAnsi="宋体" w:cs="宋体"/>
          <w:szCs w:val="24"/>
          <w:highlight w:val="none"/>
        </w:rPr>
        <w:t>（七）监理工作质量要求</w:t>
      </w:r>
    </w:p>
    <w:p w14:paraId="56E4FCB4">
      <w:pPr>
        <w:pStyle w:val="3"/>
        <w:numPr>
          <w:ilvl w:val="0"/>
          <w:numId w:val="6"/>
        </w:numPr>
        <w:spacing w:line="360" w:lineRule="auto"/>
        <w:rPr>
          <w:rFonts w:hint="eastAsia" w:hAnsi="宋体" w:cs="宋体"/>
          <w:szCs w:val="24"/>
          <w:highlight w:val="none"/>
        </w:rPr>
      </w:pPr>
      <w:r>
        <w:rPr>
          <w:rFonts w:hint="eastAsia" w:hAnsi="宋体" w:cs="宋体"/>
          <w:szCs w:val="24"/>
          <w:highlight w:val="none"/>
        </w:rPr>
        <w:t>监理机构应该在质量控制、进度控制、投资（变更）控制、信息管理、合同管理等几个方面对所监理工程采取必要和完善的监督、控制和管理措施，保证监理工程能够保质量、保量、按期完工。</w:t>
      </w:r>
    </w:p>
    <w:p w14:paraId="3915536B">
      <w:pPr>
        <w:pStyle w:val="3"/>
        <w:numPr>
          <w:ilvl w:val="0"/>
          <w:numId w:val="6"/>
        </w:numPr>
        <w:spacing w:line="360" w:lineRule="auto"/>
        <w:rPr>
          <w:rFonts w:hint="eastAsia" w:hAnsi="宋体" w:cs="宋体"/>
          <w:szCs w:val="24"/>
          <w:highlight w:val="none"/>
        </w:rPr>
      </w:pPr>
      <w:r>
        <w:rPr>
          <w:rFonts w:hint="eastAsia" w:hAnsi="宋体" w:cs="宋体"/>
          <w:szCs w:val="24"/>
          <w:highlight w:val="none"/>
        </w:rPr>
        <w:t>监理机构必须定期向采购人汇报工程进度情况和工程实施过程中遇到的问题，并提出解决问题的合理化建议。</w:t>
      </w:r>
    </w:p>
    <w:p w14:paraId="574F123C">
      <w:pPr>
        <w:pStyle w:val="3"/>
        <w:spacing w:line="360" w:lineRule="auto"/>
        <w:ind w:firstLine="0"/>
        <w:rPr>
          <w:rFonts w:hint="eastAsia" w:hAnsi="宋体" w:cs="宋体"/>
          <w:szCs w:val="24"/>
          <w:highlight w:val="none"/>
        </w:rPr>
      </w:pPr>
      <w:r>
        <w:rPr>
          <w:rFonts w:hint="eastAsia" w:hAnsi="宋体" w:cs="宋体"/>
          <w:szCs w:val="24"/>
          <w:highlight w:val="none"/>
        </w:rPr>
        <w:t>（八）监理责任</w:t>
      </w:r>
    </w:p>
    <w:p w14:paraId="645214AB">
      <w:pPr>
        <w:pStyle w:val="3"/>
        <w:numPr>
          <w:ilvl w:val="0"/>
          <w:numId w:val="7"/>
        </w:numPr>
        <w:spacing w:line="360" w:lineRule="auto"/>
        <w:rPr>
          <w:rFonts w:hint="eastAsia" w:hAnsi="宋体" w:cs="宋体"/>
          <w:szCs w:val="24"/>
          <w:highlight w:val="none"/>
        </w:rPr>
      </w:pPr>
      <w:r>
        <w:rPr>
          <w:rFonts w:hint="eastAsia" w:hAnsi="宋体" w:cs="宋体"/>
          <w:szCs w:val="24"/>
          <w:highlight w:val="none"/>
        </w:rPr>
        <w:t>监理单位有责任向采购人提供项目技术咨询意见，有义务帮助采购人实现合同所规定的目标，公正维护各方的合法权益。</w:t>
      </w:r>
    </w:p>
    <w:p w14:paraId="42844562">
      <w:pPr>
        <w:pStyle w:val="3"/>
        <w:numPr>
          <w:ilvl w:val="0"/>
          <w:numId w:val="7"/>
        </w:numPr>
        <w:spacing w:line="360" w:lineRule="auto"/>
        <w:rPr>
          <w:rFonts w:hint="eastAsia" w:hAnsi="宋体" w:cs="宋体"/>
          <w:szCs w:val="24"/>
          <w:highlight w:val="none"/>
        </w:rPr>
      </w:pPr>
      <w:r>
        <w:rPr>
          <w:rFonts w:hint="eastAsia" w:hAnsi="宋体" w:cs="宋体"/>
          <w:szCs w:val="24"/>
          <w:highlight w:val="none"/>
        </w:rPr>
        <w:t>在本合同期内或合同终止后，未征得采购人同意，不得泄露与本工程有关的资料。</w:t>
      </w:r>
    </w:p>
    <w:p w14:paraId="4BAE05A4">
      <w:pPr>
        <w:pStyle w:val="3"/>
        <w:numPr>
          <w:ilvl w:val="0"/>
          <w:numId w:val="7"/>
        </w:numPr>
        <w:spacing w:line="360" w:lineRule="auto"/>
        <w:rPr>
          <w:rFonts w:hint="eastAsia" w:hAnsi="宋体" w:cs="宋体"/>
          <w:szCs w:val="24"/>
          <w:highlight w:val="none"/>
        </w:rPr>
      </w:pPr>
      <w:r>
        <w:rPr>
          <w:rFonts w:hint="eastAsia" w:hAnsi="宋体" w:cs="宋体"/>
          <w:szCs w:val="24"/>
          <w:highlight w:val="none"/>
        </w:rPr>
        <w:t>承建单位在工程实施中不符合工程规范和质量要求，监理单位有责任监督承建单位停工整改或返工。如果承建单位人员工作不利，有权提出调换有关人员。</w:t>
      </w:r>
    </w:p>
    <w:p w14:paraId="30E5D2B9">
      <w:pPr>
        <w:pStyle w:val="3"/>
        <w:numPr>
          <w:ilvl w:val="0"/>
          <w:numId w:val="7"/>
        </w:numPr>
        <w:spacing w:line="360" w:lineRule="auto"/>
        <w:rPr>
          <w:rFonts w:hint="eastAsia" w:hAnsi="宋体" w:cs="宋体"/>
          <w:szCs w:val="24"/>
          <w:highlight w:val="none"/>
        </w:rPr>
      </w:pPr>
      <w:r>
        <w:rPr>
          <w:rFonts w:hint="eastAsia" w:hAnsi="宋体" w:cs="宋体"/>
          <w:szCs w:val="24"/>
          <w:highlight w:val="none"/>
        </w:rPr>
        <w:t>如果承建单位违反合同规定的质量要求和完工时限，监理单位应协助采购人追究承建单位的责任。</w:t>
      </w:r>
    </w:p>
    <w:p w14:paraId="7E504AEB">
      <w:pPr>
        <w:pStyle w:val="3"/>
        <w:numPr>
          <w:ilvl w:val="0"/>
          <w:numId w:val="7"/>
        </w:numPr>
        <w:spacing w:line="360" w:lineRule="auto"/>
        <w:rPr>
          <w:rFonts w:hint="eastAsia" w:hAnsi="宋体" w:cs="宋体"/>
          <w:szCs w:val="24"/>
          <w:highlight w:val="none"/>
        </w:rPr>
      </w:pPr>
      <w:r>
        <w:rPr>
          <w:rFonts w:hint="eastAsia" w:hAnsi="宋体" w:cs="宋体"/>
          <w:szCs w:val="24"/>
          <w:highlight w:val="none"/>
        </w:rPr>
        <w:t>如果因监理单位监督不利，给采购人造成损失，监理单位应向采购人进行相应赔偿。</w:t>
      </w:r>
    </w:p>
    <w:p w14:paraId="1BB24C11">
      <w:pPr>
        <w:pStyle w:val="3"/>
        <w:spacing w:line="360" w:lineRule="auto"/>
        <w:ind w:firstLine="0"/>
        <w:rPr>
          <w:rFonts w:hint="eastAsia" w:hAnsi="宋体" w:cs="宋体"/>
          <w:szCs w:val="24"/>
          <w:highlight w:val="none"/>
        </w:rPr>
      </w:pPr>
      <w:r>
        <w:rPr>
          <w:rFonts w:hint="eastAsia" w:hAnsi="宋体" w:cs="宋体"/>
          <w:szCs w:val="24"/>
          <w:highlight w:val="none"/>
        </w:rPr>
        <w:t>（九）监理服务要求</w:t>
      </w:r>
    </w:p>
    <w:p w14:paraId="17668565">
      <w:pPr>
        <w:pStyle w:val="3"/>
        <w:numPr>
          <w:ilvl w:val="0"/>
          <w:numId w:val="8"/>
        </w:numPr>
        <w:spacing w:line="360" w:lineRule="auto"/>
        <w:rPr>
          <w:rFonts w:hint="eastAsia" w:hAnsi="宋体" w:cs="宋体"/>
          <w:szCs w:val="24"/>
          <w:highlight w:val="none"/>
        </w:rPr>
      </w:pPr>
      <w:r>
        <w:rPr>
          <w:rFonts w:hint="eastAsia" w:hAnsi="宋体" w:cs="宋体"/>
          <w:szCs w:val="24"/>
          <w:highlight w:val="none"/>
        </w:rPr>
        <w:t>本项目监理不允许转包或分包。</w:t>
      </w:r>
    </w:p>
    <w:p w14:paraId="64499B85">
      <w:pPr>
        <w:pStyle w:val="3"/>
        <w:numPr>
          <w:ilvl w:val="0"/>
          <w:numId w:val="8"/>
        </w:numPr>
        <w:spacing w:line="360" w:lineRule="auto"/>
        <w:rPr>
          <w:rFonts w:hint="eastAsia" w:hAnsi="宋体" w:cs="宋体"/>
          <w:szCs w:val="24"/>
          <w:highlight w:val="none"/>
        </w:rPr>
      </w:pPr>
      <w:r>
        <w:rPr>
          <w:rFonts w:hint="eastAsia" w:hAnsi="宋体" w:cs="宋体"/>
          <w:szCs w:val="24"/>
          <w:highlight w:val="none"/>
        </w:rPr>
        <w:t>监理人不得随意更换总监理工程师，否则，采购人有权终止监理合同；监理人如更换专业监理工程师必须征得采购人的同意。</w:t>
      </w:r>
    </w:p>
    <w:p w14:paraId="5514ACED">
      <w:pPr>
        <w:pStyle w:val="3"/>
        <w:numPr>
          <w:ilvl w:val="0"/>
          <w:numId w:val="8"/>
        </w:numPr>
        <w:spacing w:line="360" w:lineRule="auto"/>
        <w:rPr>
          <w:rFonts w:hint="eastAsia" w:hAnsi="宋体" w:cs="宋体"/>
          <w:szCs w:val="24"/>
          <w:highlight w:val="none"/>
        </w:rPr>
      </w:pPr>
      <w:r>
        <w:rPr>
          <w:rFonts w:hint="eastAsia" w:hAnsi="宋体" w:cs="宋体"/>
          <w:szCs w:val="24"/>
          <w:highlight w:val="none"/>
        </w:rPr>
        <w:t>监理人必须制定出严格的工作制度和监理程序，严格按照监理工程制度履行监理程序。</w:t>
      </w:r>
    </w:p>
    <w:p w14:paraId="69ED031A">
      <w:pPr>
        <w:pStyle w:val="3"/>
        <w:numPr>
          <w:ilvl w:val="0"/>
          <w:numId w:val="8"/>
        </w:numPr>
        <w:spacing w:line="360" w:lineRule="auto"/>
        <w:rPr>
          <w:rFonts w:hint="eastAsia" w:hAnsi="宋体" w:cs="宋体"/>
          <w:szCs w:val="24"/>
          <w:highlight w:val="none"/>
        </w:rPr>
      </w:pPr>
      <w:r>
        <w:rPr>
          <w:rFonts w:hint="eastAsia" w:hAnsi="宋体" w:cs="宋体"/>
          <w:szCs w:val="24"/>
          <w:highlight w:val="none"/>
        </w:rPr>
        <w:t>监理人员不得以任何理由向人介绍分包单位或材料、设备投标单位，不得以监理权向项目承建人索取任何合同规定以外的生活待遇和经济利益，不得与项目承建单位串通，损害采购人的利益。</w:t>
      </w:r>
    </w:p>
    <w:p w14:paraId="7A676EB5">
      <w:pPr>
        <w:pStyle w:val="3"/>
        <w:numPr>
          <w:ilvl w:val="0"/>
          <w:numId w:val="8"/>
        </w:numPr>
        <w:spacing w:line="360" w:lineRule="auto"/>
        <w:rPr>
          <w:rFonts w:hint="eastAsia" w:hAnsi="宋体" w:cs="宋体"/>
          <w:szCs w:val="24"/>
          <w:highlight w:val="none"/>
        </w:rPr>
      </w:pPr>
      <w:r>
        <w:rPr>
          <w:rFonts w:hint="eastAsia" w:hAnsi="宋体" w:cs="宋体"/>
          <w:szCs w:val="24"/>
          <w:highlight w:val="none"/>
        </w:rPr>
        <w:t>监理单位对监理的工程项目须有项目进度、质量等相关完整监理资料。</w:t>
      </w:r>
    </w:p>
    <w:p w14:paraId="23C46F45">
      <w:pPr>
        <w:pStyle w:val="5"/>
        <w:numPr>
          <w:ilvl w:val="0"/>
          <w:numId w:val="9"/>
        </w:numPr>
        <w:rPr>
          <w:rFonts w:hint="eastAsia"/>
          <w:highlight w:val="none"/>
        </w:rPr>
      </w:pPr>
      <w:bookmarkStart w:id="11" w:name="_Toc13691"/>
      <w:r>
        <w:rPr>
          <w:rFonts w:hint="eastAsia"/>
          <w:highlight w:val="none"/>
        </w:rPr>
        <w:t>商务要求</w:t>
      </w:r>
      <w:bookmarkEnd w:id="11"/>
    </w:p>
    <w:p w14:paraId="50CEC82A">
      <w:pPr>
        <w:spacing w:line="360" w:lineRule="auto"/>
        <w:ind w:firstLine="480" w:firstLineChars="200"/>
        <w:rPr>
          <w:rFonts w:ascii="宋体" w:hAnsi="宋体"/>
          <w:bCs/>
          <w:sz w:val="24"/>
          <w:highlight w:val="none"/>
        </w:rPr>
      </w:pPr>
      <w:r>
        <w:rPr>
          <w:rFonts w:hint="eastAsia" w:ascii="宋体" w:hAnsi="宋体"/>
          <w:sz w:val="24"/>
          <w:highlight w:val="none"/>
        </w:rPr>
        <w:t>1.服务期</w:t>
      </w:r>
      <w:r>
        <w:rPr>
          <w:rFonts w:hint="eastAsia" w:ascii="宋体" w:hAnsi="宋体"/>
          <w:bCs/>
          <w:sz w:val="24"/>
          <w:highlight w:val="none"/>
        </w:rPr>
        <w:t>：自监理合同签订到项目通过验收。</w:t>
      </w:r>
    </w:p>
    <w:p w14:paraId="7703DCD9">
      <w:pPr>
        <w:spacing w:line="360" w:lineRule="auto"/>
        <w:ind w:firstLine="480" w:firstLineChars="200"/>
        <w:rPr>
          <w:rFonts w:hint="eastAsia" w:ascii="宋体" w:hAnsi="宋体" w:cs="宋体"/>
          <w:sz w:val="24"/>
          <w:highlight w:val="none"/>
        </w:rPr>
      </w:pPr>
      <w:r>
        <w:rPr>
          <w:rFonts w:hint="eastAsia" w:ascii="宋体" w:hAnsi="宋体"/>
          <w:bCs/>
          <w:sz w:val="24"/>
          <w:highlight w:val="none"/>
        </w:rPr>
        <w:t>2.工程地点：</w:t>
      </w:r>
      <w:r>
        <w:rPr>
          <w:rFonts w:hint="eastAsia" w:ascii="宋体" w:hAnsi="宋体" w:cs="宋体"/>
          <w:sz w:val="24"/>
          <w:highlight w:val="none"/>
        </w:rPr>
        <w:t>渭南师范学院富平校区实训楼二层及三层部分区域及户外长廊。</w:t>
      </w:r>
    </w:p>
    <w:p w14:paraId="530CB578">
      <w:pPr>
        <w:spacing w:line="360" w:lineRule="auto"/>
        <w:ind w:firstLine="480" w:firstLineChars="200"/>
        <w:rPr>
          <w:rFonts w:ascii="宋体" w:hAnsi="宋体"/>
          <w:sz w:val="24"/>
          <w:highlight w:val="none"/>
        </w:rPr>
      </w:pPr>
      <w:r>
        <w:rPr>
          <w:rFonts w:hint="eastAsia" w:ascii="宋体" w:hAnsi="宋体"/>
          <w:sz w:val="24"/>
          <w:highlight w:val="none"/>
        </w:rPr>
        <w:t>3.合同价款</w:t>
      </w:r>
    </w:p>
    <w:p w14:paraId="2FF51850">
      <w:pPr>
        <w:spacing w:line="360" w:lineRule="auto"/>
        <w:ind w:firstLine="480" w:firstLineChars="200"/>
        <w:rPr>
          <w:rFonts w:hint="eastAsia" w:ascii="宋体" w:hAnsi="宋体"/>
          <w:sz w:val="24"/>
          <w:highlight w:val="none"/>
        </w:rPr>
      </w:pPr>
      <w:bookmarkStart w:id="12" w:name="OLE_LINK23"/>
      <w:r>
        <w:rPr>
          <w:rFonts w:hint="eastAsia" w:ascii="宋体" w:hAnsi="宋体"/>
          <w:sz w:val="24"/>
          <w:highlight w:val="none"/>
        </w:rPr>
        <w:t>监理报价包含但不限于管理费、盖章费、监理过程中对外工作费、风险、利润、规费、税金等及与本合同履行相关的全部费用，</w:t>
      </w:r>
      <w:bookmarkEnd w:id="12"/>
      <w:r>
        <w:rPr>
          <w:rFonts w:hint="eastAsia" w:ascii="宋体" w:hAnsi="宋体"/>
          <w:sz w:val="24"/>
          <w:highlight w:val="none"/>
        </w:rPr>
        <w:t>其它未提及的任何费用不再另计在本工程实施过程中，不因市场物价上涨、原材料或人工费上涨、政府调整物价及其它任何因素而作调整等一切费用。</w:t>
      </w:r>
    </w:p>
    <w:p w14:paraId="6FC05BF9">
      <w:pPr>
        <w:spacing w:line="360" w:lineRule="auto"/>
        <w:ind w:firstLine="480" w:firstLineChars="200"/>
        <w:rPr>
          <w:rFonts w:ascii="宋体" w:hAnsi="宋体"/>
          <w:sz w:val="24"/>
          <w:highlight w:val="none"/>
        </w:rPr>
      </w:pPr>
      <w:r>
        <w:rPr>
          <w:rFonts w:hint="eastAsia" w:ascii="宋体" w:hAnsi="宋体"/>
          <w:sz w:val="24"/>
          <w:highlight w:val="none"/>
        </w:rPr>
        <w:t>4.款项结算</w:t>
      </w:r>
    </w:p>
    <w:p w14:paraId="73689AA9">
      <w:pPr>
        <w:spacing w:line="360" w:lineRule="auto"/>
        <w:ind w:firstLine="480" w:firstLineChars="200"/>
        <w:rPr>
          <w:rFonts w:ascii="宋体" w:hAnsi="宋体"/>
          <w:sz w:val="24"/>
          <w:highlight w:val="none"/>
        </w:rPr>
      </w:pPr>
      <w:r>
        <w:rPr>
          <w:rFonts w:hint="eastAsia" w:ascii="宋体" w:hAnsi="宋体"/>
          <w:sz w:val="24"/>
          <w:highlight w:val="none"/>
        </w:rPr>
        <w:t>（1）付款方式：本项目的监理费在项目最终验收合格，监理方出具《***项目竣工验收监理工作报告》，经采购人与项目单位确认合格后,一次性支付100%合同款。</w:t>
      </w:r>
    </w:p>
    <w:p w14:paraId="45D8D0A8">
      <w:pPr>
        <w:spacing w:line="360" w:lineRule="auto"/>
        <w:ind w:firstLine="480" w:firstLineChars="200"/>
        <w:rPr>
          <w:rFonts w:ascii="宋体" w:hAnsi="宋体"/>
          <w:sz w:val="24"/>
          <w:highlight w:val="none"/>
        </w:rPr>
      </w:pPr>
      <w:r>
        <w:rPr>
          <w:rFonts w:hint="eastAsia" w:ascii="宋体" w:hAnsi="宋体"/>
          <w:sz w:val="24"/>
          <w:highlight w:val="none"/>
        </w:rPr>
        <w:t>（2）支付方式：银行转账。</w:t>
      </w:r>
    </w:p>
    <w:p w14:paraId="5F0E4EC0">
      <w:pPr>
        <w:spacing w:line="360" w:lineRule="auto"/>
        <w:ind w:firstLine="480" w:firstLineChars="200"/>
        <w:rPr>
          <w:rFonts w:hint="eastAsia" w:ascii="宋体" w:hAnsi="宋体"/>
          <w:sz w:val="24"/>
          <w:highlight w:val="none"/>
        </w:rPr>
      </w:pPr>
      <w:r>
        <w:rPr>
          <w:rFonts w:hint="eastAsia" w:ascii="宋体" w:hAnsi="宋体"/>
          <w:sz w:val="24"/>
          <w:highlight w:val="none"/>
        </w:rPr>
        <w:t>（3）结算方式：成交单位持成交通知书、合同、发票，与采购人结算。甲方付款前，乙方应向甲方提供经甲方财务认可的等额正式发票，因乙方开具发票不及时，不规范，不合法或涉嫌虚开发票导致甲方付款延迟的，甲方不承担责任;引起税务问题的，乙方需依法向甲方重新开具发票，并就因此给甲方造成实际损失承担赔偿责任，包括但不限于税款、滞纳金、罚款等相关损失。</w:t>
      </w:r>
    </w:p>
    <w:p w14:paraId="46E04DD8">
      <w:pPr>
        <w:spacing w:line="360" w:lineRule="auto"/>
        <w:ind w:firstLine="480" w:firstLineChars="200"/>
        <w:rPr>
          <w:rFonts w:hint="eastAsia" w:ascii="宋体" w:hAnsi="宋体"/>
          <w:sz w:val="24"/>
          <w:highlight w:val="none"/>
        </w:rPr>
      </w:pPr>
      <w:r>
        <w:rPr>
          <w:rFonts w:hint="eastAsia" w:ascii="宋体" w:hAnsi="宋体"/>
          <w:sz w:val="24"/>
          <w:highlight w:val="none"/>
        </w:rPr>
        <w:t>5.验收要求</w:t>
      </w:r>
    </w:p>
    <w:p w14:paraId="680A2DBD">
      <w:pPr>
        <w:spacing w:line="360" w:lineRule="auto"/>
        <w:ind w:firstLine="240" w:firstLineChars="100"/>
        <w:rPr>
          <w:rFonts w:hint="eastAsia" w:ascii="宋体" w:hAnsi="宋体"/>
          <w:sz w:val="24"/>
          <w:highlight w:val="none"/>
        </w:rPr>
      </w:pPr>
      <w:r>
        <w:rPr>
          <w:rFonts w:hint="eastAsia" w:ascii="宋体" w:hAnsi="宋体"/>
          <w:sz w:val="24"/>
          <w:highlight w:val="none"/>
        </w:rPr>
        <w:t>（1）服务质量必须与合同要求一致，未按合同或采购文件要求提供服务或服务质量不能满足采购人要求，采购单位有权终止合同，甚至对供应商违约行为进行追究；</w:t>
      </w:r>
    </w:p>
    <w:p w14:paraId="27A20C01">
      <w:pPr>
        <w:spacing w:line="360" w:lineRule="auto"/>
        <w:ind w:firstLine="240" w:firstLineChars="100"/>
        <w:rPr>
          <w:rFonts w:hint="eastAsia" w:ascii="宋体" w:hAnsi="宋体"/>
          <w:sz w:val="24"/>
          <w:highlight w:val="none"/>
        </w:rPr>
      </w:pPr>
      <w:r>
        <w:rPr>
          <w:rFonts w:hint="eastAsia" w:ascii="宋体" w:hAnsi="宋体"/>
          <w:sz w:val="24"/>
          <w:highlight w:val="none"/>
        </w:rPr>
        <w:t>（2）验收依据：</w:t>
      </w:r>
    </w:p>
    <w:p w14:paraId="356281EC">
      <w:pPr>
        <w:spacing w:line="360" w:lineRule="auto"/>
        <w:ind w:firstLine="480" w:firstLineChars="200"/>
        <w:rPr>
          <w:rFonts w:hint="eastAsia" w:ascii="宋体" w:hAnsi="宋体"/>
          <w:sz w:val="24"/>
          <w:highlight w:val="none"/>
        </w:rPr>
      </w:pPr>
      <w:r>
        <w:rPr>
          <w:rFonts w:ascii="宋体" w:hAnsi="宋体"/>
          <w:sz w:val="24"/>
          <w:highlight w:val="none"/>
        </w:rPr>
        <w:t>A</w:t>
      </w:r>
      <w:r>
        <w:rPr>
          <w:rFonts w:hint="eastAsia" w:ascii="宋体" w:hAnsi="宋体"/>
          <w:sz w:val="24"/>
          <w:highlight w:val="none"/>
        </w:rPr>
        <w:t xml:space="preserve">、合同文本； </w:t>
      </w:r>
    </w:p>
    <w:p w14:paraId="7FC67F71">
      <w:pPr>
        <w:spacing w:line="360" w:lineRule="auto"/>
        <w:ind w:firstLine="480" w:firstLineChars="200"/>
        <w:rPr>
          <w:rFonts w:hint="eastAsia" w:ascii="宋体" w:hAnsi="宋体"/>
          <w:sz w:val="24"/>
          <w:highlight w:val="none"/>
        </w:rPr>
      </w:pPr>
      <w:r>
        <w:rPr>
          <w:rFonts w:ascii="宋体" w:hAnsi="宋体"/>
          <w:sz w:val="24"/>
          <w:highlight w:val="none"/>
        </w:rPr>
        <w:t>B</w:t>
      </w:r>
      <w:r>
        <w:rPr>
          <w:rFonts w:hint="eastAsia" w:ascii="宋体" w:hAnsi="宋体"/>
          <w:sz w:val="24"/>
          <w:highlight w:val="none"/>
        </w:rPr>
        <w:t>、投标文件及澄清函、招标文件；</w:t>
      </w:r>
    </w:p>
    <w:p w14:paraId="1310E566">
      <w:pPr>
        <w:spacing w:line="360" w:lineRule="auto"/>
        <w:ind w:firstLine="480" w:firstLineChars="200"/>
        <w:rPr>
          <w:rFonts w:hint="eastAsia" w:ascii="宋体" w:hAnsi="宋体"/>
          <w:sz w:val="24"/>
          <w:highlight w:val="none"/>
        </w:rPr>
      </w:pPr>
      <w:r>
        <w:rPr>
          <w:rFonts w:ascii="宋体" w:hAnsi="宋体"/>
          <w:sz w:val="24"/>
          <w:highlight w:val="none"/>
        </w:rPr>
        <w:t>C</w:t>
      </w:r>
      <w:r>
        <w:rPr>
          <w:rFonts w:hint="eastAsia" w:ascii="宋体" w:hAnsi="宋体"/>
          <w:sz w:val="24"/>
          <w:highlight w:val="none"/>
        </w:rPr>
        <w:t>、国家和行业制定的相应的标准和规范。</w:t>
      </w:r>
    </w:p>
    <w:p w14:paraId="19D542C6">
      <w:pPr>
        <w:spacing w:line="360" w:lineRule="auto"/>
        <w:ind w:firstLine="480" w:firstLineChars="200"/>
        <w:rPr>
          <w:rFonts w:hint="eastAsia" w:ascii="宋体" w:hAnsi="宋体"/>
          <w:sz w:val="24"/>
          <w:highlight w:val="none"/>
        </w:rPr>
      </w:pPr>
      <w:r>
        <w:rPr>
          <w:rFonts w:hint="eastAsia" w:ascii="宋体" w:hAnsi="宋体"/>
          <w:sz w:val="24"/>
          <w:highlight w:val="none"/>
        </w:rPr>
        <w:t>6.违约责任</w:t>
      </w:r>
    </w:p>
    <w:p w14:paraId="43BDBC6C">
      <w:pPr>
        <w:spacing w:line="360" w:lineRule="auto"/>
        <w:ind w:firstLine="480" w:firstLineChars="200"/>
        <w:rPr>
          <w:rFonts w:hint="eastAsia" w:ascii="宋体" w:hAnsi="宋体"/>
          <w:sz w:val="24"/>
          <w:highlight w:val="none"/>
        </w:rPr>
      </w:pPr>
      <w:r>
        <w:rPr>
          <w:rFonts w:hint="eastAsia" w:ascii="宋体" w:hAnsi="宋体"/>
          <w:sz w:val="24"/>
          <w:highlight w:val="none"/>
        </w:rPr>
        <w:t>（1）按《中华人民共和国民法典》中的相关条款执行。</w:t>
      </w:r>
    </w:p>
    <w:p w14:paraId="28114846">
      <w:pPr>
        <w:spacing w:line="360" w:lineRule="auto"/>
        <w:ind w:firstLine="480" w:firstLineChars="200"/>
        <w:rPr>
          <w:rFonts w:hint="eastAsia" w:ascii="宋体" w:hAnsi="宋体"/>
          <w:sz w:val="24"/>
          <w:highlight w:val="none"/>
        </w:rPr>
      </w:pPr>
      <w:r>
        <w:rPr>
          <w:rFonts w:hint="eastAsia" w:ascii="宋体" w:hAnsi="宋体"/>
          <w:sz w:val="24"/>
          <w:highlight w:val="none"/>
        </w:rPr>
        <w:t>（2）逾期交付：每逾期 1 日，按合同总金额的 0.1‰~0.5‰支付违约金，累计不超过合同总额的 5%；逾期超过 15 日，甲方有权解除合同。</w:t>
      </w:r>
    </w:p>
    <w:p w14:paraId="6698FAC4">
      <w:pPr>
        <w:spacing w:line="360" w:lineRule="auto"/>
        <w:ind w:firstLine="480" w:firstLineChars="200"/>
        <w:rPr>
          <w:rFonts w:hint="eastAsia" w:ascii="宋体" w:hAnsi="宋体"/>
          <w:sz w:val="24"/>
          <w:highlight w:val="none"/>
        </w:rPr>
      </w:pPr>
      <w:r>
        <w:rPr>
          <w:rFonts w:hint="eastAsia" w:ascii="宋体" w:hAnsi="宋体"/>
          <w:sz w:val="24"/>
          <w:highlight w:val="none"/>
        </w:rPr>
        <w:t>（3）质量不达标：成果不符合规范或需求的，乙方无偿整改直至合格；造成经济损失的，乙方承担全额赔偿；出现重大设计失误、违反强制性条文的，甲方可直接解除合同并追责。</w:t>
      </w:r>
    </w:p>
    <w:p w14:paraId="4FA65EE9">
      <w:pPr>
        <w:spacing w:line="360" w:lineRule="auto"/>
        <w:ind w:firstLine="480" w:firstLineChars="200"/>
        <w:rPr>
          <w:rFonts w:ascii="宋体" w:hAnsi="宋体"/>
          <w:sz w:val="24"/>
          <w:highlight w:val="none"/>
        </w:rPr>
      </w:pPr>
      <w:r>
        <w:rPr>
          <w:rFonts w:hint="eastAsia" w:ascii="宋体" w:hAnsi="宋体"/>
          <w:sz w:val="24"/>
          <w:highlight w:val="none"/>
        </w:rPr>
        <w:t>7.争议处理</w:t>
      </w:r>
    </w:p>
    <w:p w14:paraId="74A88668">
      <w:pPr>
        <w:spacing w:line="360" w:lineRule="auto"/>
        <w:ind w:firstLine="480" w:firstLineChars="200"/>
        <w:rPr>
          <w:rFonts w:hint="eastAsia" w:ascii="宋体" w:hAnsi="宋体"/>
          <w:sz w:val="24"/>
          <w:highlight w:val="none"/>
        </w:rPr>
      </w:pPr>
      <w:r>
        <w:rPr>
          <w:rFonts w:hint="eastAsia" w:ascii="宋体" w:hAnsi="宋体"/>
          <w:sz w:val="24"/>
          <w:highlight w:val="none"/>
        </w:rPr>
        <w:t>（1）合同履行中发生争议，双方首先通过友好协商解决。</w:t>
      </w:r>
    </w:p>
    <w:p w14:paraId="797596D6">
      <w:pPr>
        <w:spacing w:line="360" w:lineRule="auto"/>
        <w:ind w:firstLine="480" w:firstLineChars="200"/>
        <w:rPr>
          <w:rFonts w:hint="eastAsia" w:ascii="宋体" w:hAnsi="宋体"/>
          <w:sz w:val="24"/>
          <w:highlight w:val="none"/>
        </w:rPr>
      </w:pPr>
      <w:r>
        <w:rPr>
          <w:rFonts w:hint="eastAsia" w:ascii="宋体" w:hAnsi="宋体"/>
          <w:sz w:val="24"/>
          <w:highlight w:val="none"/>
        </w:rPr>
        <w:t>（2）协商不成的，向项目所在地有管辖权的人民法院提起诉讼。</w:t>
      </w:r>
    </w:p>
    <w:p w14:paraId="517D928E">
      <w:pPr>
        <w:rPr>
          <w:highlight w:val="none"/>
        </w:rPr>
      </w:pPr>
      <w:r>
        <w:rPr>
          <w:rFonts w:hint="eastAsia" w:ascii="宋体" w:hAnsi="宋体"/>
          <w:sz w:val="24"/>
          <w:highlight w:val="none"/>
        </w:rPr>
        <w:t>（3）争议处理期间，除争议事项外，双方应继续履行合同其他无争议条款。</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4104C9"/>
    <w:multiLevelType w:val="singleLevel"/>
    <w:tmpl w:val="844104C9"/>
    <w:lvl w:ilvl="0" w:tentative="0">
      <w:start w:val="1"/>
      <w:numFmt w:val="decimal"/>
      <w:suff w:val="nothing"/>
      <w:lvlText w:val="%1."/>
      <w:lvlJc w:val="left"/>
      <w:pPr>
        <w:ind w:left="425" w:firstLine="142"/>
      </w:pPr>
      <w:rPr>
        <w:rFonts w:hint="default"/>
      </w:rPr>
    </w:lvl>
  </w:abstractNum>
  <w:abstractNum w:abstractNumId="1">
    <w:nsid w:val="9810C872"/>
    <w:multiLevelType w:val="singleLevel"/>
    <w:tmpl w:val="9810C872"/>
    <w:lvl w:ilvl="0" w:tentative="0">
      <w:start w:val="1"/>
      <w:numFmt w:val="decimal"/>
      <w:suff w:val="nothing"/>
      <w:lvlText w:val="%1."/>
      <w:lvlJc w:val="left"/>
      <w:pPr>
        <w:ind w:left="425" w:firstLine="142"/>
      </w:pPr>
      <w:rPr>
        <w:rFonts w:hint="default"/>
      </w:rPr>
    </w:lvl>
  </w:abstractNum>
  <w:abstractNum w:abstractNumId="2">
    <w:nsid w:val="9E7CB96D"/>
    <w:multiLevelType w:val="singleLevel"/>
    <w:tmpl w:val="9E7CB96D"/>
    <w:lvl w:ilvl="0" w:tentative="0">
      <w:start w:val="1"/>
      <w:numFmt w:val="decimal"/>
      <w:suff w:val="nothing"/>
      <w:lvlText w:val="%1."/>
      <w:lvlJc w:val="left"/>
      <w:pPr>
        <w:ind w:left="425" w:firstLine="142"/>
      </w:pPr>
      <w:rPr>
        <w:rFonts w:hint="default"/>
      </w:rPr>
    </w:lvl>
  </w:abstractNum>
  <w:abstractNum w:abstractNumId="3">
    <w:nsid w:val="A395CAA0"/>
    <w:multiLevelType w:val="singleLevel"/>
    <w:tmpl w:val="A395CAA0"/>
    <w:lvl w:ilvl="0" w:tentative="0">
      <w:start w:val="2"/>
      <w:numFmt w:val="chineseCounting"/>
      <w:suff w:val="nothing"/>
      <w:lvlText w:val="%1、"/>
      <w:lvlJc w:val="left"/>
      <w:rPr>
        <w:rFonts w:hint="eastAsia"/>
      </w:rPr>
    </w:lvl>
  </w:abstractNum>
  <w:abstractNum w:abstractNumId="4">
    <w:nsid w:val="21E34465"/>
    <w:multiLevelType w:val="singleLevel"/>
    <w:tmpl w:val="21E34465"/>
    <w:lvl w:ilvl="0" w:tentative="0">
      <w:start w:val="1"/>
      <w:numFmt w:val="decimal"/>
      <w:suff w:val="nothing"/>
      <w:lvlText w:val="%1."/>
      <w:lvlJc w:val="left"/>
      <w:pPr>
        <w:ind w:left="425" w:firstLine="142"/>
      </w:pPr>
      <w:rPr>
        <w:rFonts w:hint="default"/>
      </w:rPr>
    </w:lvl>
  </w:abstractNum>
  <w:abstractNum w:abstractNumId="5">
    <w:nsid w:val="28542E13"/>
    <w:multiLevelType w:val="singleLevel"/>
    <w:tmpl w:val="28542E13"/>
    <w:lvl w:ilvl="0" w:tentative="0">
      <w:start w:val="1"/>
      <w:numFmt w:val="decimal"/>
      <w:suff w:val="nothing"/>
      <w:lvlText w:val="%1."/>
      <w:lvlJc w:val="left"/>
      <w:pPr>
        <w:ind w:left="425" w:firstLine="142"/>
      </w:pPr>
      <w:rPr>
        <w:rFonts w:hint="default"/>
      </w:rPr>
    </w:lvl>
  </w:abstractNum>
  <w:abstractNum w:abstractNumId="6">
    <w:nsid w:val="5DBEB391"/>
    <w:multiLevelType w:val="singleLevel"/>
    <w:tmpl w:val="5DBEB391"/>
    <w:lvl w:ilvl="0" w:tentative="0">
      <w:start w:val="1"/>
      <w:numFmt w:val="decimal"/>
      <w:suff w:val="nothing"/>
      <w:lvlText w:val="%1."/>
      <w:lvlJc w:val="left"/>
      <w:pPr>
        <w:ind w:left="425" w:firstLine="142"/>
      </w:pPr>
      <w:rPr>
        <w:rFonts w:hint="default"/>
      </w:rPr>
    </w:lvl>
  </w:abstractNum>
  <w:abstractNum w:abstractNumId="7">
    <w:nsid w:val="5E0F7154"/>
    <w:multiLevelType w:val="singleLevel"/>
    <w:tmpl w:val="5E0F7154"/>
    <w:lvl w:ilvl="0" w:tentative="0">
      <w:start w:val="1"/>
      <w:numFmt w:val="decimal"/>
      <w:suff w:val="nothing"/>
      <w:lvlText w:val="%1."/>
      <w:lvlJc w:val="left"/>
      <w:pPr>
        <w:ind w:left="425" w:firstLine="142"/>
      </w:pPr>
      <w:rPr>
        <w:rFonts w:hint="default"/>
      </w:rPr>
    </w:lvl>
  </w:abstractNum>
  <w:abstractNum w:abstractNumId="8">
    <w:nsid w:val="5FF14B67"/>
    <w:multiLevelType w:val="singleLevel"/>
    <w:tmpl w:val="5FF14B67"/>
    <w:lvl w:ilvl="0" w:tentative="0">
      <w:start w:val="1"/>
      <w:numFmt w:val="decimal"/>
      <w:suff w:val="nothing"/>
      <w:lvlText w:val="%1."/>
      <w:lvlJc w:val="left"/>
      <w:pPr>
        <w:ind w:left="425" w:firstLine="142"/>
      </w:pPr>
      <w:rPr>
        <w:rFonts w:hint="default"/>
      </w:rPr>
    </w:lvl>
  </w:abstractNum>
  <w:num w:numId="1">
    <w:abstractNumId w:val="2"/>
  </w:num>
  <w:num w:numId="2">
    <w:abstractNumId w:val="6"/>
  </w:num>
  <w:num w:numId="3">
    <w:abstractNumId w:val="5"/>
  </w:num>
  <w:num w:numId="4">
    <w:abstractNumId w:val="7"/>
  </w:num>
  <w:num w:numId="5">
    <w:abstractNumId w:val="8"/>
  </w:num>
  <w:num w:numId="6">
    <w:abstractNumId w:val="0"/>
  </w:num>
  <w:num w:numId="7">
    <w:abstractNumId w:val="4"/>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FEE5AE1"/>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qFormat/>
    <w:uiPriority w:val="0"/>
    <w:pPr>
      <w:keepNext/>
      <w:keepLines/>
      <w:autoSpaceDE w:val="0"/>
      <w:autoSpaceDN w:val="0"/>
      <w:adjustRightInd w:val="0"/>
      <w:spacing w:line="360" w:lineRule="auto"/>
      <w:ind w:left="567" w:hanging="567"/>
      <w:jc w:val="center"/>
      <w:outlineLvl w:val="1"/>
    </w:pPr>
    <w:rPr>
      <w:rFonts w:ascii="宋体" w:hAnsi="宋体" w:eastAsia="宋体" w:cs="Times New Roman"/>
      <w:b/>
      <w:bCs/>
      <w:kern w:val="0"/>
      <w:sz w:val="24"/>
      <w:szCs w:val="20"/>
    </w:rPr>
  </w:style>
  <w:style w:type="paragraph" w:styleId="5">
    <w:name w:val="heading 3"/>
    <w:basedOn w:val="1"/>
    <w:next w:val="3"/>
    <w:qFormat/>
    <w:uiPriority w:val="0"/>
    <w:pPr>
      <w:keepNext/>
      <w:keepLines/>
      <w:autoSpaceDE w:val="0"/>
      <w:autoSpaceDN w:val="0"/>
      <w:adjustRightInd w:val="0"/>
      <w:spacing w:line="360" w:lineRule="auto"/>
      <w:ind w:left="709" w:hanging="709"/>
      <w:jc w:val="left"/>
      <w:outlineLvl w:val="2"/>
    </w:pPr>
    <w:rPr>
      <w:rFonts w:ascii="宋体" w:hAnsi="宋体" w:eastAsia="宋体" w:cs="Times New Roman"/>
      <w:b/>
      <w:bCs/>
      <w:kern w:val="0"/>
      <w:sz w:val="24"/>
      <w:szCs w:val="28"/>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Normal Indent"/>
    <w:basedOn w:val="1"/>
    <w:next w:val="4"/>
    <w:qFormat/>
    <w:uiPriority w:val="0"/>
    <w:pPr>
      <w:autoSpaceDE w:val="0"/>
      <w:autoSpaceDN w:val="0"/>
      <w:adjustRightInd w:val="0"/>
      <w:ind w:firstLine="420"/>
      <w:jc w:val="left"/>
    </w:pPr>
    <w:rPr>
      <w:rFonts w:ascii="宋体" w:cs="Times New Roman"/>
      <w:kern w:val="0"/>
      <w:sz w:val="24"/>
      <w:szCs w:val="20"/>
    </w:rPr>
  </w:style>
  <w:style w:type="paragraph" w:styleId="4">
    <w:name w:val="toc 4"/>
    <w:basedOn w:val="1"/>
    <w:next w:val="1"/>
    <w:unhideWhenUsed/>
    <w:qFormat/>
    <w:uiPriority w:val="3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简单一点</cp:lastModifiedBy>
  <dcterms:modified xsi:type="dcterms:W3CDTF">2026-07-13T08:05:29Z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eyJoZGlkIjoiOGI1NjUzZTFhYWM0NmYwYjE1NTBlNzgxOGI1YTIyMDMiLCJ1c2VySWQiOiI0MzI2ODg4MDgifQ==</vt:lpwstr>
  </property>
</Properties>
</file>