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版本号：SXHC2026-050.1B120260703001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公务用车油料采购项目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SXHC2026-050.1B1</w:t>
      </w:r>
      <w:r>
        <w:br/>
      </w:r>
      <w:r>
        <w:br/>
      </w:r>
      <w:r>
        <w:br/>
      </w:r>
      <w:r>
        <w:br/>
      </w:r>
      <w:r>
        <w:br/>
      </w:r>
    </w:p>
    <w:p>
      <w:pPr>
        <w:pStyle w:val="null3"/>
        <w:jc w:val="center"/>
        <w:outlineLvl w:val="5"/>
      </w:pPr>
      <w:r>
        <w:rPr>
          <w:rFonts w:ascii="仿宋_GB2312" w:hAnsi="仿宋_GB2312" w:cs="仿宋_GB2312" w:eastAsia="仿宋_GB2312"/>
          <w:sz w:val="15"/>
          <w:b/>
        </w:rPr>
        <w:t>西安市公安局高新技术产业开发区分局</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公务用车油料采购项目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SXHC2026-050.1B1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公务用车油料采购项目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为确保西安市公安局高新技术产业开发区分局公务用车正常使用，业务工作顺利进行，现拟就公务用车油料进行采购。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3、企业资质：供应商须具备合法有效的《危险化学品经营许可证》及《成品油零售经营批准证书》。</w:t>
      </w:r>
    </w:p>
    <w:p>
      <w:pPr>
        <w:pStyle w:val="null3"/>
      </w:pPr>
      <w:r>
        <w:rPr>
          <w:rFonts w:ascii="仿宋_GB2312" w:hAnsi="仿宋_GB2312" w:cs="仿宋_GB2312" w:eastAsia="仿宋_GB2312"/>
        </w:rPr>
        <w:t>4、信誉要求：供应商未被列入“失信被执行人”、“重大税收违法案件当事人名单”和“政府采购严重违法失信行为记录名单”。</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采购包1：2,534,400.00元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采购包1：2,534,400.00元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项目预算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为确保西安市公安局高新技术产业开发区分局公务用车正常使用，业务工作顺利进行，现拟就公务用车油料进行采购。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2,534,400.00</w:t>
      </w:r>
    </w:p>
    <w:p>
      <w:pPr>
        <w:pStyle w:val="null3"/>
      </w:pPr>
      <w:r>
        <w:rPr>
          <w:rFonts w:ascii="仿宋_GB2312" w:hAnsi="仿宋_GB2312" w:cs="仿宋_GB2312" w:eastAsia="仿宋_GB2312"/>
        </w:rPr>
        <w:t>采购包最高限价（元）: 2,534,400.00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车辆油料采购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2,534,400.00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标的名称：车辆油料采购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为确保西安市公安局高新技术产业开发区分局公务用车正常使用，业务工作顺利进行，现拟就公务用车油料进行采购。</w:t>
            </w:r>
          </w:p>
          <w:p>
            <w:pPr>
              <w:pStyle w:val="null3"/>
              <w:ind w:firstLine="402"/>
            </w:pPr>
            <w:r>
              <w:rPr>
                <w:rFonts w:ascii="仿宋_GB2312" w:hAnsi="仿宋_GB2312" w:cs="仿宋_GB2312" w:eastAsia="仿宋_GB2312"/>
                <w:b/>
              </w:rPr>
              <w:t>预算金额：年度油料费为253.44万元。</w:t>
            </w:r>
          </w:p>
          <w:p>
            <w:pPr>
              <w:pStyle w:val="null3"/>
              <w:ind w:firstLine="402"/>
              <w:jc w:val="left"/>
            </w:pPr>
            <w:r>
              <w:rPr>
                <w:rFonts w:ascii="仿宋_GB2312" w:hAnsi="仿宋_GB2312" w:cs="仿宋_GB2312" w:eastAsia="仿宋_GB2312"/>
                <w:b/>
                <w:color w:val="000000"/>
              </w:rPr>
              <w:t>二、</w:t>
            </w:r>
            <w:r>
              <w:rPr>
                <w:rFonts w:ascii="仿宋_GB2312" w:hAnsi="仿宋_GB2312" w:cs="仿宋_GB2312" w:eastAsia="仿宋_GB2312"/>
                <w:b/>
                <w:color w:val="000000"/>
              </w:rPr>
              <w:t>项目采购清单及参数要求</w:t>
            </w:r>
          </w:p>
          <w:tbl>
            <w:tblPr>
              <w:tblInd w:type="dxa" w:w="120"/>
              <w:tblBorders>
                <w:top w:val="none" w:color="000000" w:sz="4"/>
                <w:left w:val="none" w:color="000000" w:sz="4"/>
                <w:bottom w:val="none" w:color="000000" w:sz="4"/>
                <w:right w:val="none" w:color="000000" w:sz="4"/>
                <w:insideH w:val="none"/>
                <w:insideV w:val="none"/>
              </w:tblBorders>
            </w:tblPr>
            <w:tblGrid>
              <w:gridCol w:w="396"/>
              <w:gridCol w:w="754"/>
              <w:gridCol w:w="1403"/>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油料品类</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7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汽油</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92#</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754"/>
                  <w:vMerge/>
                  <w:tcBorders>
                    <w:top w:val="none" w:color="000000" w:sz="4"/>
                    <w:left w:val="single" w:color="000000" w:sz="4"/>
                    <w:bottom w:val="single" w:color="000000" w:sz="4"/>
                    <w:right w:val="single" w:color="000000" w:sz="4"/>
                  </w:tcBorders>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95#</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7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柴油</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54"/>
                  <w:vMerge/>
                  <w:tcBorders>
                    <w:top w:val="none" w:color="000000" w:sz="4"/>
                    <w:left w:val="single" w:color="000000" w:sz="4"/>
                    <w:bottom w:val="single" w:color="000000" w:sz="4"/>
                    <w:right w:val="single" w:color="000000" w:sz="4"/>
                  </w:tcBorders>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bl>
          <w:p>
            <w:pPr>
              <w:pStyle w:val="null3"/>
              <w:ind w:firstLine="402"/>
              <w:jc w:val="left"/>
            </w:pPr>
            <w:r>
              <w:rPr>
                <w:rFonts w:ascii="仿宋_GB2312" w:hAnsi="仿宋_GB2312" w:cs="仿宋_GB2312" w:eastAsia="仿宋_GB2312"/>
                <w:b/>
              </w:rPr>
              <w:t>本项目核心产品为92#汽油。</w:t>
            </w:r>
          </w:p>
          <w:p>
            <w:pPr>
              <w:pStyle w:val="null3"/>
              <w:ind w:firstLine="402"/>
              <w:jc w:val="left"/>
            </w:pPr>
            <w:r>
              <w:rPr>
                <w:rFonts w:ascii="仿宋_GB2312" w:hAnsi="仿宋_GB2312" w:cs="仿宋_GB2312" w:eastAsia="仿宋_GB2312"/>
                <w:b/>
                <w:color w:val="000000"/>
              </w:rPr>
              <w:t>注：</w:t>
            </w:r>
            <w:r>
              <w:rPr>
                <w:rFonts w:ascii="仿宋_GB2312" w:hAnsi="仿宋_GB2312" w:cs="仿宋_GB2312" w:eastAsia="仿宋_GB2312"/>
                <w:b/>
                <w:color w:val="000000"/>
              </w:rPr>
              <w:t>符合GB 17930-2016《车用汽油》</w:t>
            </w:r>
            <w:r>
              <w:rPr>
                <w:rFonts w:ascii="仿宋_GB2312" w:hAnsi="仿宋_GB2312" w:cs="仿宋_GB2312" w:eastAsia="仿宋_GB2312"/>
                <w:b/>
                <w:color w:val="000000"/>
              </w:rPr>
              <w:t>、GB 19147-2016《车用柴油》</w:t>
            </w:r>
            <w:r>
              <w:rPr>
                <w:rFonts w:ascii="仿宋_GB2312" w:hAnsi="仿宋_GB2312" w:cs="仿宋_GB2312" w:eastAsia="仿宋_GB2312"/>
                <w:b/>
                <w:color w:val="000000"/>
              </w:rPr>
              <w:t>相关规定及要求。</w:t>
            </w:r>
          </w:p>
          <w:p>
            <w:pPr>
              <w:pStyle w:val="null3"/>
              <w:ind w:firstLine="402"/>
              <w:jc w:val="left"/>
            </w:pPr>
            <w:r>
              <w:rPr>
                <w:rFonts w:ascii="仿宋_GB2312" w:hAnsi="仿宋_GB2312" w:cs="仿宋_GB2312" w:eastAsia="仿宋_GB2312"/>
                <w:b/>
                <w:color w:val="000000"/>
              </w:rPr>
              <w:t>三、</w:t>
            </w:r>
            <w:r>
              <w:rPr>
                <w:rFonts w:ascii="仿宋_GB2312" w:hAnsi="仿宋_GB2312" w:cs="仿宋_GB2312" w:eastAsia="仿宋_GB2312"/>
                <w:b/>
                <w:color w:val="000000"/>
              </w:rPr>
              <w:t>基本要求</w:t>
            </w:r>
          </w:p>
          <w:p>
            <w:pPr>
              <w:pStyle w:val="null3"/>
              <w:ind w:firstLine="400"/>
              <w:jc w:val="left"/>
            </w:pPr>
            <w:r>
              <w:rPr>
                <w:rFonts w:ascii="仿宋_GB2312" w:hAnsi="仿宋_GB2312" w:cs="仿宋_GB2312" w:eastAsia="仿宋_GB2312"/>
                <w:color w:val="000000"/>
              </w:rPr>
              <w:t>（一）</w:t>
            </w:r>
            <w:r>
              <w:rPr>
                <w:rFonts w:ascii="仿宋_GB2312" w:hAnsi="仿宋_GB2312" w:cs="仿宋_GB2312" w:eastAsia="仿宋_GB2312"/>
                <w:color w:val="000000"/>
              </w:rPr>
              <w:t>供应商</w:t>
            </w:r>
            <w:r>
              <w:rPr>
                <w:rFonts w:ascii="仿宋_GB2312" w:hAnsi="仿宋_GB2312" w:cs="仿宋_GB2312" w:eastAsia="仿宋_GB2312"/>
                <w:color w:val="000000"/>
              </w:rPr>
              <w:t>在</w:t>
            </w:r>
            <w:r>
              <w:rPr>
                <w:rFonts w:ascii="仿宋_GB2312" w:hAnsi="仿宋_GB2312" w:cs="仿宋_GB2312" w:eastAsia="仿宋_GB2312"/>
                <w:color w:val="000000"/>
              </w:rPr>
              <w:t>西安市</w:t>
            </w:r>
            <w:r>
              <w:rPr>
                <w:rFonts w:ascii="仿宋_GB2312" w:hAnsi="仿宋_GB2312" w:cs="仿宋_GB2312" w:eastAsia="仿宋_GB2312"/>
                <w:color w:val="000000"/>
              </w:rPr>
              <w:t>拥有常设加油服务网点，</w:t>
            </w:r>
            <w:r>
              <w:rPr>
                <w:rFonts w:ascii="仿宋_GB2312" w:hAnsi="仿宋_GB2312" w:cs="仿宋_GB2312" w:eastAsia="仿宋_GB2312"/>
                <w:color w:val="000000"/>
              </w:rPr>
              <w:t>供应商</w:t>
            </w:r>
            <w:r>
              <w:rPr>
                <w:rFonts w:ascii="仿宋_GB2312" w:hAnsi="仿宋_GB2312" w:cs="仿宋_GB2312" w:eastAsia="仿宋_GB2312"/>
                <w:color w:val="000000"/>
              </w:rPr>
              <w:t>提供的货物和服务必须符合国家标准、行业标准及国家、省、市环境保护相关标准要求</w:t>
            </w:r>
            <w:r>
              <w:rPr>
                <w:rFonts w:ascii="仿宋_GB2312" w:hAnsi="仿宋_GB2312" w:cs="仿宋_GB2312" w:eastAsia="仿宋_GB2312"/>
                <w:color w:val="000000"/>
              </w:rPr>
              <w:t>。</w:t>
            </w:r>
            <w:r>
              <w:rPr>
                <w:rFonts w:ascii="仿宋_GB2312" w:hAnsi="仿宋_GB2312" w:cs="仿宋_GB2312" w:eastAsia="仿宋_GB2312"/>
                <w:color w:val="000000"/>
              </w:rPr>
              <w:t>不论何种情况，24小时内公务用车进入加油站加油，均能受到良好的加油服务。</w:t>
            </w:r>
          </w:p>
          <w:p>
            <w:pPr>
              <w:pStyle w:val="null3"/>
              <w:ind w:firstLine="400"/>
              <w:jc w:val="left"/>
            </w:pPr>
            <w:r>
              <w:rPr>
                <w:rFonts w:ascii="仿宋_GB2312" w:hAnsi="仿宋_GB2312" w:cs="仿宋_GB2312" w:eastAsia="仿宋_GB2312"/>
                <w:color w:val="000000"/>
              </w:rPr>
              <w:t>（二）保证上述车辆加油时场地畅通，做到加油及时。加油站应有安全措施，确保加油相关活动的安全。加油站内部机构稳定、管理科学规范</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（三）所有加油操作人员能文明用语，礼貌对待车辆驾驶员。</w:t>
            </w:r>
          </w:p>
          <w:p>
            <w:pPr>
              <w:pStyle w:val="null3"/>
              <w:ind w:firstLine="400"/>
              <w:jc w:val="left"/>
            </w:pPr>
            <w:r>
              <w:rPr>
                <w:rFonts w:ascii="仿宋_GB2312" w:hAnsi="仿宋_GB2312" w:cs="仿宋_GB2312" w:eastAsia="仿宋_GB2312"/>
                <w:color w:val="000000"/>
              </w:rPr>
              <w:t>（四）认真做好对加油员的监督，保证一车一卡加油，不允许用容器加油，杜绝人情油的现象发生。</w:t>
            </w:r>
          </w:p>
          <w:p>
            <w:pPr>
              <w:pStyle w:val="null3"/>
              <w:ind w:firstLine="400"/>
              <w:jc w:val="left"/>
            </w:pPr>
            <w:r>
              <w:rPr>
                <w:rFonts w:ascii="仿宋_GB2312" w:hAnsi="仿宋_GB2312" w:cs="仿宋_GB2312" w:eastAsia="仿宋_GB2312"/>
                <w:color w:val="000000"/>
              </w:rPr>
              <w:t>（五）不因</w:t>
            </w:r>
            <w:r>
              <w:rPr>
                <w:rFonts w:ascii="仿宋_GB2312" w:hAnsi="仿宋_GB2312" w:cs="仿宋_GB2312" w:eastAsia="仿宋_GB2312"/>
                <w:color w:val="000000"/>
              </w:rPr>
              <w:t>采购人</w:t>
            </w:r>
            <w:r>
              <w:rPr>
                <w:rFonts w:ascii="仿宋_GB2312" w:hAnsi="仿宋_GB2312" w:cs="仿宋_GB2312" w:eastAsia="仿宋_GB2312"/>
                <w:color w:val="000000"/>
              </w:rPr>
              <w:t>车辆的多少而采取不同的态度。</w:t>
            </w:r>
          </w:p>
          <w:p>
            <w:pPr>
              <w:pStyle w:val="null3"/>
              <w:ind w:firstLine="400"/>
              <w:jc w:val="left"/>
            </w:pPr>
            <w:r>
              <w:rPr>
                <w:rFonts w:ascii="仿宋_GB2312" w:hAnsi="仿宋_GB2312" w:cs="仿宋_GB2312" w:eastAsia="仿宋_GB2312"/>
                <w:color w:val="000000"/>
              </w:rPr>
              <w:t>（六）如发生成品油供不应求的情况时，优先提供加油服务，确保</w:t>
            </w:r>
            <w:r>
              <w:rPr>
                <w:rFonts w:ascii="仿宋_GB2312" w:hAnsi="仿宋_GB2312" w:cs="仿宋_GB2312" w:eastAsia="仿宋_GB2312"/>
                <w:color w:val="000000"/>
              </w:rPr>
              <w:t>采购人公务用车要求</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（七）成交供应商提供的油品数量必须保证每天都能满足采购人的需求，特别是油品紧缺时也要力争保证采购人每天的正常需要（在同等条件下优先)。</w:t>
            </w:r>
          </w:p>
          <w:p>
            <w:pPr>
              <w:pStyle w:val="null3"/>
              <w:ind w:firstLine="400"/>
              <w:jc w:val="left"/>
            </w:pPr>
            <w:r>
              <w:rPr>
                <w:rFonts w:ascii="仿宋_GB2312" w:hAnsi="仿宋_GB2312" w:cs="仿宋_GB2312" w:eastAsia="仿宋_GB2312"/>
                <w:color w:val="000000"/>
              </w:rPr>
              <w:t>（八）</w:t>
            </w:r>
            <w:r>
              <w:rPr>
                <w:rFonts w:ascii="仿宋_GB2312" w:hAnsi="仿宋_GB2312" w:cs="仿宋_GB2312" w:eastAsia="仿宋_GB2312"/>
                <w:color w:val="000000"/>
              </w:rPr>
              <w:t>成交供应商</w:t>
            </w:r>
            <w:r>
              <w:rPr>
                <w:rFonts w:ascii="仿宋_GB2312" w:hAnsi="仿宋_GB2312" w:cs="仿宋_GB2312" w:eastAsia="仿宋_GB2312"/>
                <w:color w:val="000000"/>
              </w:rPr>
              <w:t>不得在未经双方协商一致的情况下将中标业务转让给他人或者单位。</w:t>
            </w:r>
          </w:p>
          <w:p>
            <w:pPr>
              <w:pStyle w:val="null3"/>
              <w:ind w:firstLine="402"/>
              <w:jc w:val="left"/>
            </w:pPr>
            <w:r>
              <w:rPr>
                <w:rFonts w:ascii="仿宋_GB2312" w:hAnsi="仿宋_GB2312" w:cs="仿宋_GB2312" w:eastAsia="仿宋_GB2312"/>
                <w:b/>
                <w:color w:val="000000"/>
              </w:rPr>
              <w:t>四</w:t>
            </w:r>
            <w:r>
              <w:rPr>
                <w:rFonts w:ascii="仿宋_GB2312" w:hAnsi="仿宋_GB2312" w:cs="仿宋_GB2312" w:eastAsia="仿宋_GB2312"/>
                <w:b/>
                <w:color w:val="000000"/>
              </w:rPr>
              <w:t>、油品质量及要求</w:t>
            </w:r>
          </w:p>
          <w:p>
            <w:pPr>
              <w:pStyle w:val="null3"/>
              <w:ind w:firstLine="400"/>
              <w:jc w:val="left"/>
            </w:pPr>
            <w:r>
              <w:rPr>
                <w:rFonts w:ascii="仿宋_GB2312" w:hAnsi="仿宋_GB2312" w:cs="仿宋_GB2312" w:eastAsia="仿宋_GB2312"/>
                <w:color w:val="000000"/>
              </w:rPr>
              <w:t>（一）</w:t>
            </w:r>
            <w:r>
              <w:rPr>
                <w:rFonts w:ascii="仿宋_GB2312" w:hAnsi="仿宋_GB2312" w:cs="仿宋_GB2312" w:eastAsia="仿宋_GB2312"/>
                <w:color w:val="000000"/>
              </w:rPr>
              <w:t>成交供应商</w:t>
            </w:r>
            <w:r>
              <w:rPr>
                <w:rFonts w:ascii="仿宋_GB2312" w:hAnsi="仿宋_GB2312" w:cs="仿宋_GB2312" w:eastAsia="仿宋_GB2312"/>
                <w:color w:val="000000"/>
              </w:rPr>
              <w:t>提供的油品必须符合国家标准化管理委员会公布的GB 17930-2016《车用汽油》</w:t>
            </w:r>
            <w:r>
              <w:rPr>
                <w:rFonts w:ascii="仿宋_GB2312" w:hAnsi="仿宋_GB2312" w:cs="仿宋_GB2312" w:eastAsia="仿宋_GB2312"/>
                <w:color w:val="000000"/>
              </w:rPr>
              <w:t>、GB 19147-2016《车用柴油》</w:t>
            </w:r>
            <w:r>
              <w:rPr>
                <w:rFonts w:ascii="仿宋_GB2312" w:hAnsi="仿宋_GB2312" w:cs="仿宋_GB2312" w:eastAsia="仿宋_GB2312"/>
                <w:color w:val="000000"/>
              </w:rPr>
              <w:t>的要求，必须符合国家行业生产及经营标准，各项技术指标必须完全符合国家有关质量检测、环保标准及产品出厂标准。</w:t>
            </w:r>
          </w:p>
          <w:p>
            <w:pPr>
              <w:pStyle w:val="null3"/>
              <w:ind w:firstLine="400"/>
              <w:jc w:val="left"/>
            </w:pPr>
            <w:r>
              <w:rPr>
                <w:rFonts w:ascii="仿宋_GB2312" w:hAnsi="仿宋_GB2312" w:cs="仿宋_GB2312" w:eastAsia="仿宋_GB2312"/>
                <w:color w:val="000000"/>
              </w:rPr>
              <w:t>（二）采购人有权对</w:t>
            </w:r>
            <w:r>
              <w:rPr>
                <w:rFonts w:ascii="仿宋_GB2312" w:hAnsi="仿宋_GB2312" w:cs="仿宋_GB2312" w:eastAsia="仿宋_GB2312"/>
                <w:color w:val="000000"/>
              </w:rPr>
              <w:t>成交供应商</w:t>
            </w:r>
            <w:r>
              <w:rPr>
                <w:rFonts w:ascii="仿宋_GB2312" w:hAnsi="仿宋_GB2312" w:cs="仿宋_GB2312" w:eastAsia="仿宋_GB2312"/>
                <w:color w:val="000000"/>
              </w:rPr>
              <w:t>所供应油品不定期不限次抽检。若经检测、鉴定，如因油品存在质量问题（以国家或者地方政府指定检测部门抽检油站油品检验结果为基准），采购人车辆使用该批次货物导致车辆损坏、故障的，</w:t>
            </w:r>
            <w:r>
              <w:rPr>
                <w:rFonts w:ascii="仿宋_GB2312" w:hAnsi="仿宋_GB2312" w:cs="仿宋_GB2312" w:eastAsia="仿宋_GB2312"/>
                <w:color w:val="000000"/>
              </w:rPr>
              <w:t>成交供应商</w:t>
            </w:r>
            <w:r>
              <w:rPr>
                <w:rFonts w:ascii="仿宋_GB2312" w:hAnsi="仿宋_GB2312" w:cs="仿宋_GB2312" w:eastAsia="仿宋_GB2312"/>
                <w:color w:val="000000"/>
              </w:rPr>
              <w:t>应承担全部维修费用和因此引起的损失。</w:t>
            </w:r>
          </w:p>
          <w:p>
            <w:pPr>
              <w:pStyle w:val="null3"/>
              <w:ind w:firstLine="400"/>
              <w:jc w:val="left"/>
            </w:pPr>
            <w:r>
              <w:rPr>
                <w:rFonts w:ascii="仿宋_GB2312" w:hAnsi="仿宋_GB2312" w:cs="仿宋_GB2312" w:eastAsia="仿宋_GB2312"/>
                <w:color w:val="000000"/>
              </w:rPr>
              <w:t>（三）</w:t>
            </w:r>
            <w:r>
              <w:rPr>
                <w:rFonts w:ascii="仿宋_GB2312" w:hAnsi="仿宋_GB2312" w:cs="仿宋_GB2312" w:eastAsia="仿宋_GB2312"/>
                <w:color w:val="000000"/>
              </w:rPr>
              <w:t>成交供应商</w:t>
            </w:r>
            <w:r>
              <w:rPr>
                <w:rFonts w:ascii="仿宋_GB2312" w:hAnsi="仿宋_GB2312" w:cs="仿宋_GB2312" w:eastAsia="仿宋_GB2312"/>
                <w:color w:val="000000"/>
              </w:rPr>
              <w:t>在进行调整油价之前，应将调整油价通知提供给采购人，调整后价格按政府批文日期执行。</w:t>
            </w:r>
          </w:p>
          <w:p>
            <w:pPr>
              <w:pStyle w:val="null3"/>
              <w:ind w:firstLine="402"/>
              <w:jc w:val="left"/>
            </w:pPr>
            <w:r>
              <w:rPr>
                <w:rFonts w:ascii="仿宋_GB2312" w:hAnsi="仿宋_GB2312" w:cs="仿宋_GB2312" w:eastAsia="仿宋_GB2312"/>
                <w:b/>
                <w:color w:val="000000"/>
              </w:rPr>
              <w:t>五</w:t>
            </w:r>
            <w:r>
              <w:rPr>
                <w:rFonts w:ascii="仿宋_GB2312" w:hAnsi="仿宋_GB2312" w:cs="仿宋_GB2312" w:eastAsia="仿宋_GB2312"/>
                <w:b/>
                <w:color w:val="000000"/>
              </w:rPr>
              <w:t>、</w:t>
            </w:r>
            <w:r>
              <w:rPr>
                <w:rFonts w:ascii="仿宋_GB2312" w:hAnsi="仿宋_GB2312" w:cs="仿宋_GB2312" w:eastAsia="仿宋_GB2312"/>
                <w:b/>
                <w:color w:val="000000"/>
              </w:rPr>
              <w:t>商务要求</w:t>
            </w:r>
          </w:p>
          <w:p>
            <w:pPr>
              <w:pStyle w:val="null3"/>
              <w:ind w:firstLine="420"/>
              <w:jc w:val="left"/>
            </w:pPr>
            <w:r>
              <w:rPr>
                <w:rFonts w:ascii="仿宋_GB2312" w:hAnsi="仿宋_GB2312" w:cs="仿宋_GB2312" w:eastAsia="仿宋_GB2312"/>
                <w:color w:val="000000"/>
              </w:rPr>
              <w:t>（一）交货期：</w:t>
            </w:r>
            <w:r>
              <w:rPr>
                <w:rFonts w:ascii="仿宋_GB2312" w:hAnsi="仿宋_GB2312" w:cs="仿宋_GB2312" w:eastAsia="仿宋_GB2312"/>
                <w:color w:val="000000"/>
              </w:rPr>
              <w:t>1年（自合同签订之日起计算）。</w:t>
            </w:r>
          </w:p>
          <w:p>
            <w:pPr>
              <w:pStyle w:val="null3"/>
            </w:pPr>
            <w:r>
              <w:rPr>
                <w:rFonts w:ascii="仿宋_GB2312" w:hAnsi="仿宋_GB2312" w:cs="仿宋_GB2312" w:eastAsia="仿宋_GB2312"/>
                <w:color w:val="000000"/>
              </w:rPr>
              <w:t xml:space="preserve">    （二）交货地点：</w:t>
            </w:r>
            <w:r>
              <w:rPr>
                <w:rFonts w:ascii="仿宋_GB2312" w:hAnsi="仿宋_GB2312" w:cs="仿宋_GB2312" w:eastAsia="仿宋_GB2312"/>
                <w:color w:val="000000"/>
              </w:rPr>
              <w:t>西安市</w:t>
            </w:r>
            <w:r>
              <w:rPr>
                <w:rFonts w:ascii="仿宋_GB2312" w:hAnsi="仿宋_GB2312" w:cs="仿宋_GB2312" w:eastAsia="仿宋_GB2312"/>
                <w:color w:val="000000"/>
              </w:rPr>
              <w:t>范围内</w:t>
            </w:r>
            <w:r>
              <w:rPr>
                <w:rFonts w:ascii="仿宋_GB2312" w:hAnsi="仿宋_GB2312" w:cs="仿宋_GB2312" w:eastAsia="仿宋_GB2312"/>
                <w:color w:val="000000"/>
              </w:rPr>
              <w:t>，</w:t>
            </w:r>
            <w:r>
              <w:rPr>
                <w:rFonts w:ascii="仿宋_GB2312" w:hAnsi="仿宋_GB2312" w:cs="仿宋_GB2312" w:eastAsia="仿宋_GB2312"/>
                <w:color w:val="000000"/>
              </w:rPr>
              <w:t>具体以采购人指定地点为准</w:t>
            </w:r>
            <w:r>
              <w:rPr>
                <w:rFonts w:ascii="仿宋_GB2312" w:hAnsi="仿宋_GB2312" w:cs="仿宋_GB2312" w:eastAsia="仿宋_GB2312"/>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1年（自合同签订之日起计算）。</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提供上月燃油加油清单，经采购人确认无误后，次月10日前结算上月燃油费，按照本项目成交折扣据实结算，结算时成交供应商须向采购人提供在税务部门开具真实有效的正式税务发票（所需税费由成交供应商自行承担），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（一）成交供应商提供的油品必须符合国家标准化管理委员会公布的GB 17930-2016《车用汽油》、GB 19147-2016《车用柴油》的要求，必须符合国家行业生产及经营标准，各项技术指标必须完全符合国家有关质量检测、环保标准及产品出厂标准。（二）采购人有权对成交供应商所供应油品不定期不限次抽检。若经检测、鉴定，如因油品存在质量问题（以国家或者地方政府指定检测部门抽检油站油品检验结果为基准），采购人车辆使用该批次货物导致车辆损坏、故障的，供应商应承担全部维修费用和因此引起的损失。（三）成交供应商提供的油品数量必须保证每天都能满足采购人的需求，特别是油品紧缺时也要力争保证采购人每天的正常需要（在同等条件下优先)。 （四）如成交供应商出现供油能力不足的现象或者因特殊原因有影响采购人正常加油时，中标人应立即书面通知采购人，并与采购人积极妥善协商解决。成交供应商应协调公司内其他油站或者其他关系油站进行供油，最大限度保证采购人车辆的正常加油需求。（五）成交供应商不得在未经双方协商一致并签订书面协议的情况下将本合同项下的义务转让或分包给任何第三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一经签订，采购人、成交供应商双方应认真自觉遵守，全面履行本合同约定的内容,不得擅自变更、终止合同。除本条另有约定外，如采购人、成交供应商双方任何一方违反本合同或其附属、补充条款约定的，应承担违约责任，违约方应按本合同约定总费用的【5】%向守约方支付违约金。如果违约行为给对方造成损失，应该赔偿对方经济损失，守约方的经济损失包括但不限于守约方为追究违约方违约责任而支付的诉讼费、律师费、差旅费、鉴定费等费用。 （二）如成交供应商交付的油品规格、质量标准与合同规定不符时，成交供应商须按本合同约定已经发生费用总额的【20】%向采购人支付违约金；如采购人两次或两次以上发现成交供应商交付的油品规格、质量标准与合同规定不符的，视为成交供应商根本违约，采购人有权单方面解除合同，成交供应商应按本合同约定已经发生费用总额的【20】%向采购人支付违约金。如导致采购人车辆损坏、故障的，成交供应商应承担全部维修费用和因此引起的损失。（三）如成交供应商在未经双方协商一致的情况下将成交业务转让给他人或者单位的，视为成交供应商根本违约，采购人有权单方面解除合同，成交供应商应按本合同约定已经发生费用总额的【50】%向采购人支付违约金。如违约金不足以弥补采购人因此造成的损失的，成交供应商应承担全面补足的赔偿责任。 （四）上述各项，违约方向守约方支付的违约金不足以弥补守约方经济损失的，违约方须全额补足赔偿守约方因此遭受的经济损失。守约方的经济损失包括但不限于守约方遭受的直接经济损失，守约方为追究违约方违约责任而支付的诉讼费、律师费、鉴定费、交通费、差旅费等。 （五）依据《中华人民共和国民法典》、《中华人民共和国政府采购法》、《中华人民共和国政府采购法实施条例》的相关条款和本合同约定，成交供应商未全面履行合同义务或者发生违约，采购人会同采购代理机构有权终止合同，依法向中标人进行经济索赔，并报请政府采购监督管理机关进行相应的行政处罚。采购人违约的，应当赔偿给成交供应商造成的经济损失。 解决争议的方法：合同执行中发生争议的，当事人双方应协商解决。协商达不成一致时，可向当地行政仲裁机关申请仲裁或者向人民法院提请诉讼。</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零售业（根据《中小企业划型标准规定》（工信部联企业〔2011〕300号），零售业划分标准为“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2）本项目核心产品为92#汽油。（3）采购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投标人需在“第六章 投标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4）因系统格式设置无法调整，合同付款支付要求以第七章“拟签订采购合同文本”中体现的内容为准。（5）成交供应商在领取成交通知书前，须向采购代理机构提供纸质版响应文件3套（一正两副、正本应为彩色打印件，副本可采用正本的复印件），且提供的投响应文件必须与在陕西省政府采购综合管理平台的项目电子化交易系统中递交的电子响应文件内容一致，纸质版响应文件必须装订成册签字盖章。（6）如单一来源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供应商须具备合法有效的《危险化学品经营许可证》及《成品油零售经营批准证书》。</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 首次报价表.docx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（2）报价货币符合单一来源文件要求； （3）未超出采购预算或单一来源文件规定的最高限价。</w:t>
            </w:r>
          </w:p>
        </w:tc>
        <w:tc>
          <w:tcPr>
            <w:tcW w:type="dxa" w:w="1661"/>
          </w:tcPr>
          <w:p>
            <w:pPr>
              <w:pStyle w:val="null3"/>
            </w:pPr>
            <w:r>
              <w:rPr>
                <w:rFonts w:ascii="仿宋_GB2312" w:hAnsi="仿宋_GB2312" w:cs="仿宋_GB2312" w:eastAsia="仿宋_GB2312"/>
              </w:rPr>
              <w:t>关于符合本国产品标准的声明函.docx 中小企业声明函 残疾人福利性单位声明函 标的清单 报价表 首次报价表.docx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服务方案及业绩证明</w:t>
            </w:r>
          </w:p>
        </w:tc>
        <w:tc>
          <w:tcPr>
            <w:tcW w:type="dxa" w:w="3322"/>
          </w:tcPr>
          <w:p>
            <w:pPr>
              <w:pStyle w:val="null3"/>
            </w:pPr>
            <w:r>
              <w:rPr>
                <w:rFonts w:ascii="仿宋_GB2312" w:hAnsi="仿宋_GB2312" w:cs="仿宋_GB2312" w:eastAsia="仿宋_GB2312"/>
              </w:rPr>
              <w:t>针对本项目服务要求编制项目服务方案，提供类似业绩。</w:t>
            </w:r>
          </w:p>
        </w:tc>
        <w:tc>
          <w:tcPr>
            <w:tcW w:type="dxa" w:w="1661"/>
          </w:tcPr>
          <w:p>
            <w:pPr>
              <w:pStyle w:val="null3"/>
            </w:pPr>
            <w:r>
              <w:rPr>
                <w:rFonts w:ascii="仿宋_GB2312" w:hAnsi="仿宋_GB2312" w:cs="仿宋_GB2312" w:eastAsia="仿宋_GB2312"/>
              </w:rPr>
              <w:t>服务方案响应说明.docx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