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38402017">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甲方（采购人）： </w:t>
      </w:r>
    </w:p>
    <w:p w14:paraId="0B7A2C9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乙方（成交供应商）： </w:t>
      </w:r>
    </w:p>
    <w:p w14:paraId="507D4663">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lang w:eastAsia="zh-CN"/>
        </w:rPr>
        <w:t>公务用车油料采购项目</w:t>
      </w:r>
      <w:r>
        <w:rPr>
          <w:rFonts w:hint="eastAsia" w:ascii="仿宋_GB2312" w:hAnsi="仿宋_GB2312" w:eastAsia="仿宋_GB2312" w:cs="仿宋_GB2312"/>
          <w:bCs/>
          <w:sz w:val="28"/>
          <w:szCs w:val="28"/>
          <w:u w:val="single"/>
        </w:rPr>
        <w:t>(项目编号：</w:t>
      </w:r>
      <w:r>
        <w:rPr>
          <w:rFonts w:hint="eastAsia" w:ascii="仿宋_GB2312" w:hAnsi="仿宋_GB2312" w:eastAsia="仿宋_GB2312" w:cs="仿宋_GB2312"/>
          <w:bCs/>
          <w:sz w:val="28"/>
          <w:szCs w:val="28"/>
          <w:u w:val="single"/>
          <w:lang w:eastAsia="zh-CN"/>
        </w:rPr>
        <w:t>SXHC2026-050</w:t>
      </w:r>
      <w:r>
        <w:rPr>
          <w:rFonts w:hint="eastAsia" w:ascii="仿宋_GB2312" w:hAnsi="仿宋_GB2312" w:eastAsia="仿宋_GB2312" w:cs="仿宋_GB2312"/>
          <w:bCs/>
          <w:sz w:val="28"/>
          <w:szCs w:val="28"/>
          <w:u w:val="single"/>
          <w:lang w:val="en-US" w:eastAsia="zh-CN"/>
        </w:rPr>
        <w:t>.1BD1</w:t>
      </w:r>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rPr>
        <w:t>，由陕西华采招标有限公司组织</w:t>
      </w:r>
      <w:r>
        <w:rPr>
          <w:rFonts w:hint="eastAsia" w:ascii="仿宋_GB2312" w:hAnsi="仿宋_GB2312" w:eastAsia="仿宋_GB2312" w:cs="仿宋_GB2312"/>
          <w:bCs/>
          <w:sz w:val="28"/>
          <w:szCs w:val="28"/>
          <w:lang w:val="en-US" w:eastAsia="zh-CN"/>
        </w:rPr>
        <w:t>单一来源</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(以下简称“甲方”)确定</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（以下简称“乙方”）为该项目的成交供应商。</w:t>
      </w:r>
    </w:p>
    <w:p w14:paraId="21846DD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依据《中华人民共和国民法典》和《中华人民共和国政府采购法》之规定，经双方在平等、自愿、互利的基础上，签订本合同，共同信守。</w:t>
      </w:r>
    </w:p>
    <w:p w14:paraId="2900BDAB">
      <w:pPr>
        <w:autoSpaceDE w:val="0"/>
        <w:autoSpaceDN w:val="0"/>
        <w:adjustRightInd w:val="0"/>
        <w:snapToGrid w:val="0"/>
        <w:spacing w:line="360" w:lineRule="auto"/>
        <w:ind w:firstLine="562" w:firstLineChars="200"/>
        <w:rPr>
          <w:rFonts w:hint="eastAsia" w:ascii="仿宋_GB2312" w:hAnsi="仿宋" w:eastAsia="仿宋_GB2312"/>
          <w:b/>
          <w:bCs/>
          <w:sz w:val="28"/>
          <w:szCs w:val="28"/>
          <w:lang w:val="zh-CN"/>
        </w:rPr>
      </w:pPr>
      <w:r>
        <w:rPr>
          <w:rFonts w:hint="eastAsia" w:ascii="仿宋_GB2312" w:hAnsi="仿宋" w:eastAsia="仿宋_GB2312"/>
          <w:b/>
          <w:bCs w:val="0"/>
          <w:sz w:val="28"/>
          <w:szCs w:val="28"/>
        </w:rPr>
        <w:t>一、</w:t>
      </w:r>
      <w:r>
        <w:rPr>
          <w:rFonts w:hint="eastAsia" w:ascii="仿宋_GB2312" w:hAnsi="仿宋" w:eastAsia="仿宋_GB2312"/>
          <w:b/>
          <w:bCs/>
          <w:sz w:val="28"/>
          <w:szCs w:val="28"/>
          <w:lang w:val="zh-CN"/>
        </w:rPr>
        <w:t>合同标的</w:t>
      </w:r>
      <w:r>
        <w:rPr>
          <w:rFonts w:hint="eastAsia" w:ascii="仿宋_GB2312" w:hAnsi="仿宋" w:eastAsia="仿宋_GB2312"/>
          <w:b/>
          <w:bCs/>
          <w:sz w:val="28"/>
          <w:szCs w:val="28"/>
        </w:rPr>
        <w:t>物内容</w:t>
      </w:r>
      <w:r>
        <w:rPr>
          <w:rFonts w:hint="eastAsia" w:ascii="仿宋_GB2312" w:hAnsi="仿宋" w:eastAsia="仿宋_GB2312"/>
          <w:b/>
          <w:bCs/>
          <w:sz w:val="28"/>
          <w:szCs w:val="28"/>
          <w:lang w:val="zh-CN"/>
        </w:rPr>
        <w:t>及数量</w:t>
      </w:r>
    </w:p>
    <w:p w14:paraId="75F0F078">
      <w:pPr>
        <w:autoSpaceDE w:val="0"/>
        <w:autoSpaceDN w:val="0"/>
        <w:adjustRightInd w:val="0"/>
        <w:snapToGrid w:val="0"/>
        <w:spacing w:line="360" w:lineRule="auto"/>
        <w:ind w:firstLine="560" w:firstLineChars="200"/>
        <w:rPr>
          <w:rFonts w:hint="eastAsia" w:ascii="仿宋_GB2312" w:hAnsi="仿宋" w:eastAsia="仿宋_GB2312"/>
          <w:bCs/>
          <w:sz w:val="28"/>
          <w:szCs w:val="28"/>
          <w:lang w:val="zh-CN"/>
        </w:rPr>
      </w:pPr>
      <w:r>
        <w:rPr>
          <w:rFonts w:hint="eastAsia" w:ascii="仿宋_GB2312" w:hAnsi="仿宋" w:eastAsia="仿宋_GB2312"/>
          <w:bCs/>
          <w:sz w:val="28"/>
          <w:szCs w:val="28"/>
          <w:lang w:val="zh-CN"/>
        </w:rPr>
        <w:t>乙方向甲方提供下列货物（产品）：</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83"/>
        <w:gridCol w:w="1745"/>
        <w:gridCol w:w="2641"/>
        <w:gridCol w:w="1905"/>
      </w:tblGrid>
      <w:tr w14:paraId="78959D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283" w:type="dxa"/>
            <w:noWrap w:val="0"/>
            <w:vAlign w:val="center"/>
          </w:tcPr>
          <w:p w14:paraId="3B30AF54">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序号</w:t>
            </w:r>
          </w:p>
        </w:tc>
        <w:tc>
          <w:tcPr>
            <w:tcW w:w="1745" w:type="dxa"/>
            <w:noWrap w:val="0"/>
            <w:vAlign w:val="center"/>
          </w:tcPr>
          <w:p w14:paraId="675A8032">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货物名称</w:t>
            </w:r>
          </w:p>
        </w:tc>
        <w:tc>
          <w:tcPr>
            <w:tcW w:w="2641" w:type="dxa"/>
            <w:noWrap w:val="0"/>
            <w:vAlign w:val="center"/>
          </w:tcPr>
          <w:p w14:paraId="49612DC0">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规格</w:t>
            </w:r>
          </w:p>
        </w:tc>
        <w:tc>
          <w:tcPr>
            <w:tcW w:w="1905" w:type="dxa"/>
            <w:noWrap w:val="0"/>
            <w:vAlign w:val="center"/>
          </w:tcPr>
          <w:p w14:paraId="2EA24DD1">
            <w:pPr>
              <w:autoSpaceDE w:val="0"/>
              <w:autoSpaceDN w:val="0"/>
              <w:adjustRightInd w:val="0"/>
              <w:snapToGrid w:val="0"/>
              <w:jc w:val="center"/>
              <w:rPr>
                <w:rFonts w:hint="eastAsia" w:ascii="仿宋_GB2312" w:hAnsi="仿宋" w:eastAsia="仿宋_GB2312"/>
                <w:bCs/>
                <w:sz w:val="28"/>
                <w:szCs w:val="28"/>
                <w:lang w:val="en-US" w:eastAsia="zh-CN"/>
              </w:rPr>
            </w:pPr>
            <w:r>
              <w:rPr>
                <w:rFonts w:hint="eastAsia" w:ascii="仿宋_GB2312" w:hAnsi="仿宋" w:eastAsia="仿宋_GB2312"/>
                <w:bCs/>
                <w:sz w:val="28"/>
                <w:szCs w:val="28"/>
                <w:lang w:val="en-US" w:eastAsia="zh-CN"/>
              </w:rPr>
              <w:t>品牌</w:t>
            </w:r>
          </w:p>
        </w:tc>
      </w:tr>
      <w:tr w14:paraId="391C42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283" w:type="dxa"/>
            <w:noWrap w:val="0"/>
            <w:vAlign w:val="center"/>
          </w:tcPr>
          <w:p w14:paraId="5447DD4B">
            <w:pPr>
              <w:pStyle w:val="23"/>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 w:eastAsia="仿宋_GB2312" w:cs="Arial"/>
                <w:bCs/>
                <w:snapToGrid w:val="0"/>
                <w:color w:val="000000"/>
                <w:kern w:val="0"/>
                <w:sz w:val="28"/>
                <w:szCs w:val="28"/>
                <w:lang w:val="en-US" w:eastAsia="en-US" w:bidi="ar-SA"/>
              </w:rPr>
            </w:pPr>
            <w:r>
              <w:rPr>
                <w:rFonts w:hint="eastAsia" w:ascii="仿宋_GB2312" w:hAnsi="仿宋" w:eastAsia="仿宋_GB2312" w:cs="Arial"/>
                <w:bCs/>
                <w:snapToGrid w:val="0"/>
                <w:color w:val="000000"/>
                <w:kern w:val="0"/>
                <w:sz w:val="28"/>
                <w:szCs w:val="28"/>
                <w:lang w:val="en-US" w:eastAsia="zh-CN" w:bidi="ar-SA"/>
              </w:rPr>
              <w:t>1</w:t>
            </w:r>
          </w:p>
        </w:tc>
        <w:tc>
          <w:tcPr>
            <w:tcW w:w="1745" w:type="dxa"/>
            <w:vMerge w:val="restart"/>
            <w:noWrap w:val="0"/>
            <w:vAlign w:val="center"/>
          </w:tcPr>
          <w:p w14:paraId="3B9A77AF">
            <w:pPr>
              <w:pStyle w:val="23"/>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 w:eastAsia="仿宋_GB2312" w:cs="Arial"/>
                <w:bCs/>
                <w:snapToGrid w:val="0"/>
                <w:color w:val="000000"/>
                <w:kern w:val="0"/>
                <w:sz w:val="28"/>
                <w:szCs w:val="28"/>
                <w:lang w:val="en-US" w:eastAsia="en-US" w:bidi="ar-SA"/>
              </w:rPr>
            </w:pPr>
            <w:r>
              <w:rPr>
                <w:rFonts w:hint="eastAsia" w:ascii="仿宋_GB2312" w:hAnsi="仿宋" w:eastAsia="仿宋_GB2312" w:cs="Arial"/>
                <w:bCs/>
                <w:snapToGrid w:val="0"/>
                <w:color w:val="000000"/>
                <w:kern w:val="0"/>
                <w:sz w:val="28"/>
                <w:szCs w:val="28"/>
                <w:lang w:val="en-US" w:eastAsia="zh-CN" w:bidi="ar-SA"/>
              </w:rPr>
              <w:t>汽油</w:t>
            </w:r>
          </w:p>
        </w:tc>
        <w:tc>
          <w:tcPr>
            <w:tcW w:w="2641" w:type="dxa"/>
            <w:noWrap w:val="0"/>
            <w:vAlign w:val="center"/>
          </w:tcPr>
          <w:p w14:paraId="134F6E9C">
            <w:pPr>
              <w:pStyle w:val="23"/>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 w:eastAsia="仿宋_GB2312"/>
                <w:bCs/>
                <w:sz w:val="28"/>
                <w:szCs w:val="28"/>
              </w:rPr>
            </w:pPr>
            <w:r>
              <w:rPr>
                <w:rFonts w:hint="eastAsia" w:ascii="仿宋_GB2312" w:hAnsi="仿宋" w:eastAsia="仿宋_GB2312" w:cs="Arial"/>
                <w:bCs/>
                <w:snapToGrid w:val="0"/>
                <w:color w:val="000000"/>
                <w:kern w:val="0"/>
                <w:sz w:val="28"/>
                <w:szCs w:val="28"/>
                <w:lang w:val="en-US" w:eastAsia="zh-CN" w:bidi="ar-SA"/>
              </w:rPr>
              <w:t>92#</w:t>
            </w:r>
          </w:p>
        </w:tc>
        <w:tc>
          <w:tcPr>
            <w:tcW w:w="1905" w:type="dxa"/>
            <w:noWrap w:val="0"/>
            <w:vAlign w:val="center"/>
          </w:tcPr>
          <w:p w14:paraId="1D454DDF">
            <w:pPr>
              <w:pStyle w:val="23"/>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 w:eastAsia="仿宋_GB2312" w:cs="Arial"/>
                <w:bCs/>
                <w:snapToGrid w:val="0"/>
                <w:color w:val="000000"/>
                <w:kern w:val="0"/>
                <w:sz w:val="28"/>
                <w:szCs w:val="28"/>
                <w:lang w:val="en-US" w:eastAsia="zh-CN" w:bidi="ar-SA"/>
              </w:rPr>
            </w:pPr>
          </w:p>
        </w:tc>
      </w:tr>
      <w:tr w14:paraId="617EA6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283" w:type="dxa"/>
            <w:noWrap w:val="0"/>
            <w:vAlign w:val="center"/>
          </w:tcPr>
          <w:p w14:paraId="59EB9B66">
            <w:pPr>
              <w:pStyle w:val="23"/>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 w:eastAsia="仿宋_GB2312" w:cs="Arial"/>
                <w:bCs/>
                <w:snapToGrid w:val="0"/>
                <w:color w:val="000000"/>
                <w:kern w:val="0"/>
                <w:sz w:val="28"/>
                <w:szCs w:val="28"/>
                <w:lang w:val="en-US" w:eastAsia="en-US" w:bidi="ar-SA"/>
              </w:rPr>
            </w:pPr>
            <w:r>
              <w:rPr>
                <w:rFonts w:hint="eastAsia" w:ascii="仿宋_GB2312" w:hAnsi="仿宋" w:eastAsia="仿宋_GB2312" w:cs="Arial"/>
                <w:bCs/>
                <w:snapToGrid w:val="0"/>
                <w:color w:val="000000"/>
                <w:kern w:val="0"/>
                <w:sz w:val="28"/>
                <w:szCs w:val="28"/>
                <w:lang w:val="en-US" w:eastAsia="zh-CN" w:bidi="ar-SA"/>
              </w:rPr>
              <w:t>2</w:t>
            </w:r>
          </w:p>
        </w:tc>
        <w:tc>
          <w:tcPr>
            <w:tcW w:w="1745" w:type="dxa"/>
            <w:vMerge w:val="continue"/>
            <w:noWrap w:val="0"/>
            <w:vAlign w:val="center"/>
          </w:tcPr>
          <w:p w14:paraId="6412889C">
            <w:pPr>
              <w:pStyle w:val="23"/>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 w:eastAsia="仿宋_GB2312" w:cs="Arial"/>
                <w:bCs/>
                <w:snapToGrid w:val="0"/>
                <w:color w:val="000000"/>
                <w:kern w:val="0"/>
                <w:sz w:val="28"/>
                <w:szCs w:val="28"/>
                <w:lang w:val="en-US" w:eastAsia="en-US" w:bidi="ar-SA"/>
              </w:rPr>
            </w:pPr>
          </w:p>
        </w:tc>
        <w:tc>
          <w:tcPr>
            <w:tcW w:w="2641" w:type="dxa"/>
            <w:noWrap w:val="0"/>
            <w:vAlign w:val="center"/>
          </w:tcPr>
          <w:p w14:paraId="408F3FAE">
            <w:pPr>
              <w:pStyle w:val="23"/>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 w:eastAsia="仿宋_GB2312"/>
                <w:bCs/>
                <w:sz w:val="28"/>
                <w:szCs w:val="28"/>
              </w:rPr>
            </w:pPr>
            <w:r>
              <w:rPr>
                <w:rFonts w:hint="eastAsia" w:ascii="仿宋_GB2312" w:hAnsi="仿宋" w:eastAsia="仿宋_GB2312" w:cs="Arial"/>
                <w:bCs/>
                <w:snapToGrid w:val="0"/>
                <w:color w:val="000000"/>
                <w:kern w:val="0"/>
                <w:sz w:val="28"/>
                <w:szCs w:val="28"/>
                <w:lang w:val="en-US" w:eastAsia="zh-CN" w:bidi="ar-SA"/>
              </w:rPr>
              <w:t>95#</w:t>
            </w:r>
          </w:p>
        </w:tc>
        <w:tc>
          <w:tcPr>
            <w:tcW w:w="1905" w:type="dxa"/>
            <w:noWrap w:val="0"/>
            <w:vAlign w:val="center"/>
          </w:tcPr>
          <w:p w14:paraId="4B57DED9">
            <w:pPr>
              <w:pStyle w:val="23"/>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 w:eastAsia="仿宋_GB2312" w:cs="Arial"/>
                <w:bCs/>
                <w:snapToGrid w:val="0"/>
                <w:color w:val="000000"/>
                <w:kern w:val="0"/>
                <w:sz w:val="28"/>
                <w:szCs w:val="28"/>
                <w:lang w:val="en-US" w:eastAsia="zh-CN" w:bidi="ar-SA"/>
              </w:rPr>
            </w:pPr>
          </w:p>
        </w:tc>
      </w:tr>
      <w:tr w14:paraId="0368A5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283" w:type="dxa"/>
            <w:noWrap w:val="0"/>
            <w:vAlign w:val="center"/>
          </w:tcPr>
          <w:p w14:paraId="6A2A0E99">
            <w:pPr>
              <w:pStyle w:val="23"/>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 w:eastAsia="仿宋_GB2312" w:cs="Arial"/>
                <w:bCs/>
                <w:snapToGrid w:val="0"/>
                <w:color w:val="000000"/>
                <w:kern w:val="0"/>
                <w:sz w:val="28"/>
                <w:szCs w:val="28"/>
                <w:lang w:val="en-US" w:eastAsia="en-US" w:bidi="ar-SA"/>
              </w:rPr>
            </w:pPr>
            <w:r>
              <w:rPr>
                <w:rFonts w:hint="eastAsia" w:ascii="仿宋_GB2312" w:hAnsi="仿宋" w:eastAsia="仿宋_GB2312" w:cs="Arial"/>
                <w:bCs/>
                <w:snapToGrid w:val="0"/>
                <w:color w:val="000000"/>
                <w:kern w:val="0"/>
                <w:sz w:val="28"/>
                <w:szCs w:val="28"/>
                <w:lang w:val="en-US" w:eastAsia="zh-CN" w:bidi="ar-SA"/>
              </w:rPr>
              <w:t>3</w:t>
            </w:r>
          </w:p>
        </w:tc>
        <w:tc>
          <w:tcPr>
            <w:tcW w:w="1745" w:type="dxa"/>
            <w:vMerge w:val="restart"/>
            <w:noWrap w:val="0"/>
            <w:vAlign w:val="center"/>
          </w:tcPr>
          <w:p w14:paraId="6244672A">
            <w:pPr>
              <w:pStyle w:val="23"/>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 w:eastAsia="仿宋_GB2312" w:cs="Arial"/>
                <w:bCs/>
                <w:snapToGrid w:val="0"/>
                <w:color w:val="000000"/>
                <w:kern w:val="0"/>
                <w:sz w:val="28"/>
                <w:szCs w:val="28"/>
                <w:lang w:val="en-US" w:eastAsia="en-US" w:bidi="ar-SA"/>
              </w:rPr>
            </w:pPr>
            <w:r>
              <w:rPr>
                <w:rFonts w:hint="eastAsia" w:ascii="仿宋_GB2312" w:hAnsi="仿宋" w:eastAsia="仿宋_GB2312" w:cs="Arial"/>
                <w:bCs/>
                <w:snapToGrid w:val="0"/>
                <w:color w:val="000000"/>
                <w:kern w:val="0"/>
                <w:sz w:val="28"/>
                <w:szCs w:val="28"/>
                <w:lang w:val="en-US" w:eastAsia="zh-CN" w:bidi="ar-SA"/>
              </w:rPr>
              <w:t>柴油</w:t>
            </w:r>
          </w:p>
        </w:tc>
        <w:tc>
          <w:tcPr>
            <w:tcW w:w="2641" w:type="dxa"/>
            <w:noWrap w:val="0"/>
            <w:vAlign w:val="center"/>
          </w:tcPr>
          <w:p w14:paraId="5E131AB2">
            <w:pPr>
              <w:pStyle w:val="23"/>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 w:eastAsia="仿宋_GB2312"/>
                <w:bCs/>
                <w:sz w:val="28"/>
                <w:szCs w:val="28"/>
              </w:rPr>
            </w:pPr>
            <w:r>
              <w:rPr>
                <w:rFonts w:hint="eastAsia" w:ascii="仿宋_GB2312" w:hAnsi="仿宋" w:eastAsia="仿宋_GB2312" w:cs="Arial"/>
                <w:bCs/>
                <w:snapToGrid w:val="0"/>
                <w:color w:val="000000"/>
                <w:kern w:val="0"/>
                <w:sz w:val="28"/>
                <w:szCs w:val="28"/>
                <w:lang w:val="en-US" w:eastAsia="zh-CN" w:bidi="ar-SA"/>
              </w:rPr>
              <w:t>0#</w:t>
            </w:r>
          </w:p>
        </w:tc>
        <w:tc>
          <w:tcPr>
            <w:tcW w:w="1905" w:type="dxa"/>
            <w:noWrap w:val="0"/>
            <w:vAlign w:val="center"/>
          </w:tcPr>
          <w:p w14:paraId="4212C9F0">
            <w:pPr>
              <w:pStyle w:val="23"/>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 w:eastAsia="仿宋_GB2312" w:cs="Arial"/>
                <w:bCs/>
                <w:snapToGrid w:val="0"/>
                <w:color w:val="000000"/>
                <w:kern w:val="0"/>
                <w:sz w:val="28"/>
                <w:szCs w:val="28"/>
                <w:lang w:val="en-US" w:eastAsia="zh-CN" w:bidi="ar-SA"/>
              </w:rPr>
            </w:pPr>
          </w:p>
        </w:tc>
      </w:tr>
      <w:tr w14:paraId="2F06A0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283" w:type="dxa"/>
            <w:noWrap w:val="0"/>
            <w:vAlign w:val="center"/>
          </w:tcPr>
          <w:p w14:paraId="425B1EA1">
            <w:pPr>
              <w:pStyle w:val="23"/>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 w:eastAsia="仿宋_GB2312"/>
                <w:bCs/>
                <w:sz w:val="28"/>
                <w:szCs w:val="28"/>
              </w:rPr>
            </w:pPr>
            <w:r>
              <w:rPr>
                <w:rFonts w:hint="eastAsia" w:ascii="仿宋_GB2312" w:hAnsi="仿宋" w:eastAsia="仿宋_GB2312" w:cs="Arial"/>
                <w:bCs/>
                <w:snapToGrid w:val="0"/>
                <w:color w:val="000000"/>
                <w:kern w:val="0"/>
                <w:sz w:val="28"/>
                <w:szCs w:val="28"/>
                <w:lang w:val="en-US" w:eastAsia="zh-CN" w:bidi="ar-SA"/>
              </w:rPr>
              <w:t>4</w:t>
            </w:r>
          </w:p>
        </w:tc>
        <w:tc>
          <w:tcPr>
            <w:tcW w:w="1745" w:type="dxa"/>
            <w:vMerge w:val="continue"/>
            <w:noWrap w:val="0"/>
            <w:vAlign w:val="center"/>
          </w:tcPr>
          <w:p w14:paraId="142DB2E7">
            <w:pPr>
              <w:pStyle w:val="23"/>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 w:eastAsia="仿宋_GB2312"/>
                <w:bCs/>
                <w:sz w:val="28"/>
                <w:szCs w:val="28"/>
              </w:rPr>
            </w:pPr>
          </w:p>
        </w:tc>
        <w:tc>
          <w:tcPr>
            <w:tcW w:w="2641" w:type="dxa"/>
            <w:noWrap w:val="0"/>
            <w:vAlign w:val="center"/>
          </w:tcPr>
          <w:p w14:paraId="5708B60B">
            <w:pPr>
              <w:pStyle w:val="23"/>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 w:eastAsia="仿宋_GB2312"/>
                <w:bCs/>
                <w:sz w:val="28"/>
                <w:szCs w:val="28"/>
              </w:rPr>
            </w:pPr>
            <w:r>
              <w:rPr>
                <w:rFonts w:hint="eastAsia" w:ascii="仿宋_GB2312" w:hAnsi="仿宋" w:eastAsia="仿宋_GB2312" w:cs="Arial"/>
                <w:bCs/>
                <w:snapToGrid w:val="0"/>
                <w:color w:val="000000"/>
                <w:kern w:val="0"/>
                <w:sz w:val="28"/>
                <w:szCs w:val="28"/>
                <w:lang w:val="en-US" w:eastAsia="zh-CN" w:bidi="ar-SA"/>
              </w:rPr>
              <w:t>-10#</w:t>
            </w:r>
          </w:p>
        </w:tc>
        <w:tc>
          <w:tcPr>
            <w:tcW w:w="1905" w:type="dxa"/>
            <w:noWrap w:val="0"/>
            <w:vAlign w:val="center"/>
          </w:tcPr>
          <w:p w14:paraId="1D9DEEEC">
            <w:pPr>
              <w:pStyle w:val="23"/>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 w:eastAsia="仿宋_GB2312" w:cs="Arial"/>
                <w:bCs/>
                <w:snapToGrid w:val="0"/>
                <w:color w:val="000000"/>
                <w:kern w:val="0"/>
                <w:sz w:val="28"/>
                <w:szCs w:val="28"/>
                <w:lang w:val="en-US" w:eastAsia="zh-CN" w:bidi="ar-SA"/>
              </w:rPr>
            </w:pPr>
          </w:p>
        </w:tc>
      </w:tr>
      <w:tr w14:paraId="673604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3028" w:type="dxa"/>
            <w:gridSpan w:val="2"/>
            <w:noWrap w:val="0"/>
            <w:vAlign w:val="center"/>
          </w:tcPr>
          <w:p w14:paraId="439A68A4">
            <w:pPr>
              <w:autoSpaceDE w:val="0"/>
              <w:autoSpaceDN w:val="0"/>
              <w:adjustRightInd w:val="0"/>
              <w:snapToGrid w:val="0"/>
              <w:jc w:val="center"/>
              <w:rPr>
                <w:rFonts w:hint="eastAsia" w:ascii="仿宋_GB2312" w:hAnsi="仿宋" w:eastAsia="仿宋_GB2312"/>
                <w:bCs/>
                <w:sz w:val="28"/>
                <w:szCs w:val="28"/>
                <w:lang w:eastAsia="zh-CN"/>
              </w:rPr>
            </w:pPr>
            <w:r>
              <w:rPr>
                <w:rFonts w:hint="eastAsia" w:ascii="仿宋_GB2312" w:hAnsi="仿宋" w:eastAsia="仿宋_GB2312"/>
                <w:bCs/>
                <w:sz w:val="28"/>
                <w:szCs w:val="28"/>
                <w:highlight w:val="none"/>
                <w:lang w:val="en-US" w:eastAsia="zh-CN"/>
              </w:rPr>
              <w:t>下浮率</w:t>
            </w:r>
          </w:p>
        </w:tc>
        <w:tc>
          <w:tcPr>
            <w:tcW w:w="4546" w:type="dxa"/>
            <w:gridSpan w:val="2"/>
            <w:noWrap w:val="0"/>
            <w:vAlign w:val="center"/>
          </w:tcPr>
          <w:p w14:paraId="0E9B4161">
            <w:pPr>
              <w:autoSpaceDE w:val="0"/>
              <w:autoSpaceDN w:val="0"/>
              <w:adjustRightInd w:val="0"/>
              <w:snapToGrid w:val="0"/>
              <w:ind w:firstLine="1120" w:firstLineChars="400"/>
              <w:jc w:val="left"/>
              <w:rPr>
                <w:rFonts w:hint="eastAsia" w:ascii="仿宋_GB2312" w:hAnsi="仿宋" w:eastAsia="仿宋_GB2312"/>
                <w:bCs/>
                <w:sz w:val="28"/>
                <w:szCs w:val="28"/>
                <w:lang w:eastAsia="zh-CN"/>
              </w:rPr>
            </w:pPr>
            <w:r>
              <w:rPr>
                <w:rFonts w:hint="eastAsia" w:ascii="仿宋_GB2312" w:hAnsi="仿宋" w:eastAsia="仿宋_GB2312"/>
                <w:bCs/>
                <w:sz w:val="28"/>
                <w:szCs w:val="28"/>
                <w:u w:val="single"/>
              </w:rPr>
              <w:t xml:space="preserve">    </w:t>
            </w:r>
            <w:r>
              <w:rPr>
                <w:rFonts w:hint="eastAsia" w:ascii="仿宋_GB2312" w:hAnsi="仿宋" w:eastAsia="仿宋_GB2312"/>
                <w:bCs/>
                <w:sz w:val="28"/>
                <w:szCs w:val="28"/>
                <w:u w:val="single"/>
                <w:lang w:val="en-US" w:eastAsia="zh-CN"/>
              </w:rPr>
              <w:t xml:space="preserve">  </w:t>
            </w:r>
            <w:r>
              <w:rPr>
                <w:rFonts w:hint="eastAsia" w:ascii="仿宋_GB2312" w:hAnsi="仿宋" w:eastAsia="仿宋_GB2312"/>
                <w:bCs/>
                <w:sz w:val="28"/>
                <w:szCs w:val="28"/>
                <w:lang w:val="en-US" w:eastAsia="zh-CN"/>
              </w:rPr>
              <w:t>%</w:t>
            </w:r>
          </w:p>
        </w:tc>
      </w:tr>
    </w:tbl>
    <w:p w14:paraId="4DFEB7CB">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rPr>
        <w:t>二、合同价款</w:t>
      </w:r>
    </w:p>
    <w:p w14:paraId="397EE653">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highlight w:val="yellow"/>
          <w:lang w:val="en-US" w:eastAsia="zh-CN"/>
        </w:rPr>
      </w:pPr>
      <w:r>
        <w:rPr>
          <w:rFonts w:hint="eastAsia" w:ascii="仿宋_GB2312" w:hAnsi="仿宋" w:eastAsia="仿宋_GB2312"/>
          <w:bCs/>
          <w:sz w:val="28"/>
          <w:szCs w:val="28"/>
        </w:rPr>
        <w:t>（一）合同</w:t>
      </w:r>
      <w:r>
        <w:rPr>
          <w:rFonts w:hint="eastAsia" w:ascii="仿宋_GB2312" w:hAnsi="仿宋" w:eastAsia="仿宋_GB2312"/>
          <w:bCs/>
          <w:sz w:val="28"/>
          <w:szCs w:val="28"/>
          <w:lang w:val="en-US" w:eastAsia="zh-CN"/>
        </w:rPr>
        <w:t>暂定金额（即项目预算金额）</w:t>
      </w:r>
      <w:r>
        <w:rPr>
          <w:rFonts w:hint="eastAsia" w:ascii="仿宋_GB2312" w:hAnsi="仿宋" w:eastAsia="仿宋_GB2312"/>
          <w:bCs/>
          <w:sz w:val="28"/>
          <w:szCs w:val="28"/>
        </w:rPr>
        <w:t>为人民币（大写）</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highlight w:val="none"/>
        </w:rPr>
        <w:t>（</w:t>
      </w:r>
      <w:r>
        <w:rPr>
          <w:rFonts w:hint="eastAsia" w:ascii="仿宋_GB2312" w:hAnsi="仿宋_GB2312" w:eastAsia="仿宋_GB2312" w:cs="仿宋_GB2312"/>
          <w:bCs/>
          <w:sz w:val="28"/>
          <w:szCs w:val="28"/>
          <w:highlight w:val="none"/>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u w:val="single"/>
          <w:lang w:val="en-US" w:eastAsia="zh-CN"/>
        </w:rPr>
        <w:t xml:space="preserve">  </w:t>
      </w:r>
      <w:r>
        <w:rPr>
          <w:rFonts w:hint="eastAsia" w:ascii="仿宋_GB2312" w:hAnsi="仿宋" w:eastAsia="仿宋_GB2312"/>
          <w:bCs/>
          <w:sz w:val="28"/>
          <w:szCs w:val="28"/>
        </w:rPr>
        <w:t>）。</w:t>
      </w:r>
      <w:r>
        <w:rPr>
          <w:rFonts w:hint="eastAsia" w:ascii="仿宋_GB2312" w:hAnsi="仿宋" w:eastAsia="仿宋_GB2312"/>
          <w:bCs/>
          <w:sz w:val="28"/>
          <w:szCs w:val="28"/>
          <w:highlight w:val="none"/>
          <w:lang w:val="en-US" w:eastAsia="zh-CN"/>
        </w:rPr>
        <w:t>供应期内，乙方按加油当天国家发改委公布的零售挂牌价×（1-下浮率</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u w:val="single"/>
          <w:lang w:val="en-US" w:eastAsia="zh-CN"/>
        </w:rPr>
        <w:t xml:space="preserve">  </w:t>
      </w:r>
      <w:r>
        <w:rPr>
          <w:rFonts w:hint="eastAsia" w:ascii="仿宋_GB2312" w:hAnsi="仿宋" w:eastAsia="仿宋_GB2312"/>
          <w:bCs/>
          <w:sz w:val="28"/>
          <w:szCs w:val="28"/>
          <w:lang w:val="en-US" w:eastAsia="zh-CN"/>
        </w:rPr>
        <w:t>%</w:t>
      </w:r>
      <w:r>
        <w:rPr>
          <w:rFonts w:hint="eastAsia" w:ascii="仿宋_GB2312" w:hAnsi="仿宋" w:eastAsia="仿宋_GB2312"/>
          <w:bCs/>
          <w:sz w:val="28"/>
          <w:szCs w:val="28"/>
          <w:highlight w:val="none"/>
          <w:lang w:val="en-US" w:eastAsia="zh-CN"/>
        </w:rPr>
        <w:t>）为供应油品价格与甲方进行结算，结算价为含税价，乙方提供产品所发生的一切费用（包括增值税等相关税费）等都已包含于合同价款中。</w:t>
      </w:r>
    </w:p>
    <w:p w14:paraId="783DF66C">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highlight w:val="none"/>
        </w:rPr>
      </w:pPr>
      <w:r>
        <w:rPr>
          <w:rFonts w:hint="eastAsia" w:ascii="仿宋_GB2312" w:hAnsi="仿宋" w:eastAsia="仿宋_GB2312"/>
          <w:bCs/>
          <w:sz w:val="28"/>
          <w:szCs w:val="28"/>
        </w:rPr>
        <w:t>（二）合同价款是指本次</w:t>
      </w:r>
      <w:r>
        <w:rPr>
          <w:rFonts w:hint="eastAsia" w:ascii="仿宋_GB2312" w:hAnsi="仿宋" w:eastAsia="仿宋_GB2312"/>
          <w:bCs/>
          <w:sz w:val="28"/>
          <w:szCs w:val="28"/>
          <w:lang w:val="zh-CN"/>
        </w:rPr>
        <w:t>服务内容所需的全部费用,</w:t>
      </w:r>
      <w:r>
        <w:rPr>
          <w:rFonts w:hint="eastAsia" w:ascii="仿宋_GB2312" w:hAnsi="仿宋" w:eastAsia="仿宋_GB2312"/>
          <w:bCs/>
          <w:sz w:val="28"/>
          <w:szCs w:val="28"/>
          <w:highlight w:val="none"/>
        </w:rPr>
        <w:t xml:space="preserve"> 包括但不限于</w:t>
      </w:r>
      <w:r>
        <w:rPr>
          <w:rFonts w:hint="eastAsia" w:ascii="仿宋_GB2312" w:hAnsi="仿宋_GB2312" w:eastAsia="仿宋_GB2312" w:cs="仿宋_GB2312"/>
          <w:color w:val="auto"/>
          <w:sz w:val="28"/>
          <w:szCs w:val="28"/>
          <w:highlight w:val="none"/>
          <w:lang w:val="zh-CN" w:eastAsia="zh-CN"/>
        </w:rPr>
        <w:t>完成采购内容所需的</w:t>
      </w:r>
      <w:r>
        <w:rPr>
          <w:rFonts w:hint="eastAsia" w:ascii="仿宋_GB2312" w:hAnsi="仿宋_GB2312" w:eastAsia="仿宋_GB2312" w:cs="仿宋_GB2312"/>
          <w:color w:val="auto"/>
          <w:sz w:val="28"/>
          <w:szCs w:val="28"/>
          <w:highlight w:val="none"/>
          <w:lang w:val="en-US" w:eastAsia="zh-CN"/>
        </w:rPr>
        <w:t>产品费、管理费、运输费、</w:t>
      </w:r>
      <w:r>
        <w:rPr>
          <w:rFonts w:hint="eastAsia" w:ascii="仿宋_GB2312" w:hAnsi="仿宋_GB2312" w:eastAsia="仿宋_GB2312" w:cs="仿宋_GB2312"/>
          <w:color w:val="auto"/>
          <w:sz w:val="28"/>
          <w:szCs w:val="28"/>
          <w:highlight w:val="none"/>
          <w:lang w:val="zh-CN" w:eastAsia="zh-CN"/>
        </w:rPr>
        <w:t>直接费、间接费、利润、税金及其他相关的一切费用</w:t>
      </w:r>
      <w:r>
        <w:rPr>
          <w:rFonts w:hint="eastAsia" w:ascii="仿宋_GB2312" w:hAnsi="仿宋" w:eastAsia="仿宋_GB2312"/>
          <w:bCs/>
          <w:sz w:val="28"/>
          <w:szCs w:val="28"/>
          <w:highlight w:val="none"/>
        </w:rPr>
        <w:t>。</w:t>
      </w:r>
    </w:p>
    <w:p w14:paraId="54F541FA">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rPr>
        <w:t>三、款项结算</w:t>
      </w:r>
    </w:p>
    <w:p w14:paraId="2FCFBAD0">
      <w:pPr>
        <w:autoSpaceDE w:val="0"/>
        <w:autoSpaceDN w:val="0"/>
        <w:adjustRightInd w:val="0"/>
        <w:snapToGrid w:val="0"/>
        <w:spacing w:line="360" w:lineRule="auto"/>
        <w:ind w:firstLine="560" w:firstLineChars="200"/>
        <w:rPr>
          <w:rFonts w:ascii="仿宋_GB2312" w:hAnsi="仿宋" w:eastAsia="仿宋_GB2312"/>
          <w:bCs/>
          <w:sz w:val="28"/>
          <w:szCs w:val="28"/>
          <w:highlight w:val="none"/>
        </w:rPr>
      </w:pPr>
      <w:r>
        <w:rPr>
          <w:rFonts w:hint="eastAsia" w:ascii="仿宋_GB2312" w:hAnsi="仿宋" w:eastAsia="仿宋_GB2312"/>
          <w:bCs/>
          <w:sz w:val="28"/>
          <w:szCs w:val="28"/>
          <w:highlight w:val="none"/>
        </w:rPr>
        <w:t>（一）付款方式：</w:t>
      </w:r>
    </w:p>
    <w:p w14:paraId="4BD5BDBC">
      <w:pPr>
        <w:autoSpaceDE w:val="0"/>
        <w:autoSpaceDN w:val="0"/>
        <w:adjustRightInd w:val="0"/>
        <w:snapToGrid w:val="0"/>
        <w:spacing w:line="360" w:lineRule="auto"/>
        <w:ind w:firstLine="560" w:firstLineChars="200"/>
        <w:rPr>
          <w:rFonts w:hint="default"/>
          <w:highlight w:val="none"/>
          <w:lang w:val="en-US" w:eastAsia="zh-CN"/>
        </w:rPr>
      </w:pPr>
      <w:r>
        <w:rPr>
          <w:rFonts w:hint="eastAsia" w:ascii="仿宋_GB2312" w:hAnsi="仿宋" w:eastAsia="仿宋_GB2312" w:cs="Times New Roman"/>
          <w:bCs/>
          <w:sz w:val="28"/>
          <w:szCs w:val="28"/>
          <w:highlight w:val="none"/>
          <w:lang w:val="en-US" w:eastAsia="zh-CN"/>
        </w:rPr>
        <w:t>乙方提供上月燃油加油</w:t>
      </w:r>
      <w:bookmarkStart w:id="0" w:name="_GoBack"/>
      <w:bookmarkEnd w:id="0"/>
      <w:r>
        <w:rPr>
          <w:rFonts w:hint="eastAsia" w:ascii="仿宋_GB2312" w:hAnsi="仿宋" w:eastAsia="仿宋_GB2312" w:cs="Times New Roman"/>
          <w:bCs/>
          <w:sz w:val="28"/>
          <w:szCs w:val="28"/>
          <w:highlight w:val="none"/>
          <w:lang w:val="en-US" w:eastAsia="zh-CN"/>
        </w:rPr>
        <w:t>清单，经甲方确认无误后，次月10日前结算上月燃油费，按照本项目成交折扣据实结算，结算时乙方须向甲方提供在税务部门开具真实有效的正式税务发票（所需税费由乙方自行承担）。</w:t>
      </w:r>
    </w:p>
    <w:p w14:paraId="6BCE343D">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（二）结算方式：银行转账。</w:t>
      </w:r>
    </w:p>
    <w:p w14:paraId="77CC26C9">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（三）结算单位：由甲方负责结算，乙方开具相应金额的有效财务发票给甲方。</w:t>
      </w:r>
    </w:p>
    <w:p w14:paraId="2E7B6530">
      <w:pPr>
        <w:autoSpaceDE w:val="0"/>
        <w:autoSpaceDN w:val="0"/>
        <w:adjustRightInd w:val="0"/>
        <w:snapToGrid w:val="0"/>
        <w:spacing w:line="360" w:lineRule="auto"/>
        <w:ind w:firstLine="562" w:firstLineChars="200"/>
        <w:rPr>
          <w:rFonts w:hint="eastAsia" w:ascii="仿宋_GB2312" w:hAnsi="仿宋" w:eastAsia="仿宋_GB2312"/>
          <w:b/>
          <w:bCs w:val="0"/>
          <w:sz w:val="28"/>
          <w:szCs w:val="28"/>
          <w:highlight w:val="none"/>
        </w:rPr>
      </w:pPr>
      <w:r>
        <w:rPr>
          <w:rFonts w:hint="eastAsia" w:ascii="仿宋_GB2312" w:hAnsi="仿宋" w:eastAsia="仿宋_GB2312"/>
          <w:b/>
          <w:bCs w:val="0"/>
          <w:sz w:val="28"/>
          <w:szCs w:val="28"/>
          <w:highlight w:val="none"/>
        </w:rPr>
        <w:t>四、</w:t>
      </w:r>
      <w:r>
        <w:rPr>
          <w:rFonts w:hint="eastAsia" w:ascii="仿宋_GB2312" w:hAnsi="仿宋" w:eastAsia="仿宋_GB2312"/>
          <w:b/>
          <w:bCs w:val="0"/>
          <w:sz w:val="28"/>
          <w:szCs w:val="28"/>
          <w:highlight w:val="none"/>
          <w:lang w:val="en-US" w:eastAsia="zh-CN"/>
        </w:rPr>
        <w:t>交货</w:t>
      </w:r>
      <w:r>
        <w:rPr>
          <w:rFonts w:hint="eastAsia" w:ascii="仿宋_GB2312" w:hAnsi="仿宋" w:eastAsia="仿宋_GB2312"/>
          <w:b/>
          <w:bCs w:val="0"/>
          <w:sz w:val="28"/>
          <w:szCs w:val="28"/>
          <w:highlight w:val="none"/>
        </w:rPr>
        <w:t>地点及</w:t>
      </w:r>
      <w:r>
        <w:rPr>
          <w:rFonts w:hint="eastAsia" w:ascii="仿宋_GB2312" w:hAnsi="仿宋" w:eastAsia="仿宋_GB2312"/>
          <w:b/>
          <w:bCs w:val="0"/>
          <w:sz w:val="28"/>
          <w:szCs w:val="28"/>
          <w:highlight w:val="none"/>
          <w:lang w:val="en-US" w:eastAsia="zh-CN"/>
        </w:rPr>
        <w:t>交货</w:t>
      </w:r>
      <w:r>
        <w:rPr>
          <w:rFonts w:hint="eastAsia" w:ascii="仿宋_GB2312" w:hAnsi="仿宋" w:eastAsia="仿宋_GB2312"/>
          <w:b/>
          <w:bCs w:val="0"/>
          <w:sz w:val="28"/>
          <w:szCs w:val="28"/>
          <w:highlight w:val="none"/>
        </w:rPr>
        <w:t>期</w:t>
      </w:r>
    </w:p>
    <w:p w14:paraId="5138DFA5">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w:t>
      </w:r>
      <w:r>
        <w:rPr>
          <w:rFonts w:hint="eastAsia" w:ascii="仿宋_GB2312" w:hAnsi="仿宋" w:eastAsia="仿宋_GB2312"/>
          <w:bCs/>
          <w:sz w:val="28"/>
          <w:szCs w:val="28"/>
          <w:highlight w:val="none"/>
          <w:lang w:val="en-US" w:eastAsia="zh-CN"/>
        </w:rPr>
        <w:t>交货</w:t>
      </w:r>
      <w:r>
        <w:rPr>
          <w:rFonts w:hint="eastAsia" w:ascii="仿宋_GB2312" w:hAnsi="仿宋" w:eastAsia="仿宋_GB2312"/>
          <w:bCs/>
          <w:sz w:val="28"/>
          <w:szCs w:val="28"/>
          <w:highlight w:val="none"/>
        </w:rPr>
        <w:t>地点：</w:t>
      </w:r>
      <w:r>
        <w:rPr>
          <w:rFonts w:hint="eastAsia" w:ascii="仿宋_GB2312" w:hAnsi="仿宋" w:eastAsia="仿宋_GB2312"/>
          <w:bCs/>
          <w:sz w:val="28"/>
          <w:szCs w:val="28"/>
          <w:highlight w:val="none"/>
          <w:lang w:val="en-US" w:eastAsia="zh-CN"/>
        </w:rPr>
        <w:t>西安市范围内</w:t>
      </w:r>
      <w:r>
        <w:rPr>
          <w:rFonts w:hint="eastAsia" w:ascii="仿宋_GB2312" w:hAnsi="仿宋" w:eastAsia="仿宋_GB2312"/>
          <w:bCs/>
          <w:sz w:val="28"/>
          <w:szCs w:val="28"/>
          <w:highlight w:val="none"/>
          <w:lang w:eastAsia="zh-CN"/>
        </w:rPr>
        <w:t>，</w:t>
      </w:r>
      <w:r>
        <w:rPr>
          <w:rFonts w:hint="eastAsia" w:ascii="仿宋_GB2312" w:hAnsi="仿宋" w:eastAsia="仿宋_GB2312"/>
          <w:bCs/>
          <w:sz w:val="28"/>
          <w:szCs w:val="28"/>
          <w:highlight w:val="none"/>
          <w:lang w:val="en-US" w:eastAsia="zh-CN"/>
        </w:rPr>
        <w:t>具体以</w:t>
      </w:r>
      <w:r>
        <w:rPr>
          <w:rFonts w:hint="eastAsia" w:ascii="仿宋_GB2312" w:hAnsi="仿宋" w:eastAsia="仿宋_GB2312"/>
          <w:bCs/>
          <w:sz w:val="28"/>
          <w:szCs w:val="28"/>
          <w:highlight w:val="none"/>
        </w:rPr>
        <w:t>甲方指定地点</w:t>
      </w:r>
      <w:r>
        <w:rPr>
          <w:rFonts w:hint="eastAsia" w:ascii="仿宋_GB2312" w:hAnsi="仿宋" w:eastAsia="仿宋_GB2312"/>
          <w:bCs/>
          <w:sz w:val="28"/>
          <w:szCs w:val="28"/>
          <w:highlight w:val="none"/>
          <w:lang w:val="en-US" w:eastAsia="zh-CN"/>
        </w:rPr>
        <w:t>为准</w:t>
      </w:r>
      <w:r>
        <w:rPr>
          <w:rFonts w:hint="eastAsia" w:ascii="仿宋_GB2312" w:hAnsi="仿宋" w:eastAsia="仿宋_GB2312"/>
          <w:bCs/>
          <w:sz w:val="28"/>
          <w:szCs w:val="28"/>
          <w:highlight w:val="none"/>
        </w:rPr>
        <w:t>。</w:t>
      </w:r>
    </w:p>
    <w:p w14:paraId="192DB574">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lang w:eastAsia="zh-CN"/>
        </w:rPr>
      </w:pPr>
      <w:r>
        <w:rPr>
          <w:rFonts w:hint="eastAsia" w:ascii="仿宋_GB2312" w:hAnsi="仿宋" w:eastAsia="仿宋_GB2312"/>
          <w:bCs/>
          <w:sz w:val="28"/>
          <w:szCs w:val="28"/>
          <w:highlight w:val="none"/>
        </w:rPr>
        <w:t>（</w:t>
      </w:r>
      <w:r>
        <w:rPr>
          <w:rFonts w:hint="eastAsia" w:ascii="仿宋_GB2312" w:hAnsi="仿宋" w:eastAsia="仿宋_GB2312"/>
          <w:bCs/>
          <w:sz w:val="28"/>
          <w:szCs w:val="28"/>
          <w:highlight w:val="none"/>
          <w:lang w:val="en-US" w:eastAsia="zh-CN"/>
        </w:rPr>
        <w:t>二</w:t>
      </w:r>
      <w:r>
        <w:rPr>
          <w:rFonts w:hint="eastAsia" w:ascii="仿宋_GB2312" w:hAnsi="仿宋" w:eastAsia="仿宋_GB2312"/>
          <w:bCs/>
          <w:sz w:val="28"/>
          <w:szCs w:val="28"/>
          <w:highlight w:val="none"/>
        </w:rPr>
        <w:t>）</w:t>
      </w:r>
      <w:r>
        <w:rPr>
          <w:rFonts w:hint="eastAsia" w:ascii="仿宋_GB2312" w:hAnsi="仿宋" w:eastAsia="仿宋_GB2312"/>
          <w:bCs/>
          <w:sz w:val="28"/>
          <w:szCs w:val="28"/>
          <w:highlight w:val="none"/>
          <w:lang w:val="en-US" w:eastAsia="zh-CN"/>
        </w:rPr>
        <w:t>交货</w:t>
      </w:r>
      <w:r>
        <w:rPr>
          <w:rFonts w:hint="eastAsia" w:ascii="仿宋_GB2312" w:hAnsi="仿宋" w:eastAsia="仿宋_GB2312"/>
          <w:bCs/>
          <w:sz w:val="28"/>
          <w:szCs w:val="28"/>
          <w:highlight w:val="none"/>
        </w:rPr>
        <w:t>期：1年（自合同签订之日起计算）</w:t>
      </w:r>
      <w:r>
        <w:rPr>
          <w:rFonts w:hint="eastAsia" w:ascii="仿宋_GB2312" w:hAnsi="仿宋_GB2312" w:eastAsia="仿宋_GB2312" w:cs="仿宋_GB2312"/>
          <w:b w:val="0"/>
          <w:bCs w:val="0"/>
          <w:kern w:val="0"/>
          <w:sz w:val="28"/>
          <w:szCs w:val="28"/>
          <w:highlight w:val="none"/>
          <w:lang w:val="en-US" w:eastAsia="zh-CN"/>
        </w:rPr>
        <w:t>。</w:t>
      </w:r>
    </w:p>
    <w:p w14:paraId="650D625E">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rPr>
        <w:t>五、双方的权利和义务</w:t>
      </w:r>
    </w:p>
    <w:p w14:paraId="6303944A">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（一）甲方的权利与义务</w:t>
      </w:r>
    </w:p>
    <w:p w14:paraId="62DD8223">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1、甲方负责配合本次项目</w:t>
      </w:r>
      <w:r>
        <w:rPr>
          <w:rFonts w:hint="eastAsia" w:ascii="仿宋_GB2312" w:hAnsi="仿宋" w:eastAsia="仿宋_GB2312"/>
          <w:bCs/>
          <w:sz w:val="28"/>
          <w:szCs w:val="28"/>
          <w:lang w:val="en-US" w:eastAsia="zh-CN"/>
        </w:rPr>
        <w:t>采购</w:t>
      </w:r>
      <w:r>
        <w:rPr>
          <w:rFonts w:hint="eastAsia" w:ascii="仿宋_GB2312" w:hAnsi="仿宋" w:eastAsia="仿宋_GB2312"/>
          <w:bCs/>
          <w:sz w:val="28"/>
          <w:szCs w:val="28"/>
        </w:rPr>
        <w:t>工作；</w:t>
      </w:r>
    </w:p>
    <w:p w14:paraId="2FD67B87">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2、甲方应按本合同的约定向乙方支付合同价款；</w:t>
      </w:r>
    </w:p>
    <w:p w14:paraId="4590DABC">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3、甲方根据需要对乙方提供的</w:t>
      </w:r>
      <w:r>
        <w:rPr>
          <w:rFonts w:hint="eastAsia" w:ascii="仿宋_GB2312" w:hAnsi="仿宋" w:eastAsia="仿宋_GB2312"/>
          <w:bCs/>
          <w:sz w:val="28"/>
          <w:szCs w:val="28"/>
          <w:lang w:eastAsia="zh-CN"/>
        </w:rPr>
        <w:t>服务</w:t>
      </w:r>
      <w:r>
        <w:rPr>
          <w:rFonts w:hint="eastAsia" w:ascii="仿宋_GB2312" w:hAnsi="仿宋" w:eastAsia="仿宋_GB2312"/>
          <w:bCs/>
          <w:sz w:val="28"/>
          <w:szCs w:val="28"/>
        </w:rPr>
        <w:t>方案进行审核，提供建议及意见，确定最终实施的服务方案，以便乙方遵照执行；</w:t>
      </w:r>
    </w:p>
    <w:p w14:paraId="14D33D27">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4、甲方有权对乙方的工作进行监督和考核。</w:t>
      </w:r>
    </w:p>
    <w:p w14:paraId="40168A4C">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（二）乙方的权利与义务</w:t>
      </w:r>
    </w:p>
    <w:p w14:paraId="40205CB3">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1、乙方的工作人员必须严格遵守甲方的规章制度，以良好的形象和积极的工作态度，按甲方要求开展工作；</w:t>
      </w:r>
    </w:p>
    <w:p w14:paraId="5BC35673">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2、乙方应服从甲方统筹管理并按流程开展工作；</w:t>
      </w:r>
    </w:p>
    <w:p w14:paraId="2108E2D4">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rPr>
      </w:pPr>
      <w:r>
        <w:rPr>
          <w:rFonts w:hint="eastAsia" w:ascii="仿宋_GB2312" w:hAnsi="仿宋" w:eastAsia="仿宋_GB2312"/>
          <w:bCs/>
          <w:sz w:val="28"/>
          <w:szCs w:val="28"/>
        </w:rPr>
        <w:t>3、乙方提交的方案等应得到甲方确认再予以实施；</w:t>
      </w:r>
    </w:p>
    <w:p w14:paraId="4B5C8446">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lang w:val="en-US" w:eastAsia="zh-CN"/>
        </w:rPr>
        <w:t>4、</w:t>
      </w:r>
      <w:r>
        <w:rPr>
          <w:rFonts w:hint="eastAsia" w:ascii="仿宋_GB2312" w:hAnsi="仿宋" w:eastAsia="仿宋_GB2312"/>
          <w:bCs/>
          <w:sz w:val="28"/>
          <w:szCs w:val="28"/>
        </w:rPr>
        <w:t>乙方工作人员出入等</w:t>
      </w:r>
      <w:r>
        <w:rPr>
          <w:rFonts w:hint="eastAsia" w:ascii="仿宋_GB2312" w:hAnsi="仿宋" w:eastAsia="仿宋_GB2312"/>
          <w:bCs/>
          <w:sz w:val="28"/>
          <w:szCs w:val="28"/>
          <w:lang w:eastAsia="zh-CN"/>
        </w:rPr>
        <w:t>相关</w:t>
      </w:r>
      <w:r>
        <w:rPr>
          <w:rFonts w:hint="eastAsia" w:ascii="仿宋_GB2312" w:hAnsi="仿宋" w:eastAsia="仿宋_GB2312"/>
          <w:bCs/>
          <w:sz w:val="28"/>
          <w:szCs w:val="28"/>
        </w:rPr>
        <w:t>事宜，甲方有义务提供必要的便利条件。</w:t>
      </w:r>
    </w:p>
    <w:p w14:paraId="0DAA46D5">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rPr>
        <w:t>六、质量保证</w:t>
      </w:r>
    </w:p>
    <w:p w14:paraId="19FC8841">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0" w:firstLineChars="200"/>
        <w:jc w:val="both"/>
        <w:textAlignment w:val="auto"/>
        <w:outlineLvl w:val="9"/>
        <w:rPr>
          <w:rFonts w:hint="eastAsia" w:ascii="仿宋_GB2312" w:hAnsi="仿宋" w:eastAsia="仿宋_GB2312"/>
          <w:bCs/>
          <w:sz w:val="28"/>
          <w:szCs w:val="28"/>
        </w:rPr>
      </w:pPr>
      <w:r>
        <w:rPr>
          <w:rFonts w:hint="eastAsia" w:ascii="仿宋_GB2312" w:hAnsi="仿宋" w:eastAsia="仿宋_GB2312"/>
          <w:bCs/>
          <w:sz w:val="28"/>
          <w:szCs w:val="28"/>
        </w:rPr>
        <w:t>（一）</w:t>
      </w:r>
      <w:r>
        <w:rPr>
          <w:rFonts w:hint="eastAsia" w:ascii="仿宋_GB2312" w:hAnsi="仿宋" w:eastAsia="仿宋_GB2312"/>
          <w:bCs/>
          <w:sz w:val="28"/>
          <w:szCs w:val="28"/>
          <w:lang w:eastAsia="zh-CN"/>
        </w:rPr>
        <w:t>乙方</w:t>
      </w:r>
      <w:r>
        <w:rPr>
          <w:rFonts w:hint="eastAsia" w:ascii="仿宋_GB2312" w:hAnsi="仿宋" w:eastAsia="仿宋_GB2312"/>
          <w:bCs/>
          <w:sz w:val="28"/>
          <w:szCs w:val="28"/>
        </w:rPr>
        <w:t>提供的油品必须符合国家标准化管理委员会公布的GB 17930-2016《车用汽油》</w:t>
      </w:r>
      <w:r>
        <w:rPr>
          <w:rFonts w:hint="eastAsia" w:ascii="仿宋_GB2312" w:hAnsi="仿宋" w:eastAsia="仿宋_GB2312"/>
          <w:bCs/>
          <w:sz w:val="28"/>
          <w:szCs w:val="28"/>
          <w:lang w:eastAsia="zh-CN"/>
        </w:rPr>
        <w:t>、GB 19147-2016《车用柴油》</w:t>
      </w:r>
      <w:r>
        <w:rPr>
          <w:rFonts w:hint="eastAsia" w:ascii="仿宋_GB2312" w:hAnsi="仿宋" w:eastAsia="仿宋_GB2312"/>
          <w:bCs/>
          <w:sz w:val="28"/>
          <w:szCs w:val="28"/>
        </w:rPr>
        <w:t>的要求，必须符合国家行业生产及经营标准，各项技术指标必须完全符合国家有关质量检测、环保标准及产品出厂标准。</w:t>
      </w:r>
    </w:p>
    <w:p w14:paraId="36964046">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0" w:firstLineChars="200"/>
        <w:jc w:val="both"/>
        <w:textAlignment w:val="auto"/>
        <w:outlineLvl w:val="9"/>
        <w:rPr>
          <w:rFonts w:hint="eastAsia" w:ascii="仿宋_GB2312" w:hAnsi="仿宋" w:eastAsia="仿宋_GB2312"/>
          <w:bCs/>
          <w:sz w:val="28"/>
          <w:szCs w:val="28"/>
        </w:rPr>
      </w:pPr>
      <w:r>
        <w:rPr>
          <w:rFonts w:hint="eastAsia" w:ascii="仿宋_GB2312" w:hAnsi="仿宋" w:eastAsia="仿宋_GB2312"/>
          <w:bCs/>
          <w:sz w:val="28"/>
          <w:szCs w:val="28"/>
        </w:rPr>
        <w:t>（二）</w:t>
      </w:r>
      <w:r>
        <w:rPr>
          <w:rFonts w:hint="eastAsia" w:ascii="仿宋_GB2312" w:hAnsi="仿宋" w:eastAsia="仿宋_GB2312"/>
          <w:bCs/>
          <w:sz w:val="28"/>
          <w:szCs w:val="28"/>
          <w:lang w:eastAsia="zh-CN"/>
        </w:rPr>
        <w:t>甲方</w:t>
      </w:r>
      <w:r>
        <w:rPr>
          <w:rFonts w:hint="eastAsia" w:ascii="仿宋_GB2312" w:hAnsi="仿宋" w:eastAsia="仿宋_GB2312"/>
          <w:bCs/>
          <w:sz w:val="28"/>
          <w:szCs w:val="28"/>
        </w:rPr>
        <w:t>有权对</w:t>
      </w:r>
      <w:r>
        <w:rPr>
          <w:rFonts w:hint="eastAsia" w:ascii="仿宋_GB2312" w:hAnsi="仿宋" w:eastAsia="仿宋_GB2312"/>
          <w:bCs/>
          <w:sz w:val="28"/>
          <w:szCs w:val="28"/>
          <w:lang w:eastAsia="zh-CN"/>
        </w:rPr>
        <w:t>乙方</w:t>
      </w:r>
      <w:r>
        <w:rPr>
          <w:rFonts w:hint="eastAsia" w:ascii="仿宋_GB2312" w:hAnsi="仿宋" w:eastAsia="仿宋_GB2312"/>
          <w:bCs/>
          <w:sz w:val="28"/>
          <w:szCs w:val="28"/>
        </w:rPr>
        <w:t>所供应油品不定期不限次抽检。若经检测、鉴定，如因油品存在质量问题（以国家或者地方政府指定检测部门抽检油站油品检验结果为基准），</w:t>
      </w:r>
      <w:r>
        <w:rPr>
          <w:rFonts w:hint="eastAsia" w:ascii="仿宋_GB2312" w:hAnsi="仿宋" w:eastAsia="仿宋_GB2312"/>
          <w:bCs/>
          <w:sz w:val="28"/>
          <w:szCs w:val="28"/>
          <w:lang w:eastAsia="zh-CN"/>
        </w:rPr>
        <w:t>甲方</w:t>
      </w:r>
      <w:r>
        <w:rPr>
          <w:rFonts w:hint="eastAsia" w:ascii="仿宋_GB2312" w:hAnsi="仿宋" w:eastAsia="仿宋_GB2312"/>
          <w:bCs/>
          <w:sz w:val="28"/>
          <w:szCs w:val="28"/>
        </w:rPr>
        <w:t>车辆使用该批次货物导致车辆损坏、故障的，</w:t>
      </w:r>
      <w:r>
        <w:rPr>
          <w:rFonts w:hint="eastAsia" w:ascii="仿宋_GB2312" w:hAnsi="仿宋" w:eastAsia="仿宋_GB2312"/>
          <w:bCs/>
          <w:sz w:val="28"/>
          <w:szCs w:val="28"/>
          <w:lang w:val="en-US" w:eastAsia="zh-CN"/>
        </w:rPr>
        <w:t>乙方</w:t>
      </w:r>
      <w:r>
        <w:rPr>
          <w:rFonts w:hint="eastAsia" w:ascii="仿宋_GB2312" w:hAnsi="仿宋" w:eastAsia="仿宋_GB2312"/>
          <w:bCs/>
          <w:sz w:val="28"/>
          <w:szCs w:val="28"/>
        </w:rPr>
        <w:t>应承担全部维修费用和因此引起的损失。</w:t>
      </w:r>
    </w:p>
    <w:p w14:paraId="0BC780ED">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0" w:firstLineChars="200"/>
        <w:jc w:val="both"/>
        <w:textAlignment w:val="auto"/>
        <w:outlineLvl w:val="9"/>
        <w:rPr>
          <w:rFonts w:hint="eastAsia" w:ascii="仿宋_GB2312" w:hAnsi="仿宋" w:eastAsia="仿宋_GB2312"/>
          <w:bCs/>
          <w:sz w:val="28"/>
          <w:szCs w:val="28"/>
        </w:rPr>
      </w:pPr>
      <w:r>
        <w:rPr>
          <w:rFonts w:hint="eastAsia" w:ascii="仿宋_GB2312" w:hAnsi="仿宋" w:eastAsia="仿宋_GB2312"/>
          <w:bCs/>
          <w:sz w:val="28"/>
          <w:szCs w:val="28"/>
        </w:rPr>
        <w:t>（三）</w:t>
      </w:r>
      <w:r>
        <w:rPr>
          <w:rFonts w:hint="eastAsia" w:ascii="仿宋_GB2312" w:hAnsi="仿宋" w:eastAsia="仿宋_GB2312"/>
          <w:bCs/>
          <w:sz w:val="28"/>
          <w:szCs w:val="28"/>
          <w:lang w:eastAsia="zh-CN"/>
        </w:rPr>
        <w:t>乙方</w:t>
      </w:r>
      <w:r>
        <w:rPr>
          <w:rFonts w:hint="eastAsia" w:ascii="仿宋_GB2312" w:hAnsi="仿宋" w:eastAsia="仿宋_GB2312"/>
          <w:bCs/>
          <w:sz w:val="28"/>
          <w:szCs w:val="28"/>
        </w:rPr>
        <w:t>提供的油品数量必须保证每天都能满足</w:t>
      </w:r>
      <w:r>
        <w:rPr>
          <w:rFonts w:hint="eastAsia" w:ascii="仿宋_GB2312" w:hAnsi="仿宋" w:eastAsia="仿宋_GB2312"/>
          <w:bCs/>
          <w:sz w:val="28"/>
          <w:szCs w:val="28"/>
          <w:lang w:eastAsia="zh-CN"/>
        </w:rPr>
        <w:t>甲方</w:t>
      </w:r>
      <w:r>
        <w:rPr>
          <w:rFonts w:hint="eastAsia" w:ascii="仿宋_GB2312" w:hAnsi="仿宋" w:eastAsia="仿宋_GB2312"/>
          <w:bCs/>
          <w:sz w:val="28"/>
          <w:szCs w:val="28"/>
        </w:rPr>
        <w:t>的需求，特别是油品紧缺时也要力争保证</w:t>
      </w:r>
      <w:r>
        <w:rPr>
          <w:rFonts w:hint="eastAsia" w:ascii="仿宋_GB2312" w:hAnsi="仿宋" w:eastAsia="仿宋_GB2312"/>
          <w:bCs/>
          <w:sz w:val="28"/>
          <w:szCs w:val="28"/>
          <w:lang w:eastAsia="zh-CN"/>
        </w:rPr>
        <w:t>甲方</w:t>
      </w:r>
      <w:r>
        <w:rPr>
          <w:rFonts w:hint="eastAsia" w:ascii="仿宋_GB2312" w:hAnsi="仿宋" w:eastAsia="仿宋_GB2312"/>
          <w:bCs/>
          <w:sz w:val="28"/>
          <w:szCs w:val="28"/>
        </w:rPr>
        <w:t>每天的正常需要（在同等条件下优先)。</w:t>
      </w:r>
    </w:p>
    <w:p w14:paraId="2AC45554">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0" w:firstLineChars="200"/>
        <w:jc w:val="both"/>
        <w:textAlignment w:val="auto"/>
        <w:outlineLvl w:val="9"/>
        <w:rPr>
          <w:rFonts w:hint="eastAsia" w:ascii="仿宋_GB2312" w:hAnsi="仿宋" w:eastAsia="仿宋_GB2312"/>
          <w:bCs/>
          <w:sz w:val="28"/>
          <w:szCs w:val="28"/>
        </w:rPr>
      </w:pPr>
      <w:r>
        <w:rPr>
          <w:rFonts w:hint="eastAsia" w:ascii="仿宋_GB2312" w:hAnsi="仿宋" w:eastAsia="仿宋_GB2312"/>
          <w:bCs/>
          <w:sz w:val="28"/>
          <w:szCs w:val="28"/>
        </w:rPr>
        <w:t>（四）如</w:t>
      </w:r>
      <w:r>
        <w:rPr>
          <w:rFonts w:hint="eastAsia" w:ascii="仿宋_GB2312" w:hAnsi="仿宋" w:eastAsia="仿宋_GB2312"/>
          <w:bCs/>
          <w:sz w:val="28"/>
          <w:szCs w:val="28"/>
          <w:lang w:eastAsia="zh-CN"/>
        </w:rPr>
        <w:t>乙方</w:t>
      </w:r>
      <w:r>
        <w:rPr>
          <w:rFonts w:hint="eastAsia" w:ascii="仿宋_GB2312" w:hAnsi="仿宋" w:eastAsia="仿宋_GB2312"/>
          <w:bCs/>
          <w:sz w:val="28"/>
          <w:szCs w:val="28"/>
        </w:rPr>
        <w:t>出现供油能力不足的现象或者因特殊原因有影响</w:t>
      </w:r>
      <w:r>
        <w:rPr>
          <w:rFonts w:hint="eastAsia" w:ascii="仿宋_GB2312" w:hAnsi="仿宋" w:eastAsia="仿宋_GB2312"/>
          <w:bCs/>
          <w:sz w:val="28"/>
          <w:szCs w:val="28"/>
          <w:lang w:eastAsia="zh-CN"/>
        </w:rPr>
        <w:t>甲方</w:t>
      </w:r>
      <w:r>
        <w:rPr>
          <w:rFonts w:hint="eastAsia" w:ascii="仿宋_GB2312" w:hAnsi="仿宋" w:eastAsia="仿宋_GB2312"/>
          <w:bCs/>
          <w:sz w:val="28"/>
          <w:szCs w:val="28"/>
        </w:rPr>
        <w:t>正常加油时，</w:t>
      </w:r>
      <w:r>
        <w:rPr>
          <w:rFonts w:hint="eastAsia" w:ascii="仿宋_GB2312" w:hAnsi="仿宋" w:eastAsia="仿宋_GB2312"/>
          <w:bCs/>
          <w:sz w:val="28"/>
          <w:szCs w:val="28"/>
          <w:lang w:eastAsia="zh-CN"/>
        </w:rPr>
        <w:t>乙方</w:t>
      </w:r>
      <w:r>
        <w:rPr>
          <w:rFonts w:hint="eastAsia" w:ascii="仿宋_GB2312" w:hAnsi="仿宋" w:eastAsia="仿宋_GB2312"/>
          <w:bCs/>
          <w:sz w:val="28"/>
          <w:szCs w:val="28"/>
        </w:rPr>
        <w:t>应立即书面通知</w:t>
      </w:r>
      <w:r>
        <w:rPr>
          <w:rFonts w:hint="eastAsia" w:ascii="仿宋_GB2312" w:hAnsi="仿宋" w:eastAsia="仿宋_GB2312"/>
          <w:bCs/>
          <w:sz w:val="28"/>
          <w:szCs w:val="28"/>
          <w:lang w:eastAsia="zh-CN"/>
        </w:rPr>
        <w:t>甲方</w:t>
      </w:r>
      <w:r>
        <w:rPr>
          <w:rFonts w:hint="eastAsia" w:ascii="仿宋_GB2312" w:hAnsi="仿宋" w:eastAsia="仿宋_GB2312"/>
          <w:bCs/>
          <w:sz w:val="28"/>
          <w:szCs w:val="28"/>
        </w:rPr>
        <w:t>，并与</w:t>
      </w:r>
      <w:r>
        <w:rPr>
          <w:rFonts w:hint="eastAsia" w:ascii="仿宋_GB2312" w:hAnsi="仿宋" w:eastAsia="仿宋_GB2312"/>
          <w:bCs/>
          <w:sz w:val="28"/>
          <w:szCs w:val="28"/>
          <w:lang w:eastAsia="zh-CN"/>
        </w:rPr>
        <w:t>甲方</w:t>
      </w:r>
      <w:r>
        <w:rPr>
          <w:rFonts w:hint="eastAsia" w:ascii="仿宋_GB2312" w:hAnsi="仿宋" w:eastAsia="仿宋_GB2312"/>
          <w:bCs/>
          <w:sz w:val="28"/>
          <w:szCs w:val="28"/>
        </w:rPr>
        <w:t>积极妥善协商解决。</w:t>
      </w:r>
      <w:r>
        <w:rPr>
          <w:rFonts w:hint="eastAsia" w:ascii="仿宋_GB2312" w:hAnsi="仿宋" w:eastAsia="仿宋_GB2312"/>
          <w:bCs/>
          <w:sz w:val="28"/>
          <w:szCs w:val="28"/>
          <w:lang w:eastAsia="zh-CN"/>
        </w:rPr>
        <w:t>乙方</w:t>
      </w:r>
      <w:r>
        <w:rPr>
          <w:rFonts w:hint="eastAsia" w:ascii="仿宋_GB2312" w:hAnsi="仿宋" w:eastAsia="仿宋_GB2312"/>
          <w:bCs/>
          <w:sz w:val="28"/>
          <w:szCs w:val="28"/>
        </w:rPr>
        <w:t>应协调公司内其他油站或者其他关系油站进行供油，最大限度保证</w:t>
      </w:r>
      <w:r>
        <w:rPr>
          <w:rFonts w:hint="eastAsia" w:ascii="仿宋_GB2312" w:hAnsi="仿宋" w:eastAsia="仿宋_GB2312"/>
          <w:bCs/>
          <w:sz w:val="28"/>
          <w:szCs w:val="28"/>
          <w:lang w:eastAsia="zh-CN"/>
        </w:rPr>
        <w:t>甲方</w:t>
      </w:r>
      <w:r>
        <w:rPr>
          <w:rFonts w:hint="eastAsia" w:ascii="仿宋_GB2312" w:hAnsi="仿宋" w:eastAsia="仿宋_GB2312"/>
          <w:bCs/>
          <w:sz w:val="28"/>
          <w:szCs w:val="28"/>
        </w:rPr>
        <w:t>车辆的正常加油需求。</w:t>
      </w:r>
    </w:p>
    <w:p w14:paraId="3ACF97ED">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0" w:firstLineChars="200"/>
        <w:jc w:val="both"/>
        <w:textAlignment w:val="auto"/>
        <w:outlineLvl w:val="9"/>
        <w:rPr>
          <w:rFonts w:hint="eastAsia" w:ascii="仿宋_GB2312" w:hAnsi="仿宋" w:eastAsia="仿宋_GB2312"/>
          <w:bCs/>
          <w:sz w:val="28"/>
          <w:szCs w:val="28"/>
        </w:rPr>
      </w:pPr>
      <w:r>
        <w:rPr>
          <w:rFonts w:hint="eastAsia" w:ascii="仿宋_GB2312" w:hAnsi="仿宋" w:eastAsia="仿宋_GB2312"/>
          <w:bCs/>
          <w:sz w:val="28"/>
          <w:szCs w:val="28"/>
        </w:rPr>
        <w:t>（五）</w:t>
      </w:r>
      <w:r>
        <w:rPr>
          <w:rFonts w:hint="eastAsia" w:ascii="仿宋_GB2312" w:hAnsi="仿宋" w:eastAsia="仿宋_GB2312"/>
          <w:bCs/>
          <w:sz w:val="28"/>
          <w:szCs w:val="28"/>
          <w:lang w:eastAsia="zh-CN"/>
        </w:rPr>
        <w:t>乙方</w:t>
      </w:r>
      <w:r>
        <w:rPr>
          <w:rFonts w:hint="eastAsia" w:ascii="仿宋_GB2312" w:hAnsi="仿宋" w:eastAsia="仿宋_GB2312"/>
          <w:bCs/>
          <w:sz w:val="28"/>
          <w:szCs w:val="28"/>
        </w:rPr>
        <w:t>不得在未经双方协商一致并签订书面协议的情况下将本合同项下的义务转让或分包给任何第三人。</w:t>
      </w:r>
    </w:p>
    <w:p w14:paraId="2A2421C7">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2" w:firstLineChars="200"/>
        <w:jc w:val="both"/>
        <w:textAlignment w:val="auto"/>
        <w:outlineLvl w:val="9"/>
        <w:rPr>
          <w:rFonts w:hint="default" w:ascii="仿宋_GB2312" w:hAnsi="仿宋" w:eastAsia="仿宋_GB2312" w:cs="Times New Roman"/>
          <w:b/>
          <w:bCs/>
          <w:color w:val="000000"/>
          <w:sz w:val="28"/>
          <w:szCs w:val="28"/>
          <w:highlight w:val="none"/>
          <w:lang w:val="en-US" w:eastAsia="zh-CN"/>
        </w:rPr>
      </w:pPr>
      <w:r>
        <w:rPr>
          <w:rFonts w:hint="eastAsia" w:ascii="仿宋_GB2312" w:hAnsi="仿宋" w:eastAsia="仿宋_GB2312" w:cs="Times New Roman"/>
          <w:b/>
          <w:bCs/>
          <w:color w:val="000000"/>
          <w:sz w:val="28"/>
          <w:szCs w:val="28"/>
          <w:highlight w:val="none"/>
          <w:lang w:val="en-US" w:eastAsia="zh-CN"/>
        </w:rPr>
        <w:t>七、相关资料提交</w:t>
      </w:r>
    </w:p>
    <w:p w14:paraId="0A0F34E8">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0" w:firstLineChars="200"/>
        <w:jc w:val="both"/>
        <w:textAlignment w:val="auto"/>
        <w:outlineLvl w:val="9"/>
        <w:rPr>
          <w:rFonts w:hint="eastAsia" w:ascii="仿宋_GB2312" w:hAnsi="仿宋" w:eastAsia="仿宋_GB2312"/>
          <w:bCs/>
          <w:sz w:val="28"/>
          <w:szCs w:val="28"/>
          <w:lang w:val="en-US" w:eastAsia="zh-CN"/>
        </w:rPr>
      </w:pPr>
      <w:r>
        <w:rPr>
          <w:rFonts w:hint="eastAsia" w:ascii="仿宋_GB2312" w:hAnsi="仿宋" w:eastAsia="仿宋_GB2312"/>
          <w:bCs/>
          <w:sz w:val="28"/>
          <w:szCs w:val="28"/>
          <w:lang w:val="en-US" w:eastAsia="zh-CN"/>
        </w:rPr>
        <w:t>（一）本合同签订后，甲方应如实填写《车辆证明资料》，并加盖甲方合同专用章或公章后提交给乙方，作为本协议附件交付乙方存档备查。《车辆证明资料》列清甲方记账车辆车牌号码、内部自编号、车型等基本资料。</w:t>
      </w:r>
    </w:p>
    <w:p w14:paraId="6CEFE01D">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0" w:firstLineChars="200"/>
        <w:jc w:val="both"/>
        <w:textAlignment w:val="auto"/>
        <w:outlineLvl w:val="9"/>
        <w:rPr>
          <w:rFonts w:hint="eastAsia" w:ascii="仿宋_GB2312" w:hAnsi="仿宋" w:eastAsia="仿宋_GB2312"/>
          <w:bCs/>
          <w:sz w:val="28"/>
          <w:szCs w:val="28"/>
          <w:lang w:val="en-US" w:eastAsia="zh-CN"/>
        </w:rPr>
      </w:pPr>
      <w:r>
        <w:rPr>
          <w:rFonts w:hint="eastAsia" w:ascii="仿宋_GB2312" w:hAnsi="仿宋" w:eastAsia="仿宋_GB2312"/>
          <w:bCs/>
          <w:sz w:val="28"/>
          <w:szCs w:val="28"/>
          <w:lang w:val="en-US" w:eastAsia="zh-CN"/>
        </w:rPr>
        <w:t>（二）甲方根据业务情况需增减记账车辆时，必须以书面形式通知乙方，双方共同在《车辆证明资料》上确认相应的变更记录。</w:t>
      </w:r>
    </w:p>
    <w:p w14:paraId="08B396CA">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0" w:firstLineChars="200"/>
        <w:jc w:val="both"/>
        <w:textAlignment w:val="auto"/>
        <w:outlineLvl w:val="9"/>
        <w:rPr>
          <w:rFonts w:hint="eastAsia" w:ascii="仿宋_GB2312" w:hAnsi="仿宋" w:eastAsia="仿宋_GB2312"/>
          <w:bCs/>
          <w:sz w:val="28"/>
          <w:szCs w:val="28"/>
        </w:rPr>
      </w:pPr>
      <w:r>
        <w:rPr>
          <w:rFonts w:hint="eastAsia" w:ascii="仿宋_GB2312" w:hAnsi="仿宋" w:eastAsia="仿宋_GB2312"/>
          <w:bCs/>
          <w:sz w:val="28"/>
          <w:szCs w:val="28"/>
          <w:lang w:val="en-US" w:eastAsia="zh-CN"/>
        </w:rPr>
        <w:t>（三）对没有列入《车辆证明资料》及其变更记录的车辆，乙方在得到甲方指定人员书面确认后为其提供加油服务。甲方须在本合同生效之日起5日内将指定专职人员的名单提供给乙方</w:t>
      </w:r>
      <w:r>
        <w:rPr>
          <w:rFonts w:hint="eastAsia" w:ascii="仿宋_GB2312" w:hAnsi="仿宋" w:eastAsia="仿宋_GB2312"/>
          <w:bCs/>
          <w:sz w:val="28"/>
          <w:szCs w:val="28"/>
        </w:rPr>
        <w:t>。</w:t>
      </w:r>
    </w:p>
    <w:p w14:paraId="74B89179">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lang w:val="en-US" w:eastAsia="zh-CN"/>
        </w:rPr>
        <w:t>八</w:t>
      </w:r>
      <w:r>
        <w:rPr>
          <w:rFonts w:hint="eastAsia" w:ascii="仿宋_GB2312" w:hAnsi="仿宋" w:eastAsia="仿宋_GB2312"/>
          <w:b/>
          <w:bCs w:val="0"/>
          <w:sz w:val="28"/>
          <w:szCs w:val="28"/>
        </w:rPr>
        <w:t>、</w:t>
      </w:r>
      <w:r>
        <w:rPr>
          <w:rFonts w:hint="eastAsia" w:ascii="仿宋_GB2312" w:hAnsi="仿宋" w:eastAsia="仿宋_GB2312"/>
          <w:b/>
          <w:bCs w:val="0"/>
          <w:sz w:val="28"/>
          <w:szCs w:val="28"/>
          <w:lang w:val="en-US" w:eastAsia="zh-CN"/>
        </w:rPr>
        <w:t>保密条款</w:t>
      </w:r>
    </w:p>
    <w:p w14:paraId="5EC67EEA">
      <w:pPr>
        <w:autoSpaceDE w:val="0"/>
        <w:autoSpaceDN w:val="0"/>
        <w:adjustRightInd w:val="0"/>
        <w:snapToGrid w:val="0"/>
        <w:spacing w:line="360" w:lineRule="auto"/>
        <w:ind w:firstLine="560" w:firstLineChars="200"/>
        <w:rPr>
          <w:rFonts w:hint="eastAsia" w:ascii="仿宋_GB2312" w:hAnsi="仿宋" w:eastAsia="仿宋_GB2312"/>
          <w:bCs/>
          <w:sz w:val="28"/>
          <w:szCs w:val="28"/>
          <w:lang w:val="en-US" w:eastAsia="zh-CN"/>
        </w:rPr>
      </w:pPr>
      <w:r>
        <w:rPr>
          <w:rFonts w:hint="eastAsia" w:ascii="仿宋_GB2312" w:hAnsi="仿宋" w:eastAsia="仿宋_GB2312"/>
          <w:bCs/>
          <w:sz w:val="28"/>
          <w:szCs w:val="28"/>
          <w:lang w:val="en-US" w:eastAsia="zh-CN"/>
        </w:rPr>
        <w:t>（一）甲乙双方在合同订立和履行过程中所知悉的、对方的商业秘密、工作秘密、技术信息、经营信息等均有保密义务。本合同履行完成或在履行的过程中，未经对方书面同意，不得向任何第三方披露或透露有关本合同内容项下的任何信息。如发生以上情况，泄密方承担一切由此引起的后果并承担赔偿责任。</w:t>
      </w:r>
    </w:p>
    <w:p w14:paraId="73359C91">
      <w:pPr>
        <w:autoSpaceDE w:val="0"/>
        <w:autoSpaceDN w:val="0"/>
        <w:adjustRightInd w:val="0"/>
        <w:snapToGrid w:val="0"/>
        <w:spacing w:line="360" w:lineRule="auto"/>
        <w:ind w:firstLine="560" w:firstLineChars="200"/>
        <w:rPr>
          <w:rFonts w:hint="eastAsia" w:ascii="仿宋_GB2312" w:hAnsi="仿宋" w:eastAsia="仿宋_GB2312"/>
          <w:bCs/>
          <w:sz w:val="28"/>
          <w:szCs w:val="28"/>
          <w:lang w:val="en-US" w:eastAsia="zh-CN"/>
        </w:rPr>
      </w:pPr>
      <w:r>
        <w:rPr>
          <w:rFonts w:hint="eastAsia" w:ascii="仿宋_GB2312" w:hAnsi="仿宋" w:eastAsia="仿宋_GB2312"/>
          <w:bCs/>
          <w:sz w:val="28"/>
          <w:szCs w:val="28"/>
          <w:lang w:val="en-US" w:eastAsia="zh-CN"/>
        </w:rPr>
        <w:t>（二）除本合同规定之工作所需外，未经对方事先书面同意，一方不得擅自使用、复制对方的商标、标志、商业信息、技术及其他资料。于本合同终止之日，甲乙双方有权要求对方返还或销毁其所提供的资料。</w:t>
      </w:r>
    </w:p>
    <w:p w14:paraId="438E3C54">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lang w:val="en-US" w:eastAsia="zh-CN"/>
        </w:rPr>
        <w:t>（三）本保密条款长期有效，无论出现本合同变更、终止或解除等情形，均不影响本条款的效力</w:t>
      </w:r>
    </w:p>
    <w:p w14:paraId="255D4D0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2" w:firstLineChars="200"/>
        <w:textAlignment w:val="baseline"/>
        <w:rPr>
          <w:rFonts w:hint="eastAsia" w:ascii="仿宋_GB2312" w:hAnsi="仿宋" w:eastAsia="仿宋_GB2312"/>
          <w:b/>
          <w:bCs w:val="0"/>
          <w:sz w:val="28"/>
          <w:szCs w:val="28"/>
        </w:rPr>
      </w:pPr>
      <w:r>
        <w:rPr>
          <w:rFonts w:hint="eastAsia" w:ascii="仿宋_GB2312" w:hAnsi="仿宋" w:eastAsia="仿宋_GB2312"/>
          <w:b/>
          <w:bCs w:val="0"/>
          <w:sz w:val="28"/>
          <w:szCs w:val="28"/>
          <w:lang w:val="en-US" w:eastAsia="zh-CN"/>
        </w:rPr>
        <w:t>九、</w:t>
      </w:r>
      <w:r>
        <w:rPr>
          <w:rFonts w:hint="eastAsia" w:ascii="仿宋_GB2312" w:hAnsi="仿宋" w:eastAsia="仿宋_GB2312"/>
          <w:b/>
          <w:bCs w:val="0"/>
          <w:sz w:val="28"/>
          <w:szCs w:val="28"/>
        </w:rPr>
        <w:t>违约责任</w:t>
      </w:r>
    </w:p>
    <w:p w14:paraId="663B6C6A">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rPr>
      </w:pPr>
      <w:r>
        <w:rPr>
          <w:rFonts w:hint="eastAsia" w:ascii="仿宋_GB2312" w:hAnsi="仿宋" w:eastAsia="仿宋_GB2312"/>
          <w:bCs/>
          <w:sz w:val="28"/>
          <w:szCs w:val="28"/>
        </w:rPr>
        <w:t>（一）本合同一经签定，</w:t>
      </w:r>
      <w:r>
        <w:rPr>
          <w:rFonts w:hint="eastAsia" w:ascii="仿宋_GB2312" w:hAnsi="仿宋" w:eastAsia="仿宋_GB2312"/>
          <w:bCs/>
          <w:sz w:val="28"/>
          <w:szCs w:val="28"/>
          <w:lang w:eastAsia="zh-CN"/>
        </w:rPr>
        <w:t>甲</w:t>
      </w:r>
      <w:r>
        <w:rPr>
          <w:rFonts w:hint="eastAsia" w:ascii="仿宋_GB2312" w:hAnsi="仿宋" w:eastAsia="仿宋_GB2312"/>
          <w:bCs/>
          <w:sz w:val="28"/>
          <w:szCs w:val="28"/>
        </w:rPr>
        <w:t>、</w:t>
      </w:r>
      <w:r>
        <w:rPr>
          <w:rFonts w:hint="eastAsia" w:ascii="仿宋_GB2312" w:hAnsi="仿宋" w:eastAsia="仿宋_GB2312"/>
          <w:bCs/>
          <w:sz w:val="28"/>
          <w:szCs w:val="28"/>
          <w:lang w:eastAsia="zh-CN"/>
        </w:rPr>
        <w:t>乙</w:t>
      </w:r>
      <w:r>
        <w:rPr>
          <w:rFonts w:hint="eastAsia" w:ascii="仿宋_GB2312" w:hAnsi="仿宋" w:eastAsia="仿宋_GB2312"/>
          <w:bCs/>
          <w:sz w:val="28"/>
          <w:szCs w:val="28"/>
        </w:rPr>
        <w:t>双方应认真自觉遵守，全面履行本合同约定的内容,不得擅自变更、终止合同。除本条另有约定外，如</w:t>
      </w:r>
      <w:r>
        <w:rPr>
          <w:rFonts w:hint="eastAsia" w:ascii="仿宋_GB2312" w:hAnsi="仿宋" w:eastAsia="仿宋_GB2312"/>
          <w:bCs/>
          <w:sz w:val="28"/>
          <w:szCs w:val="28"/>
          <w:lang w:eastAsia="zh-CN"/>
        </w:rPr>
        <w:t>甲</w:t>
      </w:r>
      <w:r>
        <w:rPr>
          <w:rFonts w:hint="eastAsia" w:ascii="仿宋_GB2312" w:hAnsi="仿宋" w:eastAsia="仿宋_GB2312"/>
          <w:bCs/>
          <w:sz w:val="28"/>
          <w:szCs w:val="28"/>
        </w:rPr>
        <w:t>、</w:t>
      </w:r>
      <w:r>
        <w:rPr>
          <w:rFonts w:hint="eastAsia" w:ascii="仿宋_GB2312" w:hAnsi="仿宋" w:eastAsia="仿宋_GB2312"/>
          <w:bCs/>
          <w:sz w:val="28"/>
          <w:szCs w:val="28"/>
          <w:lang w:eastAsia="zh-CN"/>
        </w:rPr>
        <w:t>乙</w:t>
      </w:r>
      <w:r>
        <w:rPr>
          <w:rFonts w:hint="eastAsia" w:ascii="仿宋_GB2312" w:hAnsi="仿宋" w:eastAsia="仿宋_GB2312"/>
          <w:bCs/>
          <w:sz w:val="28"/>
          <w:szCs w:val="28"/>
        </w:rPr>
        <w:t>双方任何一方违反本合同或其附属、补充条款约定的，应承担违约责任，违约方应按本合同约定总费用的【5】%向守约方支付违约金。如果违约行为给对方造成损失，应该赔偿对方经济损失，守约方的经济损失包括但不限于守约方为追究违约方违约责任而支付的诉讼费、律师费、差旅费、鉴定费等费用。</w:t>
      </w:r>
    </w:p>
    <w:p w14:paraId="1A3BE08F">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（二）如</w:t>
      </w:r>
      <w:r>
        <w:rPr>
          <w:rFonts w:hint="eastAsia" w:ascii="仿宋_GB2312" w:hAnsi="仿宋" w:eastAsia="仿宋_GB2312"/>
          <w:bCs/>
          <w:sz w:val="28"/>
          <w:szCs w:val="28"/>
          <w:lang w:eastAsia="zh-CN"/>
        </w:rPr>
        <w:t>乙方</w:t>
      </w:r>
      <w:r>
        <w:rPr>
          <w:rFonts w:hint="eastAsia" w:ascii="仿宋_GB2312" w:hAnsi="仿宋" w:eastAsia="仿宋_GB2312"/>
          <w:bCs/>
          <w:sz w:val="28"/>
          <w:szCs w:val="28"/>
        </w:rPr>
        <w:t>交付的油品规格、质量标准与合同规定不符时，</w:t>
      </w:r>
      <w:r>
        <w:rPr>
          <w:rFonts w:hint="eastAsia" w:ascii="仿宋_GB2312" w:hAnsi="仿宋" w:eastAsia="仿宋_GB2312"/>
          <w:bCs/>
          <w:sz w:val="28"/>
          <w:szCs w:val="28"/>
          <w:lang w:eastAsia="zh-CN"/>
        </w:rPr>
        <w:t>乙方</w:t>
      </w:r>
      <w:r>
        <w:rPr>
          <w:rFonts w:hint="eastAsia" w:ascii="仿宋_GB2312" w:hAnsi="仿宋" w:eastAsia="仿宋_GB2312"/>
          <w:bCs/>
          <w:sz w:val="28"/>
          <w:szCs w:val="28"/>
        </w:rPr>
        <w:t>须按本合同约定已经发生费用总额的【20】%向</w:t>
      </w:r>
      <w:r>
        <w:rPr>
          <w:rFonts w:hint="eastAsia" w:ascii="仿宋_GB2312" w:hAnsi="仿宋" w:eastAsia="仿宋_GB2312"/>
          <w:bCs/>
          <w:sz w:val="28"/>
          <w:szCs w:val="28"/>
          <w:lang w:eastAsia="zh-CN"/>
        </w:rPr>
        <w:t>甲方</w:t>
      </w:r>
      <w:r>
        <w:rPr>
          <w:rFonts w:hint="eastAsia" w:ascii="仿宋_GB2312" w:hAnsi="仿宋" w:eastAsia="仿宋_GB2312"/>
          <w:bCs/>
          <w:sz w:val="28"/>
          <w:szCs w:val="28"/>
        </w:rPr>
        <w:t>支付违约金；如</w:t>
      </w:r>
      <w:r>
        <w:rPr>
          <w:rFonts w:hint="eastAsia" w:ascii="仿宋_GB2312" w:hAnsi="仿宋" w:eastAsia="仿宋_GB2312"/>
          <w:bCs/>
          <w:sz w:val="28"/>
          <w:szCs w:val="28"/>
          <w:lang w:eastAsia="zh-CN"/>
        </w:rPr>
        <w:t>甲方</w:t>
      </w:r>
      <w:r>
        <w:rPr>
          <w:rFonts w:hint="eastAsia" w:ascii="仿宋_GB2312" w:hAnsi="仿宋" w:eastAsia="仿宋_GB2312"/>
          <w:bCs/>
          <w:sz w:val="28"/>
          <w:szCs w:val="28"/>
        </w:rPr>
        <w:t>两次或两次以上发现</w:t>
      </w:r>
      <w:r>
        <w:rPr>
          <w:rFonts w:hint="eastAsia" w:ascii="仿宋_GB2312" w:hAnsi="仿宋" w:eastAsia="仿宋_GB2312"/>
          <w:bCs/>
          <w:sz w:val="28"/>
          <w:szCs w:val="28"/>
          <w:lang w:eastAsia="zh-CN"/>
        </w:rPr>
        <w:t>乙方</w:t>
      </w:r>
      <w:r>
        <w:rPr>
          <w:rFonts w:hint="eastAsia" w:ascii="仿宋_GB2312" w:hAnsi="仿宋" w:eastAsia="仿宋_GB2312"/>
          <w:bCs/>
          <w:sz w:val="28"/>
          <w:szCs w:val="28"/>
        </w:rPr>
        <w:t>交付的油品规格、质量标准与合同规定不符的，视为</w:t>
      </w:r>
      <w:r>
        <w:rPr>
          <w:rFonts w:hint="eastAsia" w:ascii="仿宋_GB2312" w:hAnsi="仿宋" w:eastAsia="仿宋_GB2312"/>
          <w:bCs/>
          <w:sz w:val="28"/>
          <w:szCs w:val="28"/>
          <w:lang w:eastAsia="zh-CN"/>
        </w:rPr>
        <w:t>乙方</w:t>
      </w:r>
      <w:r>
        <w:rPr>
          <w:rFonts w:hint="eastAsia" w:ascii="仿宋_GB2312" w:hAnsi="仿宋" w:eastAsia="仿宋_GB2312"/>
          <w:bCs/>
          <w:sz w:val="28"/>
          <w:szCs w:val="28"/>
        </w:rPr>
        <w:t>根本违约，</w:t>
      </w:r>
      <w:r>
        <w:rPr>
          <w:rFonts w:hint="eastAsia" w:ascii="仿宋_GB2312" w:hAnsi="仿宋" w:eastAsia="仿宋_GB2312"/>
          <w:bCs/>
          <w:sz w:val="28"/>
          <w:szCs w:val="28"/>
          <w:lang w:eastAsia="zh-CN"/>
        </w:rPr>
        <w:t>甲方</w:t>
      </w:r>
      <w:r>
        <w:rPr>
          <w:rFonts w:hint="eastAsia" w:ascii="仿宋_GB2312" w:hAnsi="仿宋" w:eastAsia="仿宋_GB2312"/>
          <w:bCs/>
          <w:sz w:val="28"/>
          <w:szCs w:val="28"/>
        </w:rPr>
        <w:t>有权单方面解除合同，</w:t>
      </w:r>
      <w:r>
        <w:rPr>
          <w:rFonts w:hint="eastAsia" w:ascii="仿宋_GB2312" w:hAnsi="仿宋" w:eastAsia="仿宋_GB2312"/>
          <w:bCs/>
          <w:sz w:val="28"/>
          <w:szCs w:val="28"/>
          <w:lang w:eastAsia="zh-CN"/>
        </w:rPr>
        <w:t>乙方</w:t>
      </w:r>
      <w:r>
        <w:rPr>
          <w:rFonts w:hint="eastAsia" w:ascii="仿宋_GB2312" w:hAnsi="仿宋" w:eastAsia="仿宋_GB2312"/>
          <w:bCs/>
          <w:sz w:val="28"/>
          <w:szCs w:val="28"/>
        </w:rPr>
        <w:t>应按本合同约定已经发生费用总额的【20】%向</w:t>
      </w:r>
      <w:r>
        <w:rPr>
          <w:rFonts w:hint="eastAsia" w:ascii="仿宋_GB2312" w:hAnsi="仿宋" w:eastAsia="仿宋_GB2312"/>
          <w:bCs/>
          <w:sz w:val="28"/>
          <w:szCs w:val="28"/>
          <w:lang w:eastAsia="zh-CN"/>
        </w:rPr>
        <w:t>甲方</w:t>
      </w:r>
      <w:r>
        <w:rPr>
          <w:rFonts w:hint="eastAsia" w:ascii="仿宋_GB2312" w:hAnsi="仿宋" w:eastAsia="仿宋_GB2312"/>
          <w:bCs/>
          <w:sz w:val="28"/>
          <w:szCs w:val="28"/>
        </w:rPr>
        <w:t>支付违约金。如导致</w:t>
      </w:r>
      <w:r>
        <w:rPr>
          <w:rFonts w:hint="eastAsia" w:ascii="仿宋_GB2312" w:hAnsi="仿宋" w:eastAsia="仿宋_GB2312"/>
          <w:bCs/>
          <w:sz w:val="28"/>
          <w:szCs w:val="28"/>
          <w:lang w:eastAsia="zh-CN"/>
        </w:rPr>
        <w:t>甲方</w:t>
      </w:r>
      <w:r>
        <w:rPr>
          <w:rFonts w:hint="eastAsia" w:ascii="仿宋_GB2312" w:hAnsi="仿宋" w:eastAsia="仿宋_GB2312"/>
          <w:bCs/>
          <w:sz w:val="28"/>
          <w:szCs w:val="28"/>
        </w:rPr>
        <w:t>车辆损坏、故障的，</w:t>
      </w:r>
      <w:r>
        <w:rPr>
          <w:rFonts w:hint="eastAsia" w:ascii="仿宋_GB2312" w:hAnsi="仿宋" w:eastAsia="仿宋_GB2312"/>
          <w:bCs/>
          <w:sz w:val="28"/>
          <w:szCs w:val="28"/>
          <w:lang w:eastAsia="zh-CN"/>
        </w:rPr>
        <w:t>乙方</w:t>
      </w:r>
      <w:r>
        <w:rPr>
          <w:rFonts w:hint="eastAsia" w:ascii="仿宋_GB2312" w:hAnsi="仿宋" w:eastAsia="仿宋_GB2312"/>
          <w:bCs/>
          <w:sz w:val="28"/>
          <w:szCs w:val="28"/>
        </w:rPr>
        <w:t>应承担全部维修费用和因此引起的损失。</w:t>
      </w:r>
    </w:p>
    <w:p w14:paraId="588DD87E">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（三）如</w:t>
      </w:r>
      <w:r>
        <w:rPr>
          <w:rFonts w:hint="eastAsia" w:ascii="仿宋_GB2312" w:hAnsi="仿宋" w:eastAsia="仿宋_GB2312"/>
          <w:bCs/>
          <w:sz w:val="28"/>
          <w:szCs w:val="28"/>
          <w:lang w:eastAsia="zh-CN"/>
        </w:rPr>
        <w:t>乙方</w:t>
      </w:r>
      <w:r>
        <w:rPr>
          <w:rFonts w:hint="eastAsia" w:ascii="仿宋_GB2312" w:hAnsi="仿宋" w:eastAsia="仿宋_GB2312"/>
          <w:bCs/>
          <w:sz w:val="28"/>
          <w:szCs w:val="28"/>
        </w:rPr>
        <w:t>在未经双方协商一致的情况下将成交业务转让给他人或者单位的，视为</w:t>
      </w:r>
      <w:r>
        <w:rPr>
          <w:rFonts w:hint="eastAsia" w:ascii="仿宋_GB2312" w:hAnsi="仿宋" w:eastAsia="仿宋_GB2312"/>
          <w:bCs/>
          <w:sz w:val="28"/>
          <w:szCs w:val="28"/>
          <w:lang w:eastAsia="zh-CN"/>
        </w:rPr>
        <w:t>乙方</w:t>
      </w:r>
      <w:r>
        <w:rPr>
          <w:rFonts w:hint="eastAsia" w:ascii="仿宋_GB2312" w:hAnsi="仿宋" w:eastAsia="仿宋_GB2312"/>
          <w:bCs/>
          <w:sz w:val="28"/>
          <w:szCs w:val="28"/>
        </w:rPr>
        <w:t>根本违约，</w:t>
      </w:r>
      <w:r>
        <w:rPr>
          <w:rFonts w:hint="eastAsia" w:ascii="仿宋_GB2312" w:hAnsi="仿宋" w:eastAsia="仿宋_GB2312"/>
          <w:bCs/>
          <w:sz w:val="28"/>
          <w:szCs w:val="28"/>
          <w:lang w:eastAsia="zh-CN"/>
        </w:rPr>
        <w:t>甲方</w:t>
      </w:r>
      <w:r>
        <w:rPr>
          <w:rFonts w:hint="eastAsia" w:ascii="仿宋_GB2312" w:hAnsi="仿宋" w:eastAsia="仿宋_GB2312"/>
          <w:bCs/>
          <w:sz w:val="28"/>
          <w:szCs w:val="28"/>
        </w:rPr>
        <w:t>有权单方面解除合同，</w:t>
      </w:r>
      <w:r>
        <w:rPr>
          <w:rFonts w:hint="eastAsia" w:ascii="仿宋_GB2312" w:hAnsi="仿宋" w:eastAsia="仿宋_GB2312"/>
          <w:bCs/>
          <w:sz w:val="28"/>
          <w:szCs w:val="28"/>
          <w:lang w:eastAsia="zh-CN"/>
        </w:rPr>
        <w:t>乙方</w:t>
      </w:r>
      <w:r>
        <w:rPr>
          <w:rFonts w:hint="eastAsia" w:ascii="仿宋_GB2312" w:hAnsi="仿宋" w:eastAsia="仿宋_GB2312"/>
          <w:bCs/>
          <w:sz w:val="28"/>
          <w:szCs w:val="28"/>
        </w:rPr>
        <w:t>应按本合同约定已经发生费用总额的【50】%向</w:t>
      </w:r>
      <w:r>
        <w:rPr>
          <w:rFonts w:hint="eastAsia" w:ascii="仿宋_GB2312" w:hAnsi="仿宋" w:eastAsia="仿宋_GB2312"/>
          <w:bCs/>
          <w:sz w:val="28"/>
          <w:szCs w:val="28"/>
          <w:lang w:eastAsia="zh-CN"/>
        </w:rPr>
        <w:t>甲方</w:t>
      </w:r>
      <w:r>
        <w:rPr>
          <w:rFonts w:hint="eastAsia" w:ascii="仿宋_GB2312" w:hAnsi="仿宋" w:eastAsia="仿宋_GB2312"/>
          <w:bCs/>
          <w:sz w:val="28"/>
          <w:szCs w:val="28"/>
        </w:rPr>
        <w:t>支付违约金。如违约金不足以弥补</w:t>
      </w:r>
      <w:r>
        <w:rPr>
          <w:rFonts w:hint="eastAsia" w:ascii="仿宋_GB2312" w:hAnsi="仿宋" w:eastAsia="仿宋_GB2312"/>
          <w:bCs/>
          <w:sz w:val="28"/>
          <w:szCs w:val="28"/>
          <w:lang w:eastAsia="zh-CN"/>
        </w:rPr>
        <w:t>甲方</w:t>
      </w:r>
      <w:r>
        <w:rPr>
          <w:rFonts w:hint="eastAsia" w:ascii="仿宋_GB2312" w:hAnsi="仿宋" w:eastAsia="仿宋_GB2312"/>
          <w:bCs/>
          <w:sz w:val="28"/>
          <w:szCs w:val="28"/>
        </w:rPr>
        <w:t>因此造成的损失的，</w:t>
      </w:r>
      <w:r>
        <w:rPr>
          <w:rFonts w:hint="eastAsia" w:ascii="仿宋_GB2312" w:hAnsi="仿宋" w:eastAsia="仿宋_GB2312"/>
          <w:bCs/>
          <w:sz w:val="28"/>
          <w:szCs w:val="28"/>
          <w:lang w:eastAsia="zh-CN"/>
        </w:rPr>
        <w:t>乙方</w:t>
      </w:r>
      <w:r>
        <w:rPr>
          <w:rFonts w:hint="eastAsia" w:ascii="仿宋_GB2312" w:hAnsi="仿宋" w:eastAsia="仿宋_GB2312"/>
          <w:bCs/>
          <w:sz w:val="28"/>
          <w:szCs w:val="28"/>
        </w:rPr>
        <w:t>应承担全面补足的赔偿责任。</w:t>
      </w:r>
    </w:p>
    <w:p w14:paraId="7BC9616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rPr>
      </w:pPr>
      <w:r>
        <w:rPr>
          <w:rFonts w:hint="eastAsia" w:ascii="仿宋_GB2312" w:hAnsi="仿宋" w:eastAsia="仿宋_GB2312"/>
          <w:bCs/>
          <w:sz w:val="28"/>
          <w:szCs w:val="28"/>
        </w:rPr>
        <w:t>（四）上述各项，违约方向守约方支付的违约金不足以弥补守约方经济损失的，违约方须全额补足赔偿守约方因此遭受的经济损失。守约方的经济损失包括但不限于守约方遭受的直接经济损失，守约方为追究违约方违约责任而支付的诉讼费、律师费、鉴定费、交通费、差旅费等。</w:t>
      </w:r>
    </w:p>
    <w:p w14:paraId="730BFDB4">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rPr>
      </w:pPr>
      <w:r>
        <w:rPr>
          <w:rFonts w:hint="eastAsia" w:ascii="仿宋_GB2312" w:hAnsi="仿宋" w:eastAsia="仿宋_GB2312"/>
          <w:bCs/>
          <w:sz w:val="28"/>
          <w:szCs w:val="28"/>
        </w:rPr>
        <w:t>（五）依据《中华人民共和国民法典》、《中华人民共和国政府采购法》、《中华人民共和国政府采购法实施条例》的相关条款和本合同约定，</w:t>
      </w:r>
      <w:r>
        <w:rPr>
          <w:rFonts w:hint="eastAsia" w:ascii="仿宋_GB2312" w:hAnsi="仿宋" w:eastAsia="仿宋_GB2312"/>
          <w:bCs/>
          <w:sz w:val="28"/>
          <w:szCs w:val="28"/>
          <w:lang w:eastAsia="zh-CN"/>
        </w:rPr>
        <w:t>乙方</w:t>
      </w:r>
      <w:r>
        <w:rPr>
          <w:rFonts w:hint="eastAsia" w:ascii="仿宋_GB2312" w:hAnsi="仿宋" w:eastAsia="仿宋_GB2312"/>
          <w:bCs/>
          <w:sz w:val="28"/>
          <w:szCs w:val="28"/>
        </w:rPr>
        <w:t>未全面履行合同义务或者发生违约，</w:t>
      </w:r>
      <w:r>
        <w:rPr>
          <w:rFonts w:hint="eastAsia" w:ascii="仿宋_GB2312" w:hAnsi="仿宋" w:eastAsia="仿宋_GB2312"/>
          <w:bCs/>
          <w:sz w:val="28"/>
          <w:szCs w:val="28"/>
          <w:lang w:eastAsia="zh-CN"/>
        </w:rPr>
        <w:t>甲方</w:t>
      </w:r>
      <w:r>
        <w:rPr>
          <w:rFonts w:hint="eastAsia" w:ascii="仿宋_GB2312" w:hAnsi="仿宋" w:eastAsia="仿宋_GB2312"/>
          <w:bCs/>
          <w:sz w:val="28"/>
          <w:szCs w:val="28"/>
        </w:rPr>
        <w:t>会同采购代理机构有权终止合同，依法向</w:t>
      </w:r>
      <w:r>
        <w:rPr>
          <w:rFonts w:hint="eastAsia" w:ascii="仿宋_GB2312" w:hAnsi="仿宋" w:eastAsia="仿宋_GB2312"/>
          <w:bCs/>
          <w:sz w:val="28"/>
          <w:szCs w:val="28"/>
          <w:lang w:eastAsia="zh-CN"/>
        </w:rPr>
        <w:t>乙方</w:t>
      </w:r>
      <w:r>
        <w:rPr>
          <w:rFonts w:hint="eastAsia" w:ascii="仿宋_GB2312" w:hAnsi="仿宋" w:eastAsia="仿宋_GB2312"/>
          <w:bCs/>
          <w:sz w:val="28"/>
          <w:szCs w:val="28"/>
        </w:rPr>
        <w:t>进行经济索赔，并报请政府采购监督管理机关进行相应的行政处罚。</w:t>
      </w:r>
      <w:r>
        <w:rPr>
          <w:rFonts w:hint="eastAsia" w:ascii="仿宋_GB2312" w:hAnsi="仿宋" w:eastAsia="仿宋_GB2312"/>
          <w:bCs/>
          <w:sz w:val="28"/>
          <w:szCs w:val="28"/>
          <w:lang w:eastAsia="zh-CN"/>
        </w:rPr>
        <w:t>甲方</w:t>
      </w:r>
      <w:r>
        <w:rPr>
          <w:rFonts w:hint="eastAsia" w:ascii="仿宋_GB2312" w:hAnsi="仿宋" w:eastAsia="仿宋_GB2312"/>
          <w:bCs/>
          <w:sz w:val="28"/>
          <w:szCs w:val="28"/>
        </w:rPr>
        <w:t>违约的，应当赔偿给</w:t>
      </w:r>
      <w:r>
        <w:rPr>
          <w:rFonts w:hint="eastAsia" w:ascii="仿宋_GB2312" w:hAnsi="仿宋" w:eastAsia="仿宋_GB2312"/>
          <w:bCs/>
          <w:sz w:val="28"/>
          <w:szCs w:val="28"/>
          <w:lang w:eastAsia="zh-CN"/>
        </w:rPr>
        <w:t>乙方</w:t>
      </w:r>
      <w:r>
        <w:rPr>
          <w:rFonts w:hint="eastAsia" w:ascii="仿宋_GB2312" w:hAnsi="仿宋" w:eastAsia="仿宋_GB2312"/>
          <w:bCs/>
          <w:sz w:val="28"/>
          <w:szCs w:val="28"/>
        </w:rPr>
        <w:t>造成的经济损失。</w:t>
      </w:r>
    </w:p>
    <w:p w14:paraId="3F46891B">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lang w:val="en-US" w:eastAsia="zh-CN"/>
        </w:rPr>
        <w:t>十</w:t>
      </w:r>
      <w:r>
        <w:rPr>
          <w:rFonts w:hint="eastAsia" w:ascii="仿宋_GB2312" w:hAnsi="仿宋" w:eastAsia="仿宋_GB2312"/>
          <w:b/>
          <w:bCs w:val="0"/>
          <w:sz w:val="28"/>
          <w:szCs w:val="28"/>
        </w:rPr>
        <w:t>、其他事项</w:t>
      </w:r>
    </w:p>
    <w:p w14:paraId="73881B7F">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（一）乙方不得转让、分包给其它单位或个人。</w:t>
      </w:r>
    </w:p>
    <w:p w14:paraId="56384092">
      <w:pPr>
        <w:autoSpaceDE w:val="0"/>
        <w:autoSpaceDN w:val="0"/>
        <w:adjustRightInd w:val="0"/>
        <w:snapToGrid w:val="0"/>
        <w:spacing w:line="360" w:lineRule="auto"/>
        <w:ind w:firstLine="560" w:firstLineChars="200"/>
        <w:rPr>
          <w:rFonts w:hint="eastAsia" w:ascii="仿宋_GB2312" w:hAnsi="仿宋" w:eastAsia="仿宋_GB2312"/>
          <w:b/>
          <w:bCs w:val="0"/>
          <w:sz w:val="28"/>
          <w:szCs w:val="28"/>
          <w:lang w:val="en-US" w:eastAsia="zh-CN"/>
        </w:rPr>
      </w:pPr>
      <w:r>
        <w:rPr>
          <w:rFonts w:hint="eastAsia" w:ascii="仿宋_GB2312" w:hAnsi="仿宋" w:eastAsia="仿宋_GB2312"/>
          <w:bCs/>
          <w:sz w:val="28"/>
          <w:szCs w:val="28"/>
        </w:rPr>
        <w:t>（二）乙方的</w:t>
      </w:r>
      <w:r>
        <w:rPr>
          <w:rFonts w:hint="eastAsia" w:ascii="仿宋_GB2312" w:hAnsi="仿宋" w:eastAsia="仿宋_GB2312"/>
          <w:bCs/>
          <w:sz w:val="28"/>
          <w:szCs w:val="28"/>
          <w:lang w:eastAsia="zh-CN"/>
        </w:rPr>
        <w:t>投标</w:t>
      </w:r>
      <w:r>
        <w:rPr>
          <w:rFonts w:hint="eastAsia" w:ascii="仿宋_GB2312" w:hAnsi="仿宋" w:eastAsia="仿宋_GB2312"/>
          <w:bCs/>
          <w:sz w:val="28"/>
          <w:szCs w:val="28"/>
        </w:rPr>
        <w:t>文件和承诺等内容将列入合同。</w:t>
      </w:r>
    </w:p>
    <w:p w14:paraId="499BD22B">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lang w:val="en-US" w:eastAsia="zh-CN"/>
        </w:rPr>
        <w:t>十一</w:t>
      </w:r>
      <w:r>
        <w:rPr>
          <w:rFonts w:hint="eastAsia" w:ascii="仿宋_GB2312" w:hAnsi="仿宋" w:eastAsia="仿宋_GB2312"/>
          <w:b/>
          <w:bCs w:val="0"/>
          <w:sz w:val="28"/>
          <w:szCs w:val="28"/>
        </w:rPr>
        <w:t>、合同争议解决的方式</w:t>
      </w:r>
    </w:p>
    <w:p w14:paraId="45380015">
      <w:pPr>
        <w:autoSpaceDE w:val="0"/>
        <w:autoSpaceDN w:val="0"/>
        <w:adjustRightInd w:val="0"/>
        <w:snapToGri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本合同在履行过程中发生的争议，由甲、乙双方当事人协商解决，协商不成的按下列第</w:t>
      </w:r>
      <w:r>
        <w:rPr>
          <w:rFonts w:hint="eastAsia" w:ascii="仿宋_GB2312" w:hAnsi="仿宋" w:eastAsia="仿宋_GB2312"/>
          <w:b w:val="0"/>
          <w:bCs/>
          <w:sz w:val="28"/>
          <w:szCs w:val="28"/>
          <w:u w:val="single"/>
        </w:rPr>
        <w:t>（二）</w:t>
      </w:r>
      <w:r>
        <w:rPr>
          <w:rFonts w:hint="eastAsia" w:ascii="仿宋_GB2312" w:hAnsi="仿宋" w:eastAsia="仿宋_GB2312"/>
          <w:b w:val="0"/>
          <w:bCs/>
          <w:sz w:val="28"/>
          <w:szCs w:val="28"/>
        </w:rPr>
        <w:t>种方式解决：</w:t>
      </w:r>
    </w:p>
    <w:p w14:paraId="7A0DA723">
      <w:pPr>
        <w:autoSpaceDE w:val="0"/>
        <w:autoSpaceDN w:val="0"/>
        <w:adjustRightInd w:val="0"/>
        <w:snapToGri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（一）提交西安仲裁委员会仲裁；</w:t>
      </w:r>
    </w:p>
    <w:p w14:paraId="611DA6DD">
      <w:pPr>
        <w:autoSpaceDE w:val="0"/>
        <w:autoSpaceDN w:val="0"/>
        <w:adjustRightInd w:val="0"/>
        <w:snapToGri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（二）依法向甲方所在地法院起诉。</w:t>
      </w:r>
    </w:p>
    <w:p w14:paraId="78666383">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rPr>
        <w:t>十</w:t>
      </w:r>
      <w:r>
        <w:rPr>
          <w:rFonts w:hint="eastAsia" w:ascii="仿宋_GB2312" w:hAnsi="仿宋" w:eastAsia="仿宋_GB2312"/>
          <w:b/>
          <w:bCs w:val="0"/>
          <w:sz w:val="28"/>
          <w:szCs w:val="28"/>
          <w:lang w:val="en-US" w:eastAsia="zh-CN"/>
        </w:rPr>
        <w:t>二</w:t>
      </w:r>
      <w:r>
        <w:rPr>
          <w:rFonts w:hint="eastAsia" w:ascii="仿宋_GB2312" w:hAnsi="仿宋" w:eastAsia="仿宋_GB2312"/>
          <w:b/>
          <w:bCs w:val="0"/>
          <w:sz w:val="28"/>
          <w:szCs w:val="28"/>
        </w:rPr>
        <w:t>、合同生效</w:t>
      </w:r>
    </w:p>
    <w:p w14:paraId="127C1642">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（一）本合同须经甲、乙双方的法定代表人（授权代表）在合同书上签字并加盖本单位公章后正式生效。</w:t>
      </w:r>
    </w:p>
    <w:p w14:paraId="617F05FC">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（二）合同生效后，甲、乙双方须严格执行本合同条款的规定，全面履行合同，违者按《中华人民共和国</w:t>
      </w:r>
      <w:r>
        <w:rPr>
          <w:rFonts w:hint="eastAsia" w:ascii="仿宋_GB2312" w:hAnsi="仿宋" w:eastAsia="仿宋_GB2312"/>
          <w:bCs/>
          <w:sz w:val="28"/>
          <w:szCs w:val="28"/>
          <w:lang w:eastAsia="zh-CN"/>
        </w:rPr>
        <w:t>民法典</w:t>
      </w:r>
      <w:r>
        <w:rPr>
          <w:rFonts w:hint="eastAsia" w:ascii="仿宋_GB2312" w:hAnsi="仿宋" w:eastAsia="仿宋_GB2312"/>
          <w:bCs/>
          <w:sz w:val="28"/>
          <w:szCs w:val="28"/>
        </w:rPr>
        <w:t>》的有关规定承担相应责任。</w:t>
      </w:r>
    </w:p>
    <w:p w14:paraId="5FF609B8">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（三）本合同一式</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份，甲乙双方各执</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w:t>
      </w:r>
    </w:p>
    <w:p w14:paraId="47413187">
      <w:pPr>
        <w:keepNext w:val="0"/>
        <w:keepLines w:val="0"/>
        <w:pageBreakBefore w:val="0"/>
        <w:widowControl w:val="0"/>
        <w:kinsoku/>
        <w:wordWrap/>
        <w:overflowPunct/>
        <w:topLinePunct w:val="0"/>
        <w:autoSpaceDE w:val="0"/>
        <w:autoSpaceDN w:val="0"/>
        <w:bidi w:val="0"/>
        <w:adjustRightInd w:val="0"/>
        <w:snapToGrid w:val="0"/>
        <w:spacing w:after="0" w:afterLines="50"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rPr>
        <w:t>（四）本合同如有未尽事宜，甲、乙双方协商解决</w:t>
      </w:r>
      <w:r>
        <w:rPr>
          <w:rFonts w:hint="eastAsia" w:ascii="仿宋_GB2312" w:hAnsi="仿宋" w:eastAsia="仿宋_GB2312"/>
          <w:bCs/>
          <w:sz w:val="28"/>
          <w:szCs w:val="28"/>
          <w:highlight w:val="none"/>
        </w:rPr>
        <w:t>。</w:t>
      </w:r>
    </w:p>
    <w:p w14:paraId="1D031BA7">
      <w:pPr>
        <w:pStyle w:val="8"/>
        <w:rPr>
          <w:rFonts w:hint="eastAsia" w:ascii="仿宋_GB2312" w:hAnsi="仿宋" w:eastAsia="仿宋_GB2312"/>
          <w:bCs/>
          <w:sz w:val="28"/>
          <w:szCs w:val="28"/>
          <w:highlight w:val="none"/>
        </w:rPr>
      </w:pPr>
    </w:p>
    <w:p w14:paraId="0D1AF8F1">
      <w:pPr>
        <w:pStyle w:val="8"/>
        <w:rPr>
          <w:rFonts w:hint="eastAsia" w:ascii="仿宋_GB2312" w:hAnsi="仿宋" w:eastAsia="仿宋_GB2312"/>
          <w:bCs/>
          <w:sz w:val="28"/>
          <w:szCs w:val="28"/>
          <w:highlight w:val="none"/>
        </w:rPr>
      </w:pPr>
    </w:p>
    <w:tbl>
      <w:tblPr>
        <w:tblStyle w:val="13"/>
        <w:tblW w:w="0" w:type="auto"/>
        <w:jc w:val="center"/>
        <w:tblLayout w:type="fixed"/>
        <w:tblCellMar>
          <w:top w:w="0" w:type="dxa"/>
          <w:left w:w="108" w:type="dxa"/>
          <w:bottom w:w="0" w:type="dxa"/>
          <w:right w:w="108" w:type="dxa"/>
        </w:tblCellMar>
      </w:tblPr>
      <w:tblGrid>
        <w:gridCol w:w="4201"/>
        <w:gridCol w:w="4202"/>
      </w:tblGrid>
      <w:tr w14:paraId="6572C8C8">
        <w:tblPrEx>
          <w:tblCellMar>
            <w:top w:w="0" w:type="dxa"/>
            <w:left w:w="108" w:type="dxa"/>
            <w:bottom w:w="0" w:type="dxa"/>
            <w:right w:w="108" w:type="dxa"/>
          </w:tblCellMar>
        </w:tblPrEx>
        <w:trPr>
          <w:trHeight w:val="567" w:hRule="exact"/>
          <w:jc w:val="center"/>
        </w:trPr>
        <w:tc>
          <w:tcPr>
            <w:tcW w:w="4201" w:type="dxa"/>
            <w:noWrap w:val="0"/>
            <w:vAlign w:val="center"/>
          </w:tcPr>
          <w:p w14:paraId="6E23166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甲  方</w:t>
            </w:r>
          </w:p>
        </w:tc>
        <w:tc>
          <w:tcPr>
            <w:tcW w:w="4202" w:type="dxa"/>
            <w:noWrap w:val="0"/>
            <w:vAlign w:val="center"/>
          </w:tcPr>
          <w:p w14:paraId="61FD565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乙  方</w:t>
            </w:r>
          </w:p>
        </w:tc>
      </w:tr>
      <w:tr w14:paraId="1BC0F0E0">
        <w:tblPrEx>
          <w:tblCellMar>
            <w:top w:w="0" w:type="dxa"/>
            <w:left w:w="108" w:type="dxa"/>
            <w:bottom w:w="0" w:type="dxa"/>
            <w:right w:w="108" w:type="dxa"/>
          </w:tblCellMar>
        </w:tblPrEx>
        <w:trPr>
          <w:trHeight w:val="567" w:hRule="exact"/>
          <w:jc w:val="center"/>
        </w:trPr>
        <w:tc>
          <w:tcPr>
            <w:tcW w:w="4201" w:type="dxa"/>
            <w:noWrap w:val="0"/>
            <w:vAlign w:val="center"/>
          </w:tcPr>
          <w:p w14:paraId="614BCD9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（盖章）</w:t>
            </w:r>
          </w:p>
        </w:tc>
        <w:tc>
          <w:tcPr>
            <w:tcW w:w="4202" w:type="dxa"/>
            <w:noWrap w:val="0"/>
            <w:vAlign w:val="center"/>
          </w:tcPr>
          <w:p w14:paraId="51DA11A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（盖章）</w:t>
            </w:r>
          </w:p>
        </w:tc>
      </w:tr>
      <w:tr w14:paraId="77BEA7F7">
        <w:tblPrEx>
          <w:tblCellMar>
            <w:top w:w="0" w:type="dxa"/>
            <w:left w:w="108" w:type="dxa"/>
            <w:bottom w:w="0" w:type="dxa"/>
            <w:right w:w="108" w:type="dxa"/>
          </w:tblCellMar>
        </w:tblPrEx>
        <w:trPr>
          <w:trHeight w:val="567" w:hRule="exact"/>
          <w:jc w:val="center"/>
        </w:trPr>
        <w:tc>
          <w:tcPr>
            <w:tcW w:w="4201" w:type="dxa"/>
            <w:noWrap w:val="0"/>
            <w:vAlign w:val="center"/>
          </w:tcPr>
          <w:p w14:paraId="014ABF3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 xml:space="preserve">地址： </w:t>
            </w:r>
          </w:p>
        </w:tc>
        <w:tc>
          <w:tcPr>
            <w:tcW w:w="4202" w:type="dxa"/>
            <w:noWrap w:val="0"/>
            <w:vAlign w:val="center"/>
          </w:tcPr>
          <w:p w14:paraId="06DA9C9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地址：</w:t>
            </w:r>
          </w:p>
        </w:tc>
      </w:tr>
      <w:tr w14:paraId="3C244535">
        <w:tblPrEx>
          <w:tblCellMar>
            <w:top w:w="0" w:type="dxa"/>
            <w:left w:w="108" w:type="dxa"/>
            <w:bottom w:w="0" w:type="dxa"/>
            <w:right w:w="108" w:type="dxa"/>
          </w:tblCellMar>
        </w:tblPrEx>
        <w:trPr>
          <w:trHeight w:val="567" w:hRule="exact"/>
          <w:jc w:val="center"/>
        </w:trPr>
        <w:tc>
          <w:tcPr>
            <w:tcW w:w="4201" w:type="dxa"/>
            <w:noWrap w:val="0"/>
            <w:vAlign w:val="center"/>
          </w:tcPr>
          <w:p w14:paraId="63C62D2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 xml:space="preserve">法定代表人 </w:t>
            </w:r>
          </w:p>
        </w:tc>
        <w:tc>
          <w:tcPr>
            <w:tcW w:w="4202" w:type="dxa"/>
            <w:noWrap w:val="0"/>
            <w:vAlign w:val="center"/>
          </w:tcPr>
          <w:p w14:paraId="221102A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法定代表人</w:t>
            </w:r>
          </w:p>
        </w:tc>
      </w:tr>
      <w:tr w14:paraId="13A363CA">
        <w:tblPrEx>
          <w:tblCellMar>
            <w:top w:w="0" w:type="dxa"/>
            <w:left w:w="108" w:type="dxa"/>
            <w:bottom w:w="0" w:type="dxa"/>
            <w:right w:w="108" w:type="dxa"/>
          </w:tblCellMar>
        </w:tblPrEx>
        <w:trPr>
          <w:trHeight w:val="567" w:hRule="exact"/>
          <w:jc w:val="center"/>
        </w:trPr>
        <w:tc>
          <w:tcPr>
            <w:tcW w:w="4201" w:type="dxa"/>
            <w:noWrap w:val="0"/>
            <w:vAlign w:val="center"/>
          </w:tcPr>
          <w:p w14:paraId="2DF62DF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或授权代表：</w:t>
            </w:r>
          </w:p>
        </w:tc>
        <w:tc>
          <w:tcPr>
            <w:tcW w:w="4202" w:type="dxa"/>
            <w:noWrap w:val="0"/>
            <w:vAlign w:val="center"/>
          </w:tcPr>
          <w:p w14:paraId="2590E6C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或授权代表：</w:t>
            </w:r>
          </w:p>
        </w:tc>
      </w:tr>
      <w:tr w14:paraId="42756BBE">
        <w:tblPrEx>
          <w:tblCellMar>
            <w:top w:w="0" w:type="dxa"/>
            <w:left w:w="108" w:type="dxa"/>
            <w:bottom w:w="0" w:type="dxa"/>
            <w:right w:w="108" w:type="dxa"/>
          </w:tblCellMar>
        </w:tblPrEx>
        <w:trPr>
          <w:trHeight w:val="567" w:hRule="exact"/>
          <w:jc w:val="center"/>
        </w:trPr>
        <w:tc>
          <w:tcPr>
            <w:tcW w:w="4201" w:type="dxa"/>
            <w:noWrap w:val="0"/>
            <w:vAlign w:val="center"/>
          </w:tcPr>
          <w:p w14:paraId="433897A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电话：</w:t>
            </w:r>
          </w:p>
        </w:tc>
        <w:tc>
          <w:tcPr>
            <w:tcW w:w="4202" w:type="dxa"/>
            <w:noWrap w:val="0"/>
            <w:vAlign w:val="center"/>
          </w:tcPr>
          <w:p w14:paraId="4A9DCDF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电话：</w:t>
            </w:r>
          </w:p>
        </w:tc>
      </w:tr>
      <w:tr w14:paraId="24F51C18">
        <w:tblPrEx>
          <w:tblCellMar>
            <w:top w:w="0" w:type="dxa"/>
            <w:left w:w="108" w:type="dxa"/>
            <w:bottom w:w="0" w:type="dxa"/>
            <w:right w:w="108" w:type="dxa"/>
          </w:tblCellMar>
        </w:tblPrEx>
        <w:trPr>
          <w:trHeight w:val="567" w:hRule="exact"/>
          <w:jc w:val="center"/>
        </w:trPr>
        <w:tc>
          <w:tcPr>
            <w:tcW w:w="4201" w:type="dxa"/>
            <w:noWrap w:val="0"/>
            <w:vAlign w:val="center"/>
          </w:tcPr>
          <w:p w14:paraId="7E41BE4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传真：</w:t>
            </w:r>
          </w:p>
        </w:tc>
        <w:tc>
          <w:tcPr>
            <w:tcW w:w="4202" w:type="dxa"/>
            <w:noWrap w:val="0"/>
            <w:vAlign w:val="center"/>
          </w:tcPr>
          <w:p w14:paraId="216072F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传真：</w:t>
            </w:r>
          </w:p>
        </w:tc>
      </w:tr>
      <w:tr w14:paraId="601F56D4">
        <w:tblPrEx>
          <w:tblCellMar>
            <w:top w:w="0" w:type="dxa"/>
            <w:left w:w="108" w:type="dxa"/>
            <w:bottom w:w="0" w:type="dxa"/>
            <w:right w:w="108" w:type="dxa"/>
          </w:tblCellMar>
        </w:tblPrEx>
        <w:trPr>
          <w:trHeight w:val="567" w:hRule="exact"/>
          <w:jc w:val="center"/>
        </w:trPr>
        <w:tc>
          <w:tcPr>
            <w:tcW w:w="4201" w:type="dxa"/>
            <w:noWrap w:val="0"/>
            <w:vAlign w:val="center"/>
          </w:tcPr>
          <w:p w14:paraId="60EF91C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开户银行：</w:t>
            </w:r>
          </w:p>
        </w:tc>
        <w:tc>
          <w:tcPr>
            <w:tcW w:w="4202" w:type="dxa"/>
            <w:noWrap w:val="0"/>
            <w:vAlign w:val="center"/>
          </w:tcPr>
          <w:p w14:paraId="69C98E3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开户银行：</w:t>
            </w:r>
          </w:p>
        </w:tc>
      </w:tr>
    </w:tbl>
    <w:p w14:paraId="231E44F1"/>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4919BD2-A72B-455B-BBC3-840464463E57}"/>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89B27D4B-5AB7-4807-960E-B2BE6D2B1965}"/>
  </w:font>
  <w:font w:name="仿宋_GB2312">
    <w:panose1 w:val="02010609030101010101"/>
    <w:charset w:val="86"/>
    <w:family w:val="modern"/>
    <w:pitch w:val="default"/>
    <w:sig w:usb0="00000001" w:usb1="080E0000" w:usb2="00000000" w:usb3="00000000" w:csb0="00040000" w:csb1="00000000"/>
    <w:embedRegular r:id="rId3" w:fontKey="{1A6C89F7-25C8-4961-805B-91935C3C1AD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iMDA4YjcwYmM2MmVmMzA2ZGNlMDk2OWE3MTg2Mjk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6044D8E"/>
    <w:rsid w:val="063C3527"/>
    <w:rsid w:val="071938B9"/>
    <w:rsid w:val="0B186D4E"/>
    <w:rsid w:val="0CF24C32"/>
    <w:rsid w:val="0DA008CC"/>
    <w:rsid w:val="0EBB3568"/>
    <w:rsid w:val="0EC60B07"/>
    <w:rsid w:val="10332904"/>
    <w:rsid w:val="10CF4970"/>
    <w:rsid w:val="10F63A27"/>
    <w:rsid w:val="14561BE7"/>
    <w:rsid w:val="172B4FA4"/>
    <w:rsid w:val="192A37C4"/>
    <w:rsid w:val="198577DD"/>
    <w:rsid w:val="19966094"/>
    <w:rsid w:val="1CA80820"/>
    <w:rsid w:val="1D6E70FD"/>
    <w:rsid w:val="1F543621"/>
    <w:rsid w:val="21665943"/>
    <w:rsid w:val="244871F4"/>
    <w:rsid w:val="25295AB7"/>
    <w:rsid w:val="274E2D73"/>
    <w:rsid w:val="27EF733B"/>
    <w:rsid w:val="292902AA"/>
    <w:rsid w:val="29BB6BC2"/>
    <w:rsid w:val="2C0F4050"/>
    <w:rsid w:val="2EEA293E"/>
    <w:rsid w:val="2F066C91"/>
    <w:rsid w:val="2F1025C8"/>
    <w:rsid w:val="30104537"/>
    <w:rsid w:val="313868D1"/>
    <w:rsid w:val="325B49C3"/>
    <w:rsid w:val="326A7D77"/>
    <w:rsid w:val="33EF3E56"/>
    <w:rsid w:val="39094D4C"/>
    <w:rsid w:val="3CCE5611"/>
    <w:rsid w:val="3CE71A85"/>
    <w:rsid w:val="412A6A1E"/>
    <w:rsid w:val="414032D5"/>
    <w:rsid w:val="45FB0DB9"/>
    <w:rsid w:val="467E02E4"/>
    <w:rsid w:val="4EC118A7"/>
    <w:rsid w:val="4F1C52C5"/>
    <w:rsid w:val="4FDA2485"/>
    <w:rsid w:val="54762EB2"/>
    <w:rsid w:val="54F63A8A"/>
    <w:rsid w:val="57DF2953"/>
    <w:rsid w:val="583D0117"/>
    <w:rsid w:val="5C7E1FD1"/>
    <w:rsid w:val="5D3B49BA"/>
    <w:rsid w:val="60E414E6"/>
    <w:rsid w:val="61E5759F"/>
    <w:rsid w:val="63663C55"/>
    <w:rsid w:val="64A137DB"/>
    <w:rsid w:val="696F3399"/>
    <w:rsid w:val="734E36BE"/>
    <w:rsid w:val="741C09D0"/>
    <w:rsid w:val="74343D24"/>
    <w:rsid w:val="764F97C9"/>
    <w:rsid w:val="78C53AE4"/>
    <w:rsid w:val="7C021374"/>
    <w:rsid w:val="7EB51055"/>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next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8"/>
    <w:autoRedefine/>
    <w:qFormat/>
    <w:uiPriority w:val="0"/>
    <w:rPr>
      <w:sz w:val="18"/>
      <w:szCs w:val="18"/>
    </w:rPr>
  </w:style>
  <w:style w:type="paragraph" w:styleId="8">
    <w:name w:val="footer"/>
    <w:basedOn w:val="1"/>
    <w:autoRedefine/>
    <w:qFormat/>
    <w:uiPriority w:val="0"/>
    <w:pPr>
      <w:tabs>
        <w:tab w:val="center" w:pos="4140"/>
        <w:tab w:val="right" w:pos="8300"/>
      </w:tabs>
      <w:snapToGrid w:val="0"/>
      <w:jc w:val="left"/>
    </w:pPr>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5"/>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7"/>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2">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2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6</Pages>
  <Words>2988</Words>
  <Characters>3038</Characters>
  <Lines>12</Lines>
  <Paragraphs>3</Paragraphs>
  <TotalTime>1</TotalTime>
  <ScaleCrop>false</ScaleCrop>
  <LinksUpToDate>false</LinksUpToDate>
  <CharactersWithSpaces>3108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2026-06-30T10:54:26Z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