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版本号：YMD-2026079F20260604001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军训服装租赁</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YMD-2026079F</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军训服装租赁</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YMD-2026079F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军训服装租赁</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本项目为西安职业技术学院2026级全体新生提供军训服装租赁服务，通过规范化管理模式，实现军训服装的统一配备、高效调配与安全保障。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采购包1（军训服装租赁）：属于专门面向小微企业采购。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主要负责人）或其授权代理人身份证明：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2026年3月（含3月）至磋商响应截止时间内任意一个月本单位社会保险缴纳证明)。</w:t>
      </w:r>
    </w:p>
    <w:p>
      <w:pPr>
        <w:pStyle w:val="null3"/>
      </w:pPr>
      <w:r>
        <w:rPr>
          <w:rFonts w:ascii="仿宋_GB2312" w:hAnsi="仿宋_GB2312" w:cs="仿宋_GB2312" w:eastAsia="仿宋_GB2312"/>
        </w:rPr>
        <w:t>3、财务状况：财务状况（任选其一）：①2024年度或2025年度经审计的财务会计报告（至少包括审计报告、资产负债表、现金流量表、利润表及附注，成立时间至提交响应文件截止时间不足一年的可提供成立后任意时段的资产负债表）②提交响应文件截止时间三个月内其基本账户开户银行出具的资信证明（附基本存款账户信息）。</w:t>
      </w:r>
    </w:p>
    <w:p>
      <w:pPr>
        <w:pStyle w:val="null3"/>
      </w:pPr>
      <w:r>
        <w:rPr>
          <w:rFonts w:ascii="仿宋_GB2312" w:hAnsi="仿宋_GB2312" w:cs="仿宋_GB2312" w:eastAsia="仿宋_GB2312"/>
        </w:rPr>
        <w:t>4、税收缴纳证明：提交供应商2025年6月（含6月）至磋商响应截止时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提交供应商2025年6月（含6月）至磋商响应截止时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6、提供具有履行的专业技术承诺：供应商提供具有履行本合同所必需的设备和专业技术能力的承诺函。</w:t>
      </w:r>
    </w:p>
    <w:p>
      <w:pPr>
        <w:pStyle w:val="null3"/>
      </w:pPr>
      <w:r>
        <w:rPr>
          <w:rFonts w:ascii="仿宋_GB2312" w:hAnsi="仿宋_GB2312" w:cs="仿宋_GB2312" w:eastAsia="仿宋_GB2312"/>
        </w:rPr>
        <w:t>7、无重大违法记录声明：供应商参加本次政府采购活动前3年内在经营活动中没有重大违法记录，以及未被列入失信被执行人、重大税收违法案件当事人名单、政府采购严重违法失信行为记录名单的书面声明。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供应商信用查询：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p>
      <w:pPr>
        <w:pStyle w:val="null3"/>
      </w:pPr>
      <w:r>
        <w:rPr>
          <w:rFonts w:ascii="仿宋_GB2312" w:hAnsi="仿宋_GB2312" w:cs="仿宋_GB2312" w:eastAsia="仿宋_GB2312"/>
        </w:rPr>
        <w:t>9、其他资料：①单位负责人为同一人或者存在直接控股、管理关系的不同供应商，不得参加同一合同项下的政府采购活动。 ②本项目不接受联合体投标。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029-88518505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陕西省西咸新区沣西新城尚业路1309号总部经济园6号楼516室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在领取成交通知书前，一次性向采购代理机构支付代理服务费，服务费由采购人与采购代理机构约定：参照国家计委关于印发《招标代理服务收费管理暂行办法》的通知（计价格[2002]1980号）代理服务收费标准进行收费 账户名称：永明项目管理有限公司 开户银行：中信银行陕西自贸试验区西安科技支行 账 号：7252410182600044355 转账事由：项目编号 代理服务费 咨询电话：18182603963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地址：陕西省西安市雁塔区旺座曲江M座25楼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本项目为西安职业技术学院2026级全体新生提供军训服装租赁服务，通过规范化管理模式，实现军训服装的统一配备、高效调配与安全保障。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军训服装租赁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标的名称：军训服装租赁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采购内容：</w:t>
            </w:r>
          </w:p>
          <w:p>
            <w:pPr>
              <w:pStyle w:val="null3"/>
            </w:pPr>
            <w:r>
              <w:rPr>
                <w:rFonts w:ascii="仿宋_GB2312" w:hAnsi="仿宋_GB2312" w:cs="仿宋_GB2312" w:eastAsia="仿宋_GB2312"/>
                <w:sz w:val="21"/>
              </w:rPr>
              <w:t>根据</w:t>
            </w:r>
            <w:r>
              <w:rPr>
                <w:rFonts w:ascii="仿宋_GB2312" w:hAnsi="仿宋_GB2312" w:cs="仿宋_GB2312" w:eastAsia="仿宋_GB2312"/>
                <w:sz w:val="21"/>
              </w:rPr>
              <w:t>2026年招生计划安排，租赁服装数量为4500套。每套租赁服装包含</w:t>
            </w:r>
            <w:r>
              <w:rPr>
                <w:rFonts w:ascii="仿宋_GB2312" w:hAnsi="仿宋_GB2312" w:cs="仿宋_GB2312" w:eastAsia="仿宋_GB2312"/>
                <w:sz w:val="21"/>
              </w:rPr>
              <w:t>迷彩上衣</w:t>
            </w:r>
            <w:r>
              <w:rPr>
                <w:rFonts w:ascii="仿宋_GB2312" w:hAnsi="仿宋_GB2312" w:cs="仿宋_GB2312" w:eastAsia="仿宋_GB2312"/>
                <w:sz w:val="21"/>
              </w:rPr>
              <w:t>1件、迷彩裤子1条、短袖迷彩汗衫1件、帽子1顶、腰带1条</w:t>
            </w:r>
            <w:r>
              <w:rPr>
                <w:rFonts w:ascii="仿宋_GB2312" w:hAnsi="仿宋_GB2312" w:cs="仿宋_GB2312" w:eastAsia="仿宋_GB2312"/>
                <w:sz w:val="21"/>
              </w:rPr>
              <w:t>等全套军训装备，符合《普通高等学校军事课教学大纲》对军训着装的标准化要求。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rPr>
              <w:t>（一）服装要求：</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服装面料</w:t>
            </w:r>
            <w:r>
              <w:rPr>
                <w:rFonts w:ascii="仿宋_GB2312" w:hAnsi="仿宋_GB2312" w:cs="仿宋_GB2312" w:eastAsia="仿宋_GB2312"/>
              </w:rPr>
              <w:t>：</w:t>
            </w:r>
            <w:r>
              <w:rPr>
                <w:rFonts w:ascii="仿宋_GB2312" w:hAnsi="仿宋_GB2312" w:cs="仿宋_GB2312" w:eastAsia="仿宋_GB2312"/>
              </w:rPr>
              <w:t>军训服装通用迷彩布。服装结实耐用、穿着舒适、透气亲肤、安全实用特点。</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面料成分</w:t>
            </w:r>
            <w:r>
              <w:rPr>
                <w:rFonts w:ascii="仿宋_GB2312" w:hAnsi="仿宋_GB2312" w:cs="仿宋_GB2312" w:eastAsia="仿宋_GB2312"/>
              </w:rPr>
              <w:t>：</w:t>
            </w:r>
            <w:r>
              <w:rPr>
                <w:rFonts w:ascii="仿宋_GB2312" w:hAnsi="仿宋_GB2312" w:cs="仿宋_GB2312" w:eastAsia="仿宋_GB2312"/>
              </w:rPr>
              <w:t>上衣、裤子、帽子成分为棉类混纺材质，统一采用</w:t>
            </w:r>
            <w:r>
              <w:rPr>
                <w:rFonts w:ascii="仿宋_GB2312" w:hAnsi="仿宋_GB2312" w:cs="仿宋_GB2312" w:eastAsia="仿宋_GB2312"/>
              </w:rPr>
              <w:t>65/35涤棉面料；短袖迷彩汗衫为100%全棉；腰带为军用制式塑料扣编织腰带，宽5cm、长1.3-1.5m。</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迷彩服、迷彩帽指标符合国家</w:t>
            </w:r>
            <w:r>
              <w:rPr>
                <w:rFonts w:ascii="仿宋_GB2312" w:hAnsi="仿宋_GB2312" w:cs="仿宋_GB2312" w:eastAsia="仿宋_GB2312"/>
              </w:rPr>
              <w:t>GB18401-2010B类标准</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汗衫指标符合</w:t>
            </w:r>
            <w:r>
              <w:rPr>
                <w:rFonts w:ascii="仿宋_GB2312" w:hAnsi="仿宋_GB2312" w:cs="仿宋_GB2312" w:eastAsia="仿宋_GB2312"/>
              </w:rPr>
              <w:t>GB18401-2010A类标准。</w:t>
            </w:r>
          </w:p>
          <w:p>
            <w:pPr>
              <w:pStyle w:val="null3"/>
            </w:pPr>
            <w:r>
              <w:rPr>
                <w:rFonts w:ascii="仿宋_GB2312" w:hAnsi="仿宋_GB2312" w:cs="仿宋_GB2312" w:eastAsia="仿宋_GB2312"/>
              </w:rPr>
              <w:t>5.</w:t>
            </w:r>
            <w:r>
              <w:rPr>
                <w:rFonts w:ascii="仿宋_GB2312" w:hAnsi="仿宋_GB2312" w:cs="仿宋_GB2312" w:eastAsia="仿宋_GB2312"/>
              </w:rPr>
              <w:t>缝制部位表面平整，线迹直正，针码均匀。</w:t>
            </w:r>
          </w:p>
          <w:p>
            <w:pPr>
              <w:pStyle w:val="null3"/>
            </w:pPr>
            <w:r>
              <w:rPr>
                <w:rFonts w:ascii="仿宋_GB2312" w:hAnsi="仿宋_GB2312" w:cs="仿宋_GB2312" w:eastAsia="仿宋_GB2312"/>
              </w:rPr>
              <w:t>6.</w:t>
            </w:r>
            <w:r>
              <w:rPr>
                <w:rFonts w:ascii="仿宋_GB2312" w:hAnsi="仿宋_GB2312" w:cs="仿宋_GB2312" w:eastAsia="仿宋_GB2312"/>
              </w:rPr>
              <w:t>所有易磨损部位包括双肘部、后臀部都要作双层贴补丁，所有缝合部位要求制双针双线，制作提高耐拉扯性能，不得有开线、跳线、继线、崩线、掉道、褶皱等缺陷。</w:t>
            </w:r>
          </w:p>
          <w:p>
            <w:pPr>
              <w:pStyle w:val="null3"/>
            </w:pPr>
            <w:r>
              <w:rPr>
                <w:rFonts w:ascii="仿宋_GB2312" w:hAnsi="仿宋_GB2312" w:cs="仿宋_GB2312" w:eastAsia="仿宋_GB2312"/>
              </w:rPr>
              <w:t>7.</w:t>
            </w:r>
            <w:r>
              <w:rPr>
                <w:rFonts w:ascii="仿宋_GB2312" w:hAnsi="仿宋_GB2312" w:cs="仿宋_GB2312" w:eastAsia="仿宋_GB2312"/>
              </w:rPr>
              <w:t>起止针重缝</w:t>
            </w:r>
            <w:r>
              <w:rPr>
                <w:rFonts w:ascii="仿宋_GB2312" w:hAnsi="仿宋_GB2312" w:cs="仿宋_GB2312" w:eastAsia="仿宋_GB2312"/>
              </w:rPr>
              <w:t>3道，长度不少于2cm,明、暗缝线针码每3cm不少于14针。</w:t>
            </w:r>
          </w:p>
          <w:p>
            <w:pPr>
              <w:pStyle w:val="null3"/>
            </w:pPr>
            <w:r>
              <w:rPr>
                <w:rFonts w:ascii="仿宋_GB2312" w:hAnsi="仿宋_GB2312" w:cs="仿宋_GB2312" w:eastAsia="仿宋_GB2312"/>
              </w:rPr>
              <w:t>8.</w:t>
            </w:r>
            <w:r>
              <w:rPr>
                <w:rFonts w:ascii="仿宋_GB2312" w:hAnsi="仿宋_GB2312" w:cs="仿宋_GB2312" w:eastAsia="仿宋_GB2312"/>
              </w:rPr>
              <w:t>成品表面整洁，</w:t>
            </w:r>
            <w:r>
              <w:rPr>
                <w:rFonts w:ascii="仿宋_GB2312" w:hAnsi="仿宋_GB2312" w:cs="仿宋_GB2312" w:eastAsia="仿宋_GB2312"/>
              </w:rPr>
              <w:t>无破损、无油污，</w:t>
            </w:r>
            <w:r>
              <w:rPr>
                <w:rFonts w:ascii="仿宋_GB2312" w:hAnsi="仿宋_GB2312" w:cs="仿宋_GB2312" w:eastAsia="仿宋_GB2312"/>
              </w:rPr>
              <w:t>不得有线头等杂物。</w:t>
            </w:r>
          </w:p>
          <w:p>
            <w:pPr>
              <w:pStyle w:val="null3"/>
            </w:pPr>
            <w:r>
              <w:rPr>
                <w:rFonts w:ascii="仿宋_GB2312" w:hAnsi="仿宋_GB2312" w:cs="仿宋_GB2312" w:eastAsia="仿宋_GB2312"/>
              </w:rPr>
              <w:t>9.</w:t>
            </w:r>
            <w:r>
              <w:rPr>
                <w:rFonts w:ascii="仿宋_GB2312" w:hAnsi="仿宋_GB2312" w:cs="仿宋_GB2312" w:eastAsia="仿宋_GB2312"/>
              </w:rPr>
              <w:t>军训服装做工精细，钮扣缝线牢实，拉链灵活，结合牢靠不掉齿。</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包装要求</w:t>
            </w:r>
            <w:r>
              <w:rPr>
                <w:rFonts w:ascii="仿宋_GB2312" w:hAnsi="仿宋_GB2312" w:cs="仿宋_GB2312" w:eastAsia="仿宋_GB2312"/>
              </w:rPr>
              <w:t>：</w:t>
            </w:r>
          </w:p>
          <w:p>
            <w:pPr>
              <w:pStyle w:val="null3"/>
            </w:pPr>
            <w:r>
              <w:rPr>
                <w:rFonts w:ascii="仿宋_GB2312" w:hAnsi="仿宋_GB2312" w:cs="仿宋_GB2312" w:eastAsia="仿宋_GB2312"/>
              </w:rPr>
              <w:t>1.</w:t>
            </w:r>
            <w:r>
              <w:rPr>
                <w:rFonts w:ascii="仿宋_GB2312" w:hAnsi="仿宋_GB2312" w:cs="仿宋_GB2312" w:eastAsia="仿宋_GB2312"/>
              </w:rPr>
              <w:t>外包装上、下两面需标注产品名称、数量、</w:t>
            </w:r>
            <w:r>
              <w:rPr>
                <w:rFonts w:ascii="仿宋_GB2312" w:hAnsi="仿宋_GB2312" w:cs="仿宋_GB2312" w:eastAsia="仿宋_GB2312"/>
              </w:rPr>
              <w:t>供应商</w:t>
            </w:r>
            <w:r>
              <w:rPr>
                <w:rFonts w:ascii="仿宋_GB2312" w:hAnsi="仿宋_GB2312" w:cs="仿宋_GB2312" w:eastAsia="仿宋_GB2312"/>
              </w:rPr>
              <w:t>单位名称字样。</w:t>
            </w:r>
          </w:p>
          <w:p>
            <w:pPr>
              <w:pStyle w:val="null3"/>
            </w:pPr>
            <w:r>
              <w:rPr>
                <w:rFonts w:ascii="仿宋_GB2312" w:hAnsi="仿宋_GB2312" w:cs="仿宋_GB2312" w:eastAsia="仿宋_GB2312"/>
              </w:rPr>
              <w:t>2.</w:t>
            </w:r>
            <w:r>
              <w:rPr>
                <w:rFonts w:ascii="仿宋_GB2312" w:hAnsi="仿宋_GB2312" w:cs="仿宋_GB2312" w:eastAsia="仿宋_GB2312"/>
              </w:rPr>
              <w:t>每套衣裤</w:t>
            </w:r>
            <w:r>
              <w:rPr>
                <w:rFonts w:ascii="仿宋_GB2312" w:hAnsi="仿宋_GB2312" w:cs="仿宋_GB2312" w:eastAsia="仿宋_GB2312"/>
              </w:rPr>
              <w:t>(同一号型的衣、裤各一件)折叠后，每10套捆成一包。</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1.售后</w:t>
            </w:r>
            <w:r>
              <w:rPr>
                <w:rFonts w:ascii="仿宋_GB2312" w:hAnsi="仿宋_GB2312" w:cs="仿宋_GB2312" w:eastAsia="仿宋_GB2312"/>
              </w:rPr>
              <w:t>服务响应时间不超过</w:t>
            </w:r>
            <w:r>
              <w:rPr>
                <w:rFonts w:ascii="仿宋_GB2312" w:hAnsi="仿宋_GB2312" w:cs="仿宋_GB2312" w:eastAsia="仿宋_GB2312"/>
              </w:rPr>
              <w:t>2小时(工作日),解决问题不超过24小时(工作日)。对服装问题较大短期内暂不能解决的，为不影响</w:t>
            </w:r>
            <w:r>
              <w:rPr>
                <w:rFonts w:ascii="仿宋_GB2312" w:hAnsi="仿宋_GB2312" w:cs="仿宋_GB2312" w:eastAsia="仿宋_GB2312"/>
              </w:rPr>
              <w:t>采购人</w:t>
            </w:r>
            <w:r>
              <w:rPr>
                <w:rFonts w:ascii="仿宋_GB2312" w:hAnsi="仿宋_GB2312" w:cs="仿宋_GB2312" w:eastAsia="仿宋_GB2312"/>
              </w:rPr>
              <w:t>正常工作，</w:t>
            </w:r>
            <w:r>
              <w:rPr>
                <w:rFonts w:ascii="仿宋_GB2312" w:hAnsi="仿宋_GB2312" w:cs="仿宋_GB2312" w:eastAsia="仿宋_GB2312"/>
              </w:rPr>
              <w:t>供应商</w:t>
            </w:r>
            <w:r>
              <w:rPr>
                <w:rFonts w:ascii="仿宋_GB2312" w:hAnsi="仿宋_GB2312" w:cs="仿宋_GB2312" w:eastAsia="仿宋_GB2312"/>
              </w:rPr>
              <w:t>在</w:t>
            </w:r>
            <w:r>
              <w:rPr>
                <w:rFonts w:ascii="仿宋_GB2312" w:hAnsi="仿宋_GB2312" w:cs="仿宋_GB2312" w:eastAsia="仿宋_GB2312"/>
              </w:rPr>
              <w:t>2日内免费提供替代产品，确保正常使用。</w:t>
            </w:r>
          </w:p>
          <w:p>
            <w:pPr>
              <w:pStyle w:val="null3"/>
            </w:pPr>
            <w:r>
              <w:rPr>
                <w:rFonts w:ascii="仿宋_GB2312" w:hAnsi="仿宋_GB2312" w:cs="仿宋_GB2312" w:eastAsia="仿宋_GB2312"/>
              </w:rPr>
              <w:t>2.</w:t>
            </w:r>
            <w:r>
              <w:rPr>
                <w:rFonts w:ascii="仿宋_GB2312" w:hAnsi="仿宋_GB2312" w:cs="仿宋_GB2312" w:eastAsia="仿宋_GB2312"/>
              </w:rPr>
              <w:t>质保期内发生质量问题，接到</w:t>
            </w:r>
            <w:r>
              <w:rPr>
                <w:rFonts w:ascii="仿宋_GB2312" w:hAnsi="仿宋_GB2312" w:cs="仿宋_GB2312" w:eastAsia="仿宋_GB2312"/>
              </w:rPr>
              <w:t>采购人</w:t>
            </w:r>
            <w:r>
              <w:rPr>
                <w:rFonts w:ascii="仿宋_GB2312" w:hAnsi="仿宋_GB2312" w:cs="仿宋_GB2312" w:eastAsia="仿宋_GB2312"/>
              </w:rPr>
              <w:t>通知后，应于当日派出专业工作人员到</w:t>
            </w:r>
            <w:r>
              <w:rPr>
                <w:rFonts w:ascii="仿宋_GB2312" w:hAnsi="仿宋_GB2312" w:cs="仿宋_GB2312" w:eastAsia="仿宋_GB2312"/>
              </w:rPr>
              <w:t>采购人</w:t>
            </w:r>
            <w:r>
              <w:rPr>
                <w:rFonts w:ascii="仿宋_GB2312" w:hAnsi="仿宋_GB2312" w:cs="仿宋_GB2312" w:eastAsia="仿宋_GB2312"/>
              </w:rPr>
              <w:t>所在地办理换货，发生的全部费用由</w:t>
            </w:r>
            <w:r>
              <w:rPr>
                <w:rFonts w:ascii="仿宋_GB2312" w:hAnsi="仿宋_GB2312" w:cs="仿宋_GB2312" w:eastAsia="仿宋_GB2312"/>
              </w:rPr>
              <w:t>供应商</w:t>
            </w:r>
            <w:r>
              <w:rPr>
                <w:rFonts w:ascii="仿宋_GB2312" w:hAnsi="仿宋_GB2312" w:cs="仿宋_GB2312" w:eastAsia="仿宋_GB2312"/>
              </w:rPr>
              <w:t>承担，若需送回生产厂，</w:t>
            </w:r>
            <w:r>
              <w:rPr>
                <w:rFonts w:ascii="仿宋_GB2312" w:hAnsi="仿宋_GB2312" w:cs="仿宋_GB2312" w:eastAsia="仿宋_GB2312"/>
              </w:rPr>
              <w:t>供应商</w:t>
            </w:r>
            <w:r>
              <w:rPr>
                <w:rFonts w:ascii="仿宋_GB2312" w:hAnsi="仿宋_GB2312" w:cs="仿宋_GB2312" w:eastAsia="仿宋_GB2312"/>
              </w:rPr>
              <w:t>承担往返费用。</w:t>
            </w:r>
          </w:p>
          <w:p>
            <w:pPr>
              <w:pStyle w:val="null3"/>
            </w:pPr>
            <w:r>
              <w:rPr>
                <w:rFonts w:ascii="仿宋_GB2312" w:hAnsi="仿宋_GB2312" w:cs="仿宋_GB2312" w:eastAsia="仿宋_GB2312"/>
                <w:sz w:val="21"/>
              </w:rPr>
              <w:t>3.</w:t>
            </w:r>
            <w:r>
              <w:rPr>
                <w:rFonts w:ascii="仿宋_GB2312" w:hAnsi="仿宋_GB2312" w:cs="仿宋_GB2312" w:eastAsia="仿宋_GB2312"/>
                <w:sz w:val="21"/>
              </w:rPr>
              <w:t>要求尺码齐全，个别特殊尺寸需按</w:t>
            </w:r>
            <w:r>
              <w:rPr>
                <w:rFonts w:ascii="仿宋_GB2312" w:hAnsi="仿宋_GB2312" w:cs="仿宋_GB2312" w:eastAsia="仿宋_GB2312"/>
                <w:sz w:val="21"/>
              </w:rPr>
              <w:t>采购人</w:t>
            </w:r>
            <w:r>
              <w:rPr>
                <w:rFonts w:ascii="仿宋_GB2312" w:hAnsi="仿宋_GB2312" w:cs="仿宋_GB2312" w:eastAsia="仿宋_GB2312"/>
                <w:sz w:val="21"/>
              </w:rPr>
              <w:t>要求数量及时提供。</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提供样品需求</w:t>
            </w:r>
            <w:r>
              <w:rPr>
                <w:rFonts w:ascii="仿宋_GB2312" w:hAnsi="仿宋_GB2312" w:cs="仿宋_GB2312" w:eastAsia="仿宋_GB2312"/>
              </w:rPr>
              <w:t>：</w:t>
            </w:r>
          </w:p>
          <w:p>
            <w:pPr>
              <w:pStyle w:val="null3"/>
            </w:pPr>
            <w:r>
              <w:rPr>
                <w:rFonts w:ascii="仿宋_GB2312" w:hAnsi="仿宋_GB2312" w:cs="仿宋_GB2312" w:eastAsia="仿宋_GB2312"/>
                <w:sz w:val="21"/>
              </w:rPr>
              <w:t>需提供样品</w:t>
            </w:r>
            <w:r>
              <w:rPr>
                <w:rFonts w:ascii="仿宋_GB2312" w:hAnsi="仿宋_GB2312" w:cs="仿宋_GB2312" w:eastAsia="仿宋_GB2312"/>
                <w:sz w:val="21"/>
              </w:rPr>
              <w:t>1套</w:t>
            </w:r>
            <w:r>
              <w:rPr>
                <w:rFonts w:ascii="仿宋_GB2312" w:hAnsi="仿宋_GB2312" w:cs="仿宋_GB2312" w:eastAsia="仿宋_GB2312"/>
                <w:sz w:val="21"/>
              </w:rPr>
              <w:t>：迷彩上衣</w:t>
            </w:r>
            <w:r>
              <w:rPr>
                <w:rFonts w:ascii="仿宋_GB2312" w:hAnsi="仿宋_GB2312" w:cs="仿宋_GB2312" w:eastAsia="仿宋_GB2312"/>
                <w:sz w:val="21"/>
              </w:rPr>
              <w:t>1件、迷彩裤子1条</w:t>
            </w:r>
            <w:r>
              <w:rPr>
                <w:rFonts w:ascii="仿宋_GB2312" w:hAnsi="仿宋_GB2312" w:cs="仿宋_GB2312" w:eastAsia="仿宋_GB2312"/>
                <w:sz w:val="21"/>
              </w:rPr>
              <w:t>、短袖迷彩汗衫</w:t>
            </w:r>
            <w:r>
              <w:rPr>
                <w:rFonts w:ascii="仿宋_GB2312" w:hAnsi="仿宋_GB2312" w:cs="仿宋_GB2312" w:eastAsia="仿宋_GB2312"/>
                <w:sz w:val="21"/>
              </w:rPr>
              <w:t>1件</w:t>
            </w:r>
            <w:r>
              <w:rPr>
                <w:rFonts w:ascii="仿宋_GB2312" w:hAnsi="仿宋_GB2312" w:cs="仿宋_GB2312" w:eastAsia="仿宋_GB2312"/>
                <w:sz w:val="21"/>
              </w:rPr>
              <w:t>、帽子</w:t>
            </w:r>
            <w:r>
              <w:rPr>
                <w:rFonts w:ascii="仿宋_GB2312" w:hAnsi="仿宋_GB2312" w:cs="仿宋_GB2312" w:eastAsia="仿宋_GB2312"/>
                <w:sz w:val="21"/>
              </w:rPr>
              <w:t>1顶</w:t>
            </w:r>
            <w:r>
              <w:rPr>
                <w:rFonts w:ascii="仿宋_GB2312" w:hAnsi="仿宋_GB2312" w:cs="仿宋_GB2312" w:eastAsia="仿宋_GB2312"/>
                <w:sz w:val="21"/>
              </w:rPr>
              <w:t>、腰带</w:t>
            </w:r>
            <w:r>
              <w:rPr>
                <w:rFonts w:ascii="仿宋_GB2312" w:hAnsi="仿宋_GB2312" w:cs="仿宋_GB2312" w:eastAsia="仿宋_GB2312"/>
                <w:sz w:val="21"/>
              </w:rPr>
              <w:t>1条</w:t>
            </w:r>
            <w:r>
              <w:rPr>
                <w:rFonts w:ascii="仿宋_GB2312" w:hAnsi="仿宋_GB2312" w:cs="仿宋_GB2312" w:eastAsia="仿宋_GB2312"/>
                <w:sz w:val="21"/>
              </w:rPr>
              <w:t>。样品需符合国家规定的</w:t>
            </w:r>
            <w:r>
              <w:rPr>
                <w:rFonts w:ascii="仿宋_GB2312" w:hAnsi="仿宋_GB2312" w:cs="仿宋_GB2312" w:eastAsia="仿宋_GB2312"/>
                <w:sz w:val="21"/>
              </w:rPr>
              <w:t>相关</w:t>
            </w:r>
            <w:r>
              <w:rPr>
                <w:rFonts w:ascii="仿宋_GB2312" w:hAnsi="仿宋_GB2312" w:cs="仿宋_GB2312" w:eastAsia="仿宋_GB2312"/>
                <w:sz w:val="21"/>
              </w:rPr>
              <w:t>标准，</w:t>
            </w:r>
            <w:r>
              <w:rPr>
                <w:rFonts w:ascii="仿宋_GB2312" w:hAnsi="仿宋_GB2312" w:cs="仿宋_GB2312" w:eastAsia="仿宋_GB2312"/>
                <w:sz w:val="21"/>
              </w:rPr>
              <w:t>并提供</w:t>
            </w:r>
            <w:r>
              <w:rPr>
                <w:rFonts w:ascii="仿宋_GB2312" w:hAnsi="仿宋_GB2312" w:cs="仿宋_GB2312" w:eastAsia="仿宋_GB2312"/>
                <w:sz w:val="21"/>
              </w:rPr>
              <w:t>相关</w:t>
            </w:r>
            <w:r>
              <w:rPr>
                <w:rFonts w:ascii="仿宋_GB2312" w:hAnsi="仿宋_GB2312" w:cs="仿宋_GB2312" w:eastAsia="仿宋_GB2312"/>
                <w:sz w:val="21"/>
              </w:rPr>
              <w:t>产品的检测报告</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针对本项目提供所需要的服务人员团队。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针对本项目提供所需要的专业设备。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未按合同要求提供货物或质量不能满足合同要求，供应商必须无条件更换，保证质量，否则采购人可依据合同约定追究其违约责任。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租赁时间：2026年西安职业技术学院学生军训期间共计14天(具体时间以实际训练时间为准) 交货期：交货日期为采购人开展学生军训活动前3-4天内。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按照国家相关标准、行业标准、地方标准或者其他标准、规范标准执行。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预付款，在完成合同签订后，达到付款条件起10个工作日内，支付合同总金额的40.0%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进度款，服务期满采购人对供应商提供的服务无异议后，供应商持《服务项目合格单》原件及全额发票在采购人处办理剩余全部款项的支付手续，达到付款条件起10个工作日内，支付合同总金额的60.0%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3.4.1样品：（1）投标提供样品为：迷彩上衣1件、迷彩裤子1条、短袖迷彩汗衫1件、帽子1顶、腰带1条。并提供相关产品的检测报告。 (2)投标“样品”及“产品的检测报告”需密封，密封包装上标明供应商名称并加盖供应商公章。 (3)样品应于本项目响应文件递交截止时间之前递交至招标代理公司处。（永明项目管理有限公司：陕西省西安市雁塔区旺座曲江M座25层）逾期送达，不予接收。 (4)中标人的样品不予退还，非中标人样衣在中标公示结束后五日内退还。 3.4.2成交供应商在中标结果发布后，将纸质版响应文件正本1册、副本2册打印盖章后提交至招标代理公司（永明项目管理有限公司：陕西省西安市雁塔区曲江街道旺座曲江M座25层），以便采购人进行留存备案等工作，成交供应商应保持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法定代表人（主要负责人）或其授权代理人身份证明</w:t>
            </w:r>
          </w:p>
        </w:tc>
        <w:tc>
          <w:tcPr>
            <w:tcW w:type="dxa" w:w="3322"/>
          </w:tcPr>
          <w:p>
            <w:pPr>
              <w:pStyle w:val="null3"/>
            </w:pPr>
            <w:r>
              <w:rPr>
                <w:rFonts w:ascii="仿宋_GB2312" w:hAnsi="仿宋_GB2312" w:cs="仿宋_GB2312" w:eastAsia="仿宋_GB2312"/>
              </w:rPr>
              <w:t>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2026年3月（含3月）至磋商响应截止时间内任意一个月本单位社会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任选其一）：①2024年度或2025年度经审计的财务会计报告（至少包括审计报告、资产负债表、现金流量表、利润表及附注，成立时间至提交响应文件截止时间不足一年的可提供成立后任意时段的资产负债表）②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提交供应商2025年6月（含6月）至磋商响应截止时间内至少一个月的纳税证明或完税证明，纳税证明或完税证明上应有代收机构或税务机关的公章或业务专用章。（依法免税的供应商应提供相应文件证明）。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供应商2025年6月（含6月）至磋商响应截止时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其他资料</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 ②本项目不接受联合体投标。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供应商应提交的相关资格证明材料.docx 服务要求、商务要求及其他要求应答表.docx 供应商类似项目业绩一览表.docx 中小企业声明函 残疾人福利性单位声明函 标的清单 报价表 响应函 合同条款响应.docx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竞争性磋商响应文件签字及盖章</w:t>
            </w:r>
          </w:p>
        </w:tc>
        <w:tc>
          <w:tcPr>
            <w:tcW w:type="dxa" w:w="3322"/>
          </w:tcPr>
          <w:p>
            <w:pPr>
              <w:pStyle w:val="null3"/>
            </w:pPr>
            <w:r>
              <w:rPr>
                <w:rFonts w:ascii="仿宋_GB2312" w:hAnsi="仿宋_GB2312" w:cs="仿宋_GB2312" w:eastAsia="仿宋_GB2312"/>
              </w:rPr>
              <w:t>竞争性磋商文件要求盖章或签字处均需要盖章或签字</w:t>
            </w:r>
          </w:p>
        </w:tc>
        <w:tc>
          <w:tcPr>
            <w:tcW w:type="dxa" w:w="1661"/>
          </w:tcPr>
          <w:p>
            <w:pPr>
              <w:pStyle w:val="null3"/>
            </w:pPr>
            <w:r>
              <w:rPr>
                <w:rFonts w:ascii="仿宋_GB2312" w:hAnsi="仿宋_GB2312" w:cs="仿宋_GB2312" w:eastAsia="仿宋_GB2312"/>
              </w:rPr>
              <w:t>响应文件封面 供应商应提交的相关资格证明材料.docx 服务要求、商务要求及其他要求应答表.docx 供应商类似项目业绩一览表.docx 中小企业声明函 残疾人福利性单位声明函 标的清单 报价表 响应函 合同条款响应.docx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（1）只能有一个有效报价； （2）供应商报价超过最高限价的竞争性磋商响应文件为无效投标。</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租赁时间：2026年西安职业技术学院学生军训期间共计14天(具体时间以实际训练时间为准) 交货期：交货日期为采购人开展学生军训活动前3-4天内。</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合同条款响应.docx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评审得分相同的，按照最后报价由低到高的顺序推荐。评审得分且最后报价相同的，按照技术参数与性能指标优劣顺序推荐。评审得分且最后报价且技术参数与性能指标得分均相同的，成交候选供应商并列。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技术参数与性能指标</w:t>
            </w:r>
          </w:p>
        </w:tc>
        <w:tc>
          <w:tcPr>
            <w:tcW w:type="dxa" w:w="2492"/>
          </w:tcPr>
          <w:p>
            <w:pPr>
              <w:pStyle w:val="null3"/>
            </w:pPr>
            <w:r>
              <w:rPr>
                <w:rFonts w:ascii="仿宋_GB2312" w:hAnsi="仿宋_GB2312" w:cs="仿宋_GB2312" w:eastAsia="仿宋_GB2312"/>
              </w:rPr>
              <w:t>供应商对技术参数与性能指标中“服务内容”逐条进行响应，优于或完全满足采购文件要求得14分，每有一个项技术参数负偏离扣1分，扣完为止。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针对本项目制定服务方案</w:t>
            </w:r>
          </w:p>
        </w:tc>
        <w:tc>
          <w:tcPr>
            <w:tcW w:type="dxa" w:w="2492"/>
          </w:tcPr>
          <w:p>
            <w:pPr>
              <w:pStyle w:val="null3"/>
            </w:pPr>
            <w:r>
              <w:rPr>
                <w:rFonts w:ascii="仿宋_GB2312" w:hAnsi="仿宋_GB2312" w:cs="仿宋_GB2312" w:eastAsia="仿宋_GB2312"/>
              </w:rPr>
              <w:t>供应商针对本项目制定服务方案，包括但不限于服务计划方案、服务响应时间、货物分发方案、货物回收方案等内容。 评审标准： 1.内容详细、清晰、科学合理、可操作性强、可执行程度高，能结合项目实际情况很好的满足项目需求，得10分； 2.内容完整、合理可行，能结合项目实际情况满足项目需求，得8分； 3.内容一般、基本合理、可操作性一般，基本能满足项目需求，得6分； 4.内容及思路简单、方案粗糙、可操作性不强，不能满足项目需求，得4分； 5.未提供针对本项目的服务方案得0分。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针对本项目制定运输配送方案</w:t>
            </w:r>
          </w:p>
        </w:tc>
        <w:tc>
          <w:tcPr>
            <w:tcW w:type="dxa" w:w="2492"/>
          </w:tcPr>
          <w:p>
            <w:pPr>
              <w:pStyle w:val="null3"/>
            </w:pPr>
            <w:r>
              <w:rPr>
                <w:rFonts w:ascii="仿宋_GB2312" w:hAnsi="仿宋_GB2312" w:cs="仿宋_GB2312" w:eastAsia="仿宋_GB2312"/>
              </w:rPr>
              <w:t>供应商针对本项目制定运输配送方案，包括但不限于运输配送计划、运输配送车辆及工具安排等内容。 评审标准： 1.内容详细、清晰、科学合理、可操作性强、可执行程度高，能结合项目实际情况很好的满足项目需求，得10分； 2.内容完整、合理可行，能结合项目实际情况满足项目需求，得8分； 3.内容一般、基本合理、可操作性一般，基本能满足项目需求，得6分； 4.内容及思路简单、方案粗糙、可操作性不强，不能满足项目需求，得4分； 5.未提供针对本项目的运输配送方案得0分。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针对本项目提供项目服务团队及职能划分</w:t>
            </w:r>
          </w:p>
        </w:tc>
        <w:tc>
          <w:tcPr>
            <w:tcW w:type="dxa" w:w="2492"/>
          </w:tcPr>
          <w:p>
            <w:pPr>
              <w:pStyle w:val="null3"/>
            </w:pPr>
            <w:r>
              <w:rPr>
                <w:rFonts w:ascii="仿宋_GB2312" w:hAnsi="仿宋_GB2312" w:cs="仿宋_GB2312" w:eastAsia="仿宋_GB2312"/>
              </w:rPr>
              <w:t>供应商针对本项目提供项目服务团队及职能划分，包括但不限于项目负责人员、供货运输配送人员、货物分发及回收人员、售后服务人员等。 评审标准： 1.供应商针对本项目提供的项目实施人员团队人员充足、经验丰富、职能划分明确合理，能结合项目实际情况很好的满足项目需求，得10分； 2.供应商针对本项目提供的项目实施人员团队人员充足、有相关经验、有职能划分，能结合项目实际情况满足项目需求，得8分； 3.供应商针对本项目提供的项目实施人员团队人员一般、有相关经验、有基本分工，基本能满足项目需求，得6分； 4.供应商针对本项目提供的项目实施人员团队人员较少、无相关经验、分工不明确，不能满足项目需求，得4分； 5.未提供针对本项目的项目服务团队及职能划分得0分。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针对本项目产品提供产品质量保证及合法货源渠道证明资料</w:t>
            </w:r>
          </w:p>
        </w:tc>
        <w:tc>
          <w:tcPr>
            <w:tcW w:type="dxa" w:w="2492"/>
          </w:tcPr>
          <w:p>
            <w:pPr>
              <w:pStyle w:val="null3"/>
            </w:pPr>
            <w:r>
              <w:rPr>
                <w:rFonts w:ascii="仿宋_GB2312" w:hAnsi="仿宋_GB2312" w:cs="仿宋_GB2312" w:eastAsia="仿宋_GB2312"/>
              </w:rPr>
              <w:t>供应商针对本项目产品提供产品质量保证及合法货源渠道证明资料（提供产品检测报告和厂家授权或销售协议或代理协议等相关证明资料，确保产品货源渠道合法、无产权纠纷）。 评审标准： 1.供应商针对本项目提供的产品质量保证及合法货源渠道证明资料内容齐全、资料清晰完整、渠道正规、有质量保证、产品检测报告齐全得10分； 2.供应商针对本项目提供的产品质量保证及合法货源渠道证明资料内容完整、渠道正规、产品检测报告基本齐全得8分； 3.供应商针对本项目提供的产品质量保证及合法货源渠道证明资料内容基本完整、渠道正规、有部分产品检测报告得6分； 4.供应商针对本项目提供的产品质量保证及合法货源渠道证明资料内容不完整、产品检测报告欠缺较多得4分； 5.未提供产品质量保证及合法货源渠道证明资料得0分。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针对本项目制定售后服务方案</w:t>
            </w:r>
          </w:p>
        </w:tc>
        <w:tc>
          <w:tcPr>
            <w:tcW w:type="dxa" w:w="2492"/>
          </w:tcPr>
          <w:p>
            <w:pPr>
              <w:pStyle w:val="null3"/>
            </w:pPr>
            <w:r>
              <w:rPr>
                <w:rFonts w:ascii="仿宋_GB2312" w:hAnsi="仿宋_GB2312" w:cs="仿宋_GB2312" w:eastAsia="仿宋_GB2312"/>
              </w:rPr>
              <w:t>供应商针对本项目定制售后服务方案。包含但不限于：售后承诺，售后响应时间、临时补货或者产品残缺退还服务、应急措施等进行综合评定， 评审标准： 1.内容详细、清晰、科学合理、可操作性强、可执行程度高，能结合项目实际情况很好的满足项目需求，得10分； 2.内容完整、合理可行，能结合项目实际情况满足项目需求，得8分； 3.内容一般、基本合理、可操作性一般，基本能满足项目需求，得6分； 4.内容及思路简单、方案粗糙、可操作性不强，不能满足项目需求，得4分； 5.未提供针对本项目的售后服务方案得0分。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供应商现场提供所投产品的样品，根据提供的样品外观、工艺、材质、做工、色泽等情况等进行评审。 1.外观：外观整洁、无油污得4分；外观平整、轻微污渍得3分；外观平整、少量污渍得2分；外观不平整，多处污渍得1分。 2.工艺：工艺精良、版型端正得4分；工艺普通、版型端正得3分；工艺轻微瑕疵、版型平整得2分；工艺粗糙、版型扭曲得1分。 3.材质：材质用料达标，面料舒适度高得4分；材质用料普通，面料舒适度一般得3分；面料有轻微毛边得2分；材质劣质，不符合采购需求得1分。 4.做工：做工精细、缝线牢实得4分；做工平整、少量线头得3分；做工普通、针脚粗糙得2分；做工粗糙、少量开线得1分 5.色泽：色调标准统一，无染色、渗色得4分；色调整体统一，轻微褪色泛黄得3分；色调统一，轻微染色、渗色得2分；色泽不统一，部分染色、渗色得1分 6.样品不齐全或未提供的计0分 注：需提供样品1套包含：迷彩上衣1件、迷彩裤子1条、短袖迷彩汗衫1件、帽子1顶、腰带1条。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供应商提供2023年1月1日至今的类似业绩进行评审（每个业绩证明需提供加盖供应商公章的合同复印件作为评审依据，至少需包含合同首页、标的及金额所在页、签字盖章页。时间以合同签订时间为准）。 评审标准：每提供一份有效业绩证明得2分，满分为6分。未提供的计0分。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1.满足竞争性磋商文件要求且最终报价最低的供应商的价格为磋商基准价，其价格分为满分10分。 2.磋商报价得分=(磋商基准价/最终磋商报价)×10%×100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详见附件：服务要求、商务要求及其他要求应答表.docx</w:t>
      </w:r>
    </w:p>
    <w:p>
      <w:pPr>
        <w:pStyle w:val="null3"/>
        <w:ind w:firstLine="960"/>
      </w:pPr>
      <w:r>
        <w:rPr>
          <w:rFonts w:ascii="仿宋_GB2312" w:hAnsi="仿宋_GB2312" w:cs="仿宋_GB2312" w:eastAsia="仿宋_GB2312"/>
        </w:rPr>
        <w:t>详见附件：合同条款响应.docx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