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5FFC32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leftChars="0" w:right="0" w:rightChars="0" w:firstLine="0" w:firstLineChars="0"/>
        <w:jc w:val="center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0"/>
          <w:szCs w:val="20"/>
          <w:lang w:val="en-US" w:eastAsia="zh-CN"/>
        </w:rPr>
        <w:t>采购需求（二次）</w:t>
      </w:r>
    </w:p>
    <w:p w14:paraId="4D91D482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一、项目总体服务内容及指标</w:t>
      </w:r>
    </w:p>
    <w:p w14:paraId="39E12C2B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本项目服务内容涵盖物资装备存储管理服务、物资配送服务、物资管理系统对接、视频监控服务等，实行全天候24小时驻场保障，全面支撑航空应急救援、突发灾情处置的物资管理使用需求。</w:t>
      </w:r>
    </w:p>
    <w:p w14:paraId="279381E1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0"/>
          <w:szCs w:val="20"/>
        </w:rPr>
        <w:t>（一）物资装备存储管理服务</w:t>
      </w:r>
      <w:bookmarkStart w:id="0" w:name="_GoBack"/>
      <w:bookmarkEnd w:id="0"/>
    </w:p>
    <w:p w14:paraId="1087F99C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2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服务内容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：</w:t>
      </w:r>
    </w:p>
    <w:p w14:paraId="5F150D6A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1.负责宝鸡场站约800㎡应急物资库的日常清洁、规整及消杀。</w:t>
      </w:r>
    </w:p>
    <w:p w14:paraId="232C7F80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2.负责采购人应急救援装备物资的入库验收、分区存放、日常维保、防潮防尘、定期调试、盘点清查及效期管控。</w:t>
      </w:r>
    </w:p>
    <w:p w14:paraId="26193D07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3.负责物资进出库登记、扫码录入、台账归档，完成调拨、归还、破损报备等闭环作业。</w:t>
      </w:r>
    </w:p>
    <w:p w14:paraId="0559CAD9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4.负责库内消防设施及照明灯具的定期巡检、维保；负责库区监控设备的配齐、更新及常态化管护。</w:t>
      </w:r>
    </w:p>
    <w:p w14:paraId="32FB874B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5.落实防火、防盗、防水、防潮、防鼠、防虫、防尘、防暴晒等防护措施，规范库区作业及人员车辆出入管理。</w:t>
      </w:r>
    </w:p>
    <w:p w14:paraId="53CB8653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6.完成物资分类、编码、标识，执行仓储全流程作业并同步更新台账。</w:t>
      </w:r>
    </w:p>
    <w:p w14:paraId="189406EF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7.开展消防巡检与隐患排查，管控库区堆放及用电行为。</w:t>
      </w:r>
    </w:p>
    <w:p w14:paraId="6EC17D59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8.建立电子、纸质双套台账，做好日常记录、月度汇总及资料归档。</w:t>
      </w:r>
    </w:p>
    <w:p w14:paraId="64135B37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9.开展日、周、月服务自查及问题整改，配合采购人抽查、季度评价、年度验收，提交台账及整改材料。</w:t>
      </w:r>
    </w:p>
    <w:p w14:paraId="4A8E2F64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10.落实人员在岗值守。</w:t>
      </w:r>
    </w:p>
    <w:p w14:paraId="286F1596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2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服务标准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：</w:t>
      </w:r>
    </w:p>
    <w:p w14:paraId="6133B7CE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1.库区环境整洁、通道畅通。</w:t>
      </w:r>
    </w:p>
    <w:p w14:paraId="35CE0655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2.所有物资装备完好，随时可用。</w:t>
      </w:r>
    </w:p>
    <w:p w14:paraId="16ED6D8D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3.作业全程留痕、可追溯。</w:t>
      </w:r>
    </w:p>
    <w:p w14:paraId="2842B8FC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4.消防、照明、监控等配套设施全天候稳定运行。</w:t>
      </w:r>
    </w:p>
    <w:p w14:paraId="5C74FB63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5.严格遵守库区安全管理规定，无违规作业行为。</w:t>
      </w:r>
    </w:p>
    <w:p w14:paraId="04687199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6.参照GB/T 38565-2020执行，做到一物一标识；参照SB/T 10977-2013规范全流程仓储作业。</w:t>
      </w:r>
    </w:p>
    <w:p w14:paraId="5B5EE47F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7.参照XF 1131-2014及相关法规标准开展消防安全管理。</w:t>
      </w:r>
    </w:p>
    <w:p w14:paraId="59E92DAA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8.参照GB/T 21071-2021执行：入库及时率≥99%、出库按时完成率≥98%、出库差错率≤0.05%、责任货损率≤0.03%、账货相符率≥99.8%。上述比率指标中的具体时限要求（如入库“及时”的时长、出库“按时”的周期），由采购人根据实际需求确定。</w:t>
      </w:r>
    </w:p>
    <w:p w14:paraId="14A71F24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9.执行一日一记录、一月一汇总，各类履约资料全覆盖归档。</w:t>
      </w:r>
    </w:p>
    <w:p w14:paraId="1B0BBFC9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10.自查问题闭环整改到位，严格遵守在岗及作业规范。</w:t>
      </w:r>
    </w:p>
    <w:p w14:paraId="4A4B5CBE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11.合同期内无安全、消防、物资事故；台账资料100%齐全可追溯，考核问题限时整改。</w:t>
      </w:r>
    </w:p>
    <w:p w14:paraId="53D52624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12.工作时段不少于1人在岗，夜间、节假日电话值守，无脱岗、响应滞后情况。无正当理由，不得拒绝或延误采购人调度指令。</w:t>
      </w:r>
    </w:p>
    <w:p w14:paraId="4C3389F9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0"/>
          <w:szCs w:val="20"/>
        </w:rPr>
        <w:t>（二）物资配送服务</w:t>
      </w:r>
    </w:p>
    <w:p w14:paraId="08D494FC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2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服务内容：</w:t>
      </w:r>
    </w:p>
    <w:p w14:paraId="626C85E5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1.全天候待命，接收并执行采购人物资调拨、应急保障指令，落实应急优先机制。</w:t>
      </w:r>
    </w:p>
    <w:p w14:paraId="0989B1E2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2.规划配送路线、匹配运输车型，完成物资备货、清点、装车、运输、卸货等全流程作业。</w:t>
      </w:r>
    </w:p>
    <w:p w14:paraId="62456847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3.针对特殊天气做好物资防护、加固，防范物资损坏、丢失、错送。</w:t>
      </w:r>
    </w:p>
    <w:p w14:paraId="646BDE05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4.应急任务完成后，完成剩余物资清点、运回、核验、保养、故障排查，对异常物资登记报备并更新台账。</w:t>
      </w:r>
    </w:p>
    <w:p w14:paraId="45308838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2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服务标准：</w:t>
      </w:r>
    </w:p>
    <w:p w14:paraId="05044155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1.实行7×24小时值守，除不可抗力外，15分钟内响应指令，应急任务优先处置。</w:t>
      </w:r>
    </w:p>
    <w:p w14:paraId="252FF32B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2.规范搬运操作，杜绝野蛮作业，完成物资投送与回收闭环。</w:t>
      </w:r>
    </w:p>
    <w:p w14:paraId="3BDC802F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3.特殊天气下物资防护到位。不影响正常使用的外观磨损不计为损坏；功能损坏或影响使用性能的，由中标方承担修复或赔偿责任。</w:t>
      </w:r>
    </w:p>
    <w:p w14:paraId="3658A3DB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4.配送、回收作业全程留痕、可查可溯，异常情况及时书面报备。</w:t>
      </w:r>
    </w:p>
    <w:p w14:paraId="48B03AE7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（三）对接物资管理系统</w:t>
      </w:r>
    </w:p>
    <w:p w14:paraId="1B3AA016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2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服务内容：</w:t>
      </w:r>
    </w:p>
    <w:p w14:paraId="4C371E7E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1.依托采购人现有系统，完成仓库、货位、物料、供应商等基础数据录入、修改、查询。</w:t>
      </w:r>
    </w:p>
    <w:p w14:paraId="4E486816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2.绑定物资唯一二维码标识，落实物资全生命周期管控，推进业务线上流转与建档管理。</w:t>
      </w:r>
    </w:p>
    <w:p w14:paraId="2D6ACAE2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3.运用系统完成物资上架、下架、调拨、归还等实操工作。</w:t>
      </w:r>
    </w:p>
    <w:p w14:paraId="75D99AB5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4.使用系统开展库存查询、盘点、库存调整、临期预警、数据导出等操作，配合对接协调系统技术问题。</w:t>
      </w:r>
    </w:p>
    <w:p w14:paraId="5CB21B8B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5.规范账号使用，留存操作日志与巡检记录，做好数据安全管理。</w:t>
      </w:r>
    </w:p>
    <w:p w14:paraId="3C84D793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6.对采购人的业务咨询做到7×24小时响应，协调处置系统技术问题。</w:t>
      </w:r>
    </w:p>
    <w:p w14:paraId="20D019B8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7.节假日、系统维护及重点时段持续提供服务，应急任务期间全员值守、服从调度。</w:t>
      </w:r>
    </w:p>
    <w:p w14:paraId="57AE8467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8.对各项操作、巡检、协调工作进行记录，建立配套台账。</w:t>
      </w:r>
    </w:p>
    <w:p w14:paraId="462D630E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2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服务标准：</w:t>
      </w:r>
    </w:p>
    <w:p w14:paraId="03C2C756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1.严格按照业务规范操作系统，保障仓储业务有序运转。</w:t>
      </w:r>
    </w:p>
    <w:p w14:paraId="4A4EE3B3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2.落实数据安全要求，严防数据篡改、泄露、误操作，数据准确规范。</w:t>
      </w:r>
    </w:p>
    <w:p w14:paraId="3579B7D9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3.及时响应业务咨询，系统技术问题第一时间对接协调相关方处置。</w:t>
      </w:r>
    </w:p>
    <w:p w14:paraId="2D9055B8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4.重点时段、应急场景服务不间断，全力配合采购人开展物资保障工作。</w:t>
      </w:r>
    </w:p>
    <w:p w14:paraId="7E3DF9D8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5.所有工作全程留痕，台账完整规范，可追溯、可核查，接受采购人监督。</w:t>
      </w:r>
    </w:p>
    <w:p w14:paraId="30AEEE9E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（四）视频监控服务</w:t>
      </w:r>
    </w:p>
    <w:p w14:paraId="7A43C288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2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服务内容：</w:t>
      </w:r>
    </w:p>
    <w:p w14:paraId="124BAD83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1.在库房大门、门窗、通道、物资存储区等关键区域布设监控点位。</w:t>
      </w:r>
    </w:p>
    <w:p w14:paraId="5126BA42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2.按照对应标准开展监控设备布设与日常运维，按要求更换故障设备。</w:t>
      </w:r>
    </w:p>
    <w:p w14:paraId="11A356D1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3.每日巡查摄像机、存储、供电、网络等设备状态，做好清洁、调试与故障排查。</w:t>
      </w:r>
    </w:p>
    <w:p w14:paraId="24D031EF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4.保障监控录像、远程访问、移动侦测、报警等功能正常运行。</w:t>
      </w:r>
    </w:p>
    <w:p w14:paraId="159ABCB9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2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服务标准：</w:t>
      </w:r>
    </w:p>
    <w:p w14:paraId="6E18EDEE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1.监控点位不少于15个，实现库房全域无死角覆盖。</w:t>
      </w:r>
    </w:p>
    <w:p w14:paraId="46E5645D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2.依照GA/T 1781-2021执行；更换摄像机分辨率不低于300万像素，夜视距离不低于20米，支持360°全景拍摄。</w:t>
      </w:r>
    </w:p>
    <w:p w14:paraId="370F75C9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3.一般故障24小时内完成设备更换，需采购设备最长不超过72小时。</w:t>
      </w:r>
    </w:p>
    <w:p w14:paraId="36CDDCC0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4.系统24小时不间断录像，画面清晰，支持远程预览、回放、参数设置。</w:t>
      </w:r>
    </w:p>
    <w:p w14:paraId="3C1A6739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5.移动侦测及报警功能灵敏、正常可用。</w:t>
      </w:r>
    </w:p>
    <w:p w14:paraId="0B5BF958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6.录像资料自动循环存储不少于30天，严禁手动删除、录像中断，录像资料完整可回放、可溯源。</w:t>
      </w:r>
    </w:p>
    <w:p w14:paraId="69D9C617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7.在采购人授权网络环境下，支持电脑端、手机端远程预览、回放及报警设置。</w:t>
      </w:r>
    </w:p>
    <w:p w14:paraId="1D19957F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（五）总体责任说明</w:t>
      </w:r>
    </w:p>
    <w:p w14:paraId="737CFE97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本项目所有仓储管理、物资配送、物资管理系统对接、视频监控运维相关服务工作，服务实施全过程须严格遵守国家相关法律法规及对应行业标准规范，若供应商服务未达到上述标准，采购人有权根据违约程度扣减相应服务费用。供应商在项目实施过程中应对安全生产负全责，发生的一切事故及相关责任均由供应商承担，采购人不承担任何法律和经济上的责任。</w:t>
      </w:r>
    </w:p>
    <w:p w14:paraId="0FAA8A5C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0"/>
          <w:szCs w:val="20"/>
        </w:rPr>
        <w:t>二、核心人员配置要求</w:t>
      </w:r>
    </w:p>
    <w:p w14:paraId="01256E32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本项目岗位、人员固定，库管员未经采购人书面同意不得擅自更换，具体配置如下：</w:t>
      </w:r>
    </w:p>
    <w:p w14:paraId="60476BFD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1.驻场库管员至少1名（7×24小时驻场值守）</w:t>
      </w:r>
    </w:p>
    <w:p w14:paraId="22728A1F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0"/>
          <w:szCs w:val="20"/>
        </w:rPr>
        <w:t>驻场库管员须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熟悉消防、安防、仓储安全等基础知识及操作规程。成交供应商须承诺，合同签订之日起三个月内驻场库管员取得仓库管理员证书，并同步提供相关专业技术培训记录。</w:t>
      </w:r>
    </w:p>
    <w:p w14:paraId="34A44982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2.其他辅助人员</w:t>
      </w:r>
    </w:p>
    <w:p w14:paraId="40ECD7A5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操作国家质检部门规定需持证上岗的装卸作业机具时，作业人员必须经过专业培训，持有有效且合格的操作证件。服务方须能按需完成物资备货、装卸、规整、回收等辅助作业，并具备适配突发高强度应急任务的能力。</w:t>
      </w:r>
    </w:p>
    <w:p w14:paraId="6AEB5F1D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0"/>
          <w:szCs w:val="20"/>
        </w:rPr>
        <w:t>三、项目服务期及付款方式</w:t>
      </w:r>
    </w:p>
    <w:p w14:paraId="5CEE70C3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项目服务期限：合同签订且交付验收(初验)合格之日起1年。</w:t>
      </w:r>
    </w:p>
    <w:p w14:paraId="1EF234E9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付款方式：项目合同签订且交付验收(初验)合格后，支付合同金额的60%;供应商履约至2026年12月31日前，采购人组织阶段性履约验收，验收合格并按采购人要求出具服务承诺函后，支付剩余40%合同尾款;项目全服务周期届满、项目整体完工后，采购人组织最终履约验收。</w:t>
      </w:r>
    </w:p>
    <w:p w14:paraId="72E69994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  <w:jc w:val="both"/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0"/>
          <w:szCs w:val="20"/>
        </w:rPr>
        <w:t>商务通用要求</w:t>
      </w:r>
    </w:p>
    <w:p w14:paraId="19130C1A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1.具备健全的质量管理、安全生产、人员管控体系，能够保证服务团队人员稳定、专业合规。本项目严禁转包、违法分包，一经发现采购人有权终止合同、追究违约责任。</w:t>
      </w:r>
    </w:p>
    <w:p w14:paraId="19B1E239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0"/>
          <w:szCs w:val="20"/>
        </w:rPr>
        <w:t>2.本项目所有数字化成果、系统资料、台账资料知识产权归采购人所有，供应商仅用于本项目履约，服务期满完整移交。</w:t>
      </w:r>
    </w:p>
    <w:p w14:paraId="184DB888">
      <w:pPr>
        <w:ind w:left="0" w:leftChars="0" w:right="0" w:rightChars="0" w:firstLine="0" w:firstLineChars="0"/>
        <w:jc w:val="center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45A82A"/>
    <w:multiLevelType w:val="multilevel"/>
    <w:tmpl w:val="5E45A82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82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2026-09-11T03:21:16Z</dcterms:created>
  <dc:creator>dell</dc:creator>
  <cp:lastModifiedBy>dell</cp:lastModifiedBy>
  <dcterms:modified xsi:type="dcterms:W3CDTF">2026-09-11T03:22:29Z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eyJoZGlkIjoiZTdjMTYzYzkyNmMyZGMzOTg0OTFkMzg2NWU4NThmNGYiLCJ1c2VySWQiOiIxMjY1MTc4OTA3In0=</vt:lpwstr>
  </property>
  <property fmtid="{D5CDD505-2E9C-101B-9397-08002B2CF9AE}" pid="4" name="ICV">
    <vt:lpwstr>E2667E2DDBA44D21896806209206C14C_12</vt:lpwstr>
  </property>
</Properties>
</file>