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版本号：YC26263015(CGA)20260731001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公寓楼提升改造工程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YC26263015(CGA)</w:t>
      </w:r>
      <w:r>
        <w:br/>
      </w:r>
      <w:r>
        <w:br/>
      </w:r>
      <w:r>
        <w:br/>
      </w:r>
    </w:p>
    <w:p>
      <w:pPr>
        <w:pStyle w:val="null3"/>
        <w:jc w:val="center"/>
        <w:outlineLvl w:val="2"/>
      </w:pPr>
      <w:r>
        <w:rPr>
          <w:rFonts w:ascii="仿宋_GB2312" w:hAnsi="仿宋_GB2312" w:cs="仿宋_GB2312" w:eastAsia="仿宋_GB2312"/>
          <w:sz w:val="28"/>
          <w:b/>
        </w:rPr>
        <w:t>西安市第八十二中学</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西安市第八十二中学</w:t>
      </w:r>
      <w:r>
        <w:rPr>
          <w:rFonts w:ascii="仿宋_GB2312" w:hAnsi="仿宋_GB2312" w:cs="仿宋_GB2312" w:eastAsia="仿宋_GB2312"/>
        </w:rPr>
        <w:t>委托，拟对</w:t>
      </w:r>
      <w:r>
        <w:rPr>
          <w:rFonts w:ascii="仿宋_GB2312" w:hAnsi="仿宋_GB2312" w:cs="仿宋_GB2312" w:eastAsia="仿宋_GB2312"/>
        </w:rPr>
        <w:t>公寓楼提升改造工程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YC26263015(CGA)</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公寓楼提升改造工程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西安市第八十二中学公寓楼提升改造工程，主要工程内容：墙面翻新、水电管线更换、淋浴间改造，卫生间防水、门窗更换，应急灯具及标志灯升级，公共区域优化等内容。具体详见工程量清单。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采购包1（公寓楼提升改造工程）：属于专门面向中小企业采购。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1、有效的主体资格证明：有效的主体资格证明：供应商应是独立承担民事责任能力的法人、其他组织或自然人，法人 、其他组织须提供合法有效的统一社会信用代码营业执照等证明资料， 自然人须提供身份证明。</w:t>
      </w:r>
    </w:p>
    <w:p>
      <w:pPr>
        <w:pStyle w:val="null3"/>
      </w:pPr>
      <w:r>
        <w:rPr>
          <w:rFonts w:ascii="仿宋_GB2312" w:hAnsi="仿宋_GB2312" w:cs="仿宋_GB2312" w:eastAsia="仿宋_GB2312"/>
        </w:rPr>
        <w:t>2、法定代表人授权委托书：法定代表人授权委托书：（1）法定代表人授权委托书及被授权人身份证（法定代表人参加投标的，提供法定代表人（单位负责人）身份证明及身份；（2）法定代表人授权他人参加投标的，提供法定代表人委托授权书及被授权代表的身份证）符合磋商文件要求。磋商文件中凡是需要法定代表人签字或盖章之处，非法人单位的负责人均参照执行。</w:t>
      </w:r>
    </w:p>
    <w:p>
      <w:pPr>
        <w:pStyle w:val="null3"/>
      </w:pPr>
      <w:r>
        <w:rPr>
          <w:rFonts w:ascii="仿宋_GB2312" w:hAnsi="仿宋_GB2312" w:cs="仿宋_GB2312" w:eastAsia="仿宋_GB2312"/>
        </w:rPr>
        <w:t>3、财务状况报告：提供2025年度经审计的财务审计报告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4、税收缴纳证明材料：税收缴纳证明材料：供应商需提供递交响应文件截止时间前12个月内任意一个月缴纳税收的凭据或完税证明，凭据应有税务机关或代收机关的公章或业务专用章；依法免税的供应商应提供相关文件证明；</w:t>
      </w:r>
    </w:p>
    <w:p>
      <w:pPr>
        <w:pStyle w:val="null3"/>
      </w:pPr>
      <w:r>
        <w:rPr>
          <w:rFonts w:ascii="仿宋_GB2312" w:hAnsi="仿宋_GB2312" w:cs="仿宋_GB2312" w:eastAsia="仿宋_GB2312"/>
        </w:rPr>
        <w:t>5、社会保障资金缴纳证明：社会保障资金缴纳证明：（1）提供供应商自投标截止日期前6个月以来已缴存的任意时段的社会保障资金缴存单据或社保机构开具的社会保险参保缴费情况证明；（2）依法不需要缴纳社会保障资金的供应商应提供相关文件证明；（3 ) 新成立未发生缴纳社保资金事项的供应商， 应提供缴纳社保资金的书面承诺；</w:t>
      </w:r>
    </w:p>
    <w:p>
      <w:pPr>
        <w:pStyle w:val="null3"/>
      </w:pPr>
      <w:r>
        <w:rPr>
          <w:rFonts w:ascii="仿宋_GB2312" w:hAnsi="仿宋_GB2312" w:cs="仿宋_GB2312" w:eastAsia="仿宋_GB2312"/>
        </w:rPr>
        <w:t>6、参加政府采购活动前 3 年内在经营活动中没有重大违法记录的书面声明：供应商参加政府采购活动前 3 年内在经营活动中没有重大违法记录的书面声明书</w:t>
      </w:r>
    </w:p>
    <w:p>
      <w:pPr>
        <w:pStyle w:val="null3"/>
      </w:pPr>
      <w:r>
        <w:rPr>
          <w:rFonts w:ascii="仿宋_GB2312" w:hAnsi="仿宋_GB2312" w:cs="仿宋_GB2312" w:eastAsia="仿宋_GB2312"/>
        </w:rPr>
        <w:t>7、履行合同所必需的设备和专业技术能力：具有履行合同所必需的设备和专业技术能力的声明函</w:t>
      </w:r>
    </w:p>
    <w:p>
      <w:pPr>
        <w:pStyle w:val="null3"/>
      </w:pPr>
      <w:r>
        <w:rPr>
          <w:rFonts w:ascii="仿宋_GB2312" w:hAnsi="仿宋_GB2312" w:cs="仿宋_GB2312" w:eastAsia="仿宋_GB2312"/>
        </w:rPr>
        <w:t>8、供应商资质要求：供应商具有建设行政主管部门核发的建筑工程施工总承包三级及以上资质或建筑装修装饰工程专业承包二级及以上资质，且具备有效的安全生产许可证。</w:t>
      </w:r>
    </w:p>
    <w:p>
      <w:pPr>
        <w:pStyle w:val="null3"/>
      </w:pPr>
      <w:r>
        <w:rPr>
          <w:rFonts w:ascii="仿宋_GB2312" w:hAnsi="仿宋_GB2312" w:cs="仿宋_GB2312" w:eastAsia="仿宋_GB2312"/>
        </w:rPr>
        <w:t>9、项目经理资格要求：拟派项目经理须具备建筑工程专业二级 (含二级）及以上注册建造师执业资格和有效的安全生产考核合格证书，且未担任其他在建工程的项目经理。</w:t>
      </w:r>
    </w:p>
    <w:p>
      <w:pPr>
        <w:pStyle w:val="null3"/>
      </w:pPr>
      <w:r>
        <w:rPr>
          <w:rFonts w:ascii="仿宋_GB2312" w:hAnsi="仿宋_GB2312" w:cs="仿宋_GB2312" w:eastAsia="仿宋_GB2312"/>
        </w:rPr>
        <w:t>10、供应商及项目经理基本信息：供应商及项目经理基本信息须在“ 陕西省建设网 ”可查询</w:t>
      </w:r>
    </w:p>
    <w:p>
      <w:pPr>
        <w:pStyle w:val="null3"/>
      </w:pPr>
      <w:r>
        <w:rPr>
          <w:rFonts w:ascii="仿宋_GB2312" w:hAnsi="仿宋_GB2312" w:cs="仿宋_GB2312" w:eastAsia="仿宋_GB2312"/>
        </w:rPr>
        <w:t>11、信用信息：供应商不得为《信用中国》（网站：www.cre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西安市碑林区友谊西路286号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满明允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029-85215244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赵醒文、张耀峰，赵利科，李楠，董海龙，屈小军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18092609286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皇甫力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采购包1：902,786.67元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代理服务费收费标准：参照国家计委颁布的《招标代理服务收费管理暂行办法》计价格〔2002〕1980号、发改办价格〔2003〕857号、发改价格〔2011〕534号及发改价格〔2015〕299号文件规定按标准计取。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西安市第八十二中学</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 供应商自有知识产权 本项目实施过程中，供应商所使用的自有施工工法、专项改造技术、装饰工艺、设备控制系统、配套软件程序、原创优化设计方案等知识产权，采购人享有本项目永久、免费、非独占使用权，可用于本项目的施工、验收、备案、日常运维、修缮整改、后期改扩建及政府资料存档，无需另行支付任何知识产权使用费。未经供应商书面同意，采购人不得将其用于本项目以外的商业用途。 2. 第三方知识产权 项目涉及的教育设备软件、教学系统、专利材料、专用工艺、正版图文素材、标准图集、第三方技术成果等，全部由供应商负责提前取得合法、完整、可覆盖本项目全周期的授权许可，所有授权费用、版权费用、专利使用费均包含在合同总价中，采购人不再另行付费。因第三方知识产权授权不全、过期、权属不清产生的一切问题，由供应商全权负责。 3. 本项目新生成成果权属 针对本公寓楼提升改造工程全新编制、优化、落地的施工方案、深化图纸、效果图、施工图、竣工图、技术交底资料、改造优化措施、验收成果资料等全部新增智力成果，知识产权全部归采购人所有。供应商仅可用于内部项目案例存档，不得对外传播、商用、转借、售卖。</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现行的国家标准或国家行政部门颁布的法律法规、规章制度等。达到验收合格标准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联系人：李楠，董海龙，屈小军</w:t>
      </w:r>
    </w:p>
    <w:p>
      <w:pPr>
        <w:pStyle w:val="null3"/>
      </w:pPr>
      <w:r>
        <w:rPr>
          <w:rFonts w:ascii="仿宋_GB2312" w:hAnsi="仿宋_GB2312" w:cs="仿宋_GB2312" w:eastAsia="仿宋_GB2312"/>
        </w:rPr>
        <w:t>联系电话：18092609286</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902,786.67</w:t>
      </w:r>
    </w:p>
    <w:p>
      <w:pPr>
        <w:pStyle w:val="null3"/>
      </w:pPr>
      <w:r>
        <w:rPr>
          <w:rFonts w:ascii="仿宋_GB2312" w:hAnsi="仿宋_GB2312" w:cs="仿宋_GB2312" w:eastAsia="仿宋_GB2312"/>
        </w:rPr>
        <w:t>采购包最高限价（元）: 902,786.67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公寓楼提升改造工程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902,786.67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标的名称：公寓楼提升改造工程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ind w:left="15" w:firstLine="380"/>
              <w:jc w:val="left"/>
            </w:pPr>
            <w:r>
              <w:rPr>
                <w:rFonts w:ascii="仿宋_GB2312" w:hAnsi="仿宋_GB2312" w:cs="仿宋_GB2312" w:eastAsia="仿宋_GB2312"/>
                <w:sz w:val="19"/>
              </w:rPr>
              <w:t>一、项目概况</w:t>
            </w:r>
          </w:p>
          <w:p>
            <w:pPr>
              <w:pStyle w:val="null3"/>
              <w:spacing w:before="135"/>
              <w:ind w:left="15" w:firstLine="380"/>
              <w:jc w:val="left"/>
            </w:pPr>
            <w:r>
              <w:rPr>
                <w:rFonts w:ascii="仿宋_GB2312" w:hAnsi="仿宋_GB2312" w:cs="仿宋_GB2312" w:eastAsia="仿宋_GB2312"/>
                <w:sz w:val="19"/>
              </w:rPr>
              <w:t>（一）</w:t>
            </w:r>
            <w:r>
              <w:rPr>
                <w:rFonts w:ascii="仿宋_GB2312" w:hAnsi="仿宋_GB2312" w:cs="仿宋_GB2312" w:eastAsia="仿宋_GB2312"/>
                <w:sz w:val="19"/>
              </w:rPr>
              <w:t>工程内容：</w:t>
            </w:r>
            <w:r>
              <w:rPr>
                <w:rFonts w:ascii="仿宋_GB2312" w:hAnsi="仿宋_GB2312" w:cs="仿宋_GB2312" w:eastAsia="仿宋_GB2312"/>
                <w:sz w:val="19"/>
              </w:rPr>
              <w:t>墙面翻新、水电管线更换、淋浴间改造，卫生间防水、门窗更换，应急灯具及标志灯升级，公共区域优化等内容。</w:t>
            </w:r>
            <w:r>
              <w:rPr>
                <w:rFonts w:ascii="仿宋_GB2312" w:hAnsi="仿宋_GB2312" w:cs="仿宋_GB2312" w:eastAsia="仿宋_GB2312"/>
                <w:sz w:val="19"/>
              </w:rPr>
              <w:t xml:space="preserve">     </w:t>
            </w:r>
          </w:p>
          <w:p>
            <w:pPr>
              <w:pStyle w:val="null3"/>
              <w:spacing w:before="135"/>
              <w:jc w:val="left"/>
            </w:pPr>
            <w:r>
              <w:rPr>
                <w:rFonts w:ascii="仿宋_GB2312" w:hAnsi="仿宋_GB2312" w:cs="仿宋_GB2312" w:eastAsia="仿宋_GB2312"/>
                <w:sz w:val="19"/>
              </w:rPr>
              <w:t>（二）工程地点：西安市</w:t>
            </w:r>
            <w:r>
              <w:rPr>
                <w:rFonts w:ascii="仿宋_GB2312" w:hAnsi="仿宋_GB2312" w:cs="仿宋_GB2312" w:eastAsia="仿宋_GB2312"/>
                <w:sz w:val="19"/>
              </w:rPr>
              <w:t>碑林区友谊西路</w:t>
            </w:r>
            <w:r>
              <w:rPr>
                <w:rFonts w:ascii="仿宋_GB2312" w:hAnsi="仿宋_GB2312" w:cs="仿宋_GB2312" w:eastAsia="仿宋_GB2312"/>
                <w:sz w:val="19"/>
              </w:rPr>
              <w:t>286号</w:t>
            </w:r>
            <w:r>
              <w:rPr>
                <w:rFonts w:ascii="仿宋_GB2312" w:hAnsi="仿宋_GB2312" w:cs="仿宋_GB2312" w:eastAsia="仿宋_GB2312"/>
                <w:sz w:val="19"/>
              </w:rPr>
              <w:t>。</w:t>
            </w:r>
          </w:p>
          <w:p>
            <w:pPr>
              <w:pStyle w:val="null3"/>
              <w:spacing w:before="135"/>
              <w:ind w:left="15" w:firstLine="380"/>
              <w:jc w:val="left"/>
            </w:pPr>
            <w:r>
              <w:rPr>
                <w:rFonts w:ascii="仿宋_GB2312" w:hAnsi="仿宋_GB2312" w:cs="仿宋_GB2312" w:eastAsia="仿宋_GB2312"/>
                <w:sz w:val="19"/>
              </w:rPr>
              <w:t>（三）计划工期：自进场之日起</w:t>
            </w:r>
            <w:r>
              <w:rPr>
                <w:rFonts w:ascii="仿宋_GB2312" w:hAnsi="仿宋_GB2312" w:cs="仿宋_GB2312" w:eastAsia="仿宋_GB2312"/>
                <w:sz w:val="19"/>
              </w:rPr>
              <w:t>20个日历日内竣工。</w:t>
            </w:r>
          </w:p>
          <w:p>
            <w:pPr>
              <w:pStyle w:val="null3"/>
              <w:spacing w:before="135"/>
              <w:ind w:left="15" w:firstLine="380"/>
              <w:jc w:val="left"/>
            </w:pPr>
            <w:r>
              <w:rPr>
                <w:rFonts w:ascii="仿宋_GB2312" w:hAnsi="仿宋_GB2312" w:cs="仿宋_GB2312" w:eastAsia="仿宋_GB2312"/>
                <w:sz w:val="19"/>
              </w:rPr>
              <w:t>（四）缺陷责任期：</w:t>
            </w:r>
            <w:r>
              <w:rPr>
                <w:rFonts w:ascii="仿宋_GB2312" w:hAnsi="仿宋_GB2312" w:cs="仿宋_GB2312" w:eastAsia="仿宋_GB2312"/>
                <w:sz w:val="19"/>
              </w:rPr>
              <w:t>2年</w:t>
            </w:r>
          </w:p>
          <w:p>
            <w:pPr>
              <w:pStyle w:val="null3"/>
              <w:spacing w:before="135"/>
              <w:ind w:left="15" w:firstLine="380"/>
              <w:jc w:val="left"/>
            </w:pPr>
            <w:r>
              <w:rPr>
                <w:rFonts w:ascii="仿宋_GB2312" w:hAnsi="仿宋_GB2312" w:cs="仿宋_GB2312" w:eastAsia="仿宋_GB2312"/>
                <w:sz w:val="19"/>
              </w:rPr>
              <w:t>（五）质量保修期：</w:t>
            </w:r>
            <w:r>
              <w:rPr>
                <w:rFonts w:ascii="仿宋_GB2312" w:hAnsi="仿宋_GB2312" w:cs="仿宋_GB2312" w:eastAsia="仿宋_GB2312"/>
                <w:sz w:val="19"/>
              </w:rPr>
              <w:t>2年</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、编制依据：</w:t>
            </w:r>
          </w:p>
          <w:p>
            <w:pPr>
              <w:pStyle w:val="null3"/>
              <w:spacing w:before="135"/>
              <w:jc w:val="left"/>
            </w:pPr>
            <w:r>
              <w:rPr>
                <w:rFonts w:ascii="仿宋_GB2312" w:hAnsi="仿宋_GB2312" w:cs="仿宋_GB2312" w:eastAsia="仿宋_GB2312"/>
                <w:sz w:val="19"/>
              </w:rPr>
              <w:t>1、工程量依据西安市第八十二中学公寓楼提升改造工程各专业施工图及设计答疑回复编制；</w:t>
            </w:r>
          </w:p>
          <w:p>
            <w:pPr>
              <w:pStyle w:val="null3"/>
              <w:spacing w:before="135"/>
              <w:jc w:val="left"/>
            </w:pPr>
            <w:r>
              <w:rPr>
                <w:rFonts w:ascii="仿宋_GB2312" w:hAnsi="仿宋_GB2312" w:cs="仿宋_GB2312" w:eastAsia="仿宋_GB2312"/>
                <w:sz w:val="19"/>
              </w:rPr>
              <w:t>2、《关于批准发布《绿色生态小区建设评价标准》等7项陕西省工程建设标准的通告》陕建标发〔2025〕2号，《建设工程工程量清单计价标准》（DB 61/T5126-2025）、《市政工程工程量计算标准》（DB 61/T5128-2025）、《房屋建筑与装饰工程工程量计算标准》（DB 61/T5129-2025）、《通用安装工程工程量计算标准》（DB 61/T5130-2025）、《园林绿化工程工程量计算标准》（DB 61/T5131-2025）；</w:t>
            </w:r>
          </w:p>
          <w:p>
            <w:pPr>
              <w:pStyle w:val="null3"/>
              <w:spacing w:before="135"/>
              <w:jc w:val="left"/>
            </w:pPr>
            <w:r>
              <w:rPr>
                <w:rFonts w:ascii="仿宋_GB2312" w:hAnsi="仿宋_GB2312" w:cs="仿宋_GB2312" w:eastAsia="仿宋_GB2312"/>
                <w:sz w:val="19"/>
              </w:rPr>
              <w:t>3、工程特点及常规施工方案，现行施工规范；</w:t>
            </w:r>
          </w:p>
          <w:p>
            <w:pPr>
              <w:pStyle w:val="null3"/>
              <w:spacing w:before="135"/>
              <w:jc w:val="left"/>
            </w:pPr>
            <w:r>
              <w:rPr>
                <w:rFonts w:ascii="仿宋_GB2312" w:hAnsi="仿宋_GB2312" w:cs="仿宋_GB2312" w:eastAsia="仿宋_GB2312"/>
                <w:sz w:val="19"/>
              </w:rPr>
              <w:t>4、与建设工程项目有关的标准、规范、图集、技术资料；</w:t>
            </w:r>
          </w:p>
          <w:p>
            <w:pPr>
              <w:pStyle w:val="null3"/>
              <w:spacing w:before="135"/>
              <w:jc w:val="left"/>
            </w:pPr>
            <w:r>
              <w:rPr>
                <w:rFonts w:ascii="仿宋_GB2312" w:hAnsi="仿宋_GB2312" w:cs="仿宋_GB2312" w:eastAsia="仿宋_GB2312"/>
                <w:sz w:val="19"/>
              </w:rPr>
              <w:t>5、图纸问题答疑回复；</w:t>
            </w:r>
          </w:p>
          <w:p>
            <w:pPr>
              <w:pStyle w:val="null3"/>
              <w:spacing w:before="135"/>
              <w:jc w:val="left"/>
            </w:pPr>
            <w:r>
              <w:rPr>
                <w:rFonts w:ascii="仿宋_GB2312" w:hAnsi="仿宋_GB2312" w:cs="仿宋_GB2312" w:eastAsia="仿宋_GB2312"/>
                <w:sz w:val="19"/>
              </w:rPr>
              <w:t>三、编制说明：</w:t>
            </w:r>
          </w:p>
          <w:p>
            <w:pPr>
              <w:pStyle w:val="null3"/>
              <w:spacing w:before="135"/>
              <w:ind w:left="15" w:firstLine="380"/>
              <w:jc w:val="left"/>
            </w:pPr>
            <w:r>
              <w:rPr>
                <w:rFonts w:ascii="仿宋_GB2312" w:hAnsi="仿宋_GB2312" w:cs="仿宋_GB2312" w:eastAsia="仿宋_GB2312"/>
                <w:sz w:val="19"/>
              </w:rPr>
              <w:t>1、本工程量清单所提供工程项目特征仅表达了主要工程做法，组价时应依据施工图纸、相关图集、招标文件、技术规范、答疑回复等进行组价；</w:t>
            </w:r>
          </w:p>
          <w:p>
            <w:pPr>
              <w:pStyle w:val="null3"/>
              <w:spacing w:before="135"/>
              <w:ind w:left="15" w:firstLine="380"/>
              <w:jc w:val="left"/>
            </w:pPr>
            <w:r>
              <w:rPr>
                <w:rFonts w:ascii="仿宋_GB2312" w:hAnsi="仿宋_GB2312" w:cs="仿宋_GB2312" w:eastAsia="仿宋_GB2312"/>
                <w:sz w:val="19"/>
              </w:rPr>
              <w:t>2、本工程采用一般计税:组成税前工程造价的分部分项工程项目费、措施项目费、其他项目费均不包含进项税税额；</w:t>
            </w:r>
          </w:p>
          <w:p>
            <w:pPr>
              <w:pStyle w:val="null3"/>
              <w:spacing w:before="135"/>
              <w:ind w:left="15" w:firstLine="380"/>
              <w:jc w:val="left"/>
            </w:pPr>
            <w:r>
              <w:rPr>
                <w:rFonts w:ascii="仿宋_GB2312" w:hAnsi="仿宋_GB2312" w:cs="仿宋_GB2312" w:eastAsia="仿宋_GB2312"/>
                <w:sz w:val="19"/>
              </w:rPr>
              <w:t>3、本工程砂浆采用预拌砂浆，混凝土采用商品混凝土；</w:t>
            </w:r>
          </w:p>
          <w:p>
            <w:pPr>
              <w:pStyle w:val="null3"/>
              <w:spacing w:before="135"/>
              <w:ind w:left="15" w:firstLine="380"/>
              <w:jc w:val="left"/>
            </w:pPr>
            <w:r>
              <w:rPr>
                <w:rFonts w:ascii="仿宋_GB2312" w:hAnsi="仿宋_GB2312" w:cs="仿宋_GB2312" w:eastAsia="仿宋_GB2312"/>
                <w:sz w:val="19"/>
              </w:rPr>
              <w:t>4、电子版使用广联达云计价软件GCCP7.0（版本：7.5000.23.3）。</w:t>
            </w:r>
          </w:p>
          <w:p>
            <w:pPr>
              <w:pStyle w:val="null3"/>
              <w:spacing w:before="135"/>
              <w:ind w:left="15" w:firstLine="381"/>
              <w:jc w:val="left"/>
            </w:pPr>
            <w:r>
              <w:rPr>
                <w:rFonts w:ascii="仿宋_GB2312" w:hAnsi="仿宋_GB2312" w:cs="仿宋_GB2312" w:eastAsia="仿宋_GB2312"/>
                <w:sz w:val="19"/>
                <w:b/>
              </w:rPr>
              <w:t>四、暂列金额、暂估单价：</w:t>
            </w:r>
          </w:p>
          <w:p>
            <w:pPr>
              <w:pStyle w:val="null3"/>
              <w:spacing w:before="135"/>
              <w:ind w:left="15" w:firstLine="380"/>
              <w:jc w:val="left"/>
            </w:pPr>
            <w:r>
              <w:rPr>
                <w:rFonts w:ascii="仿宋_GB2312" w:hAnsi="仿宋_GB2312" w:cs="仿宋_GB2312" w:eastAsia="仿宋_GB2312"/>
                <w:sz w:val="19"/>
              </w:rPr>
              <w:t>暂列金额：本工程暂列金额共计</w:t>
            </w:r>
            <w:r>
              <w:rPr>
                <w:rFonts w:ascii="仿宋_GB2312" w:hAnsi="仿宋_GB2312" w:cs="仿宋_GB2312" w:eastAsia="仿宋_GB2312"/>
                <w:sz w:val="19"/>
              </w:rPr>
              <w:t>3.2万元整（不含税），计入公寓楼提升改造工程、单位工程暂列金额其他项目费中；</w:t>
            </w:r>
          </w:p>
          <w:p>
            <w:pPr>
              <w:pStyle w:val="null3"/>
              <w:spacing w:before="135"/>
              <w:ind w:left="15" w:firstLine="380"/>
              <w:jc w:val="left"/>
            </w:pPr>
            <w:r>
              <w:rPr>
                <w:rFonts w:ascii="仿宋_GB2312" w:hAnsi="仿宋_GB2312" w:cs="仿宋_GB2312" w:eastAsia="仿宋_GB2312"/>
                <w:sz w:val="19"/>
              </w:rPr>
              <w:t>室内家具、设备需二次搬运、保护</w:t>
            </w:r>
            <w:r>
              <w:rPr>
                <w:rFonts w:ascii="仿宋_GB2312" w:hAnsi="仿宋_GB2312" w:cs="仿宋_GB2312" w:eastAsia="仿宋_GB2312"/>
                <w:sz w:val="19"/>
              </w:rPr>
              <w:t>/恢复【暂估单价 综合单价】3000元/项。</w:t>
            </w:r>
          </w:p>
          <w:p>
            <w:pPr>
              <w:pStyle w:val="null3"/>
              <w:spacing w:before="135"/>
              <w:ind w:left="15" w:firstLine="380"/>
              <w:jc w:val="left"/>
            </w:pPr>
            <w:r>
              <w:rPr>
                <w:rFonts w:ascii="仿宋_GB2312" w:hAnsi="仿宋_GB2312" w:cs="仿宋_GB2312" w:eastAsia="仿宋_GB2312"/>
                <w:sz w:val="19"/>
              </w:rPr>
              <w:t>卫生间电气拆除【暂估单价</w:t>
            </w:r>
            <w:r>
              <w:rPr>
                <w:rFonts w:ascii="仿宋_GB2312" w:hAnsi="仿宋_GB2312" w:cs="仿宋_GB2312" w:eastAsia="仿宋_GB2312"/>
                <w:sz w:val="19"/>
              </w:rPr>
              <w:t>综合单价】</w:t>
            </w:r>
            <w:r>
              <w:rPr>
                <w:rFonts w:ascii="仿宋_GB2312" w:hAnsi="仿宋_GB2312" w:cs="仿宋_GB2312" w:eastAsia="仿宋_GB2312"/>
                <w:sz w:val="19"/>
              </w:rPr>
              <w:t>200元/间。</w:t>
            </w:r>
          </w:p>
          <w:p>
            <w:pPr>
              <w:pStyle w:val="null3"/>
            </w:pPr>
            <w:r>
              <w:rPr>
                <w:rFonts w:ascii="仿宋_GB2312" w:hAnsi="仿宋_GB2312" w:cs="仿宋_GB2312" w:eastAsia="仿宋_GB2312"/>
                <w:sz w:val="19"/>
                <w:b/>
              </w:rPr>
              <w:t>五、问题回复：详见附件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本项目技术标准执行本项目设计文件及国家、陕西省相关规范、标准。 本工程的施工过程和成果必须同时符合国家有关工程建设标准强制性条文和国家或有关部门关于工程施工方面现行的标准、规范、规程、定额、办法、示例，以及陕西省关于工程施工方面的文件、规定及设计文件的要求。 在施工期间，中标供应商必须注意院内人员安全，加强安全措施，并对施工人员进行安全教育。施工人员必须持证上岗。因采购人工作的特殊性，要求中标供应商在施工中做到封闭性施工。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 xml:space="preserve"> 1）承包人在施工过程中使用或参考上述标准、规范以外的技术标准、规范时，应征得业主或业主指定代表人的同意。在施工过程中，如果国家或有关部门颁布了新的技术标准或规范，则承包人应采用新的标准或规范进行施工。 2）施工范围：施工图纸及工程量清单中全部内容。直至竣工验收合格并整体移交、工程保修期内的缺陷修复和保修工作。同时承担相关协调工作。 3）设备及材料选用：工程所用设备及材料应在满足使用功能的基础上，按照经济合理的原则进行选择。 4）工程涉及的劳动安全、节能、环保、消防等应严格按照国家有关法规执行。 5）、工期：自进场之日起20个日历日内竣工； 6）、质量标准：现行的国家标准或国家行政部门颁布的法律法规、规章制度等。</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一、.款项结算： （1）合同签订后30个工作日内支付合同总价款40%作为预付款； （2）工程完工且验收通过后30个工作日内支付合同总价款的50%； （3）工程审计完成后30个工作日内根据审定金额据实支付剩余合同总价款的10%。同时，乙方向甲方出具合同总价 3% 的质保函，质保函可采用保函等方式。待项目质保期结束后，向乙方退还质保函。 二、其他 （一）质量验收标准或规范 现行的国家标准或国家行政部门颁布的法律法规、规章制度等。达到验收合格标准。 （二）违约责任 1.按《建设工程施工合同》《中华人民共和国民法典》中的相关条款执行。 2.乙方履约延误 2-1.如乙方事先未征得甲方同意并得到甲方的谅解而单方面延迟交货，将按违约终止合同。 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未提供服务的服务费用的百分之零点五（0.5%）计收，直至完工为止。误期赔偿费的最高限额为合同价格的百分之五（5%）。一旦达到误期赔偿费的最高限额，甲方可终止合同。 3.违约终止合同：未按合同要求提供或质量不能满足技术要求，甲方会同监理部门有权终止合同，对乙方违约行为进行追究，同时按政府采购法的有关规定进行相应的处罚。 （三）其他内容 消防末端灯具局部更换允许总包配套实施,如涉及整套消防系统专项工程允许依法分包。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资格证明文件材料.docx 中小企业声明函 残疾人福利性单位声明函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与大企业的负责人为同一人，或者与大企业存在直接控股、管理关系的不得参加本项目政府采购活动；供应商需在项目电子化交易系统中按要求填写《响应函》完成承诺并进行电子签章。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资格证明文件材料.docx 中小企业声明函 残疾人福利性单位声明函 技术服务合同条款及其他商务要求应答表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有效的主体资格证明：供应商应是独立承担民事责任能力的法人、其他组织或自然人，法人 、其他组织须提供合法有效的统一社会信用代码营业执照等证明资料， 自然人须提供身份证明。</w:t>
            </w:r>
          </w:p>
        </w:tc>
        <w:tc>
          <w:tcPr>
            <w:tcW w:type="dxa" w:w="1661"/>
          </w:tcPr>
          <w:p>
            <w:pPr>
              <w:pStyle w:val="null3"/>
            </w:pPr>
            <w:r>
              <w:rPr>
                <w:rFonts w:ascii="仿宋_GB2312" w:hAnsi="仿宋_GB2312" w:cs="仿宋_GB2312" w:eastAsia="仿宋_GB2312"/>
              </w:rPr>
              <w:t>响应文件封面 资格证明文件材料.docx 项目管理机构组成表 响应函 主要人员简历表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1）法定代表人授权委托书及被授权人身份证（法定代表人参加投标的，提供法定代表人（单位负责人）身份证明及身份；（2）法定代表人授权他人参加投标的，提供法定代表人委托授权书及被授权代表的身份证）符合磋商文件要求。磋商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资格证明文件材料.docx 中小企业声明函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提供2025年度经审计的财务审计报告 (成立时间至开标时间不足一年的可提供成立后任意时段的资产负债表）或投标截止时间前六个月内其基本账户银行出具的资信证明或政府采购信用担保机构出具的担保函；(以上三种形式的资料提供任何一种即可)。 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响应文件封面 资格证明文件材料.docx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税收缴纳证明材料</w:t>
            </w:r>
          </w:p>
        </w:tc>
        <w:tc>
          <w:tcPr>
            <w:tcW w:type="dxa" w:w="3322"/>
          </w:tcPr>
          <w:p>
            <w:pPr>
              <w:pStyle w:val="null3"/>
            </w:pPr>
            <w:r>
              <w:rPr>
                <w:rFonts w:ascii="仿宋_GB2312" w:hAnsi="仿宋_GB2312" w:cs="仿宋_GB2312" w:eastAsia="仿宋_GB2312"/>
              </w:rPr>
              <w:t>税收缴纳证明材料：供应商需提供递交响应文件截止时间前12个月内任意一个月缴纳税收的凭据或完税证明，凭据应有税务机关或代收机关的公章或业务专用章；依法免税的供应商应提供相关文件证明；</w:t>
            </w:r>
          </w:p>
        </w:tc>
        <w:tc>
          <w:tcPr>
            <w:tcW w:type="dxa" w:w="1661"/>
          </w:tcPr>
          <w:p>
            <w:pPr>
              <w:pStyle w:val="null3"/>
            </w:pPr>
            <w:r>
              <w:rPr>
                <w:rFonts w:ascii="仿宋_GB2312" w:hAnsi="仿宋_GB2312" w:cs="仿宋_GB2312" w:eastAsia="仿宋_GB2312"/>
              </w:rPr>
              <w:t>响应文件封面 资格证明文件材料.docx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1）提供供应商自投标截止日期前6个月以来已缴存的任意时段的社会保障资金缴存单据或社保机构开具的社会保险参保缴费情况证明；（2）依法不需要缴纳社会保障资金的供应商应提供相关文件证明；（3 ) 新成立未发生缴纳社保资金事项的供应商， 应提供缴纳社保资金的书面承诺；</w:t>
            </w:r>
          </w:p>
        </w:tc>
        <w:tc>
          <w:tcPr>
            <w:tcW w:type="dxa" w:w="1661"/>
          </w:tcPr>
          <w:p>
            <w:pPr>
              <w:pStyle w:val="null3"/>
            </w:pPr>
            <w:r>
              <w:rPr>
                <w:rFonts w:ascii="仿宋_GB2312" w:hAnsi="仿宋_GB2312" w:cs="仿宋_GB2312" w:eastAsia="仿宋_GB2312"/>
              </w:rPr>
              <w:t>响应文件封面 资格证明文件材料.docx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 3 年内在经营活动中没有重大违法记录的书面声明</w:t>
            </w:r>
          </w:p>
        </w:tc>
        <w:tc>
          <w:tcPr>
            <w:tcW w:type="dxa" w:w="3322"/>
          </w:tcPr>
          <w:p>
            <w:pPr>
              <w:pStyle w:val="null3"/>
            </w:pPr>
            <w:r>
              <w:rPr>
                <w:rFonts w:ascii="仿宋_GB2312" w:hAnsi="仿宋_GB2312" w:cs="仿宋_GB2312" w:eastAsia="仿宋_GB2312"/>
              </w:rPr>
              <w:t>供应商参加政府采购活动前 3 年内在经营活动中没有重大违法记录的书面声明书</w:t>
            </w:r>
          </w:p>
        </w:tc>
        <w:tc>
          <w:tcPr>
            <w:tcW w:type="dxa" w:w="1661"/>
          </w:tcPr>
          <w:p>
            <w:pPr>
              <w:pStyle w:val="null3"/>
            </w:pPr>
            <w:r>
              <w:rPr>
                <w:rFonts w:ascii="仿宋_GB2312" w:hAnsi="仿宋_GB2312" w:cs="仿宋_GB2312" w:eastAsia="仿宋_GB2312"/>
              </w:rPr>
              <w:t>响应文件封面 资格证明文件材料.docx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具有履行合同所必需的设备和专业技术能力的声明函</w:t>
            </w:r>
          </w:p>
        </w:tc>
        <w:tc>
          <w:tcPr>
            <w:tcW w:type="dxa" w:w="1661"/>
          </w:tcPr>
          <w:p>
            <w:pPr>
              <w:pStyle w:val="null3"/>
            </w:pPr>
            <w:r>
              <w:rPr>
                <w:rFonts w:ascii="仿宋_GB2312" w:hAnsi="仿宋_GB2312" w:cs="仿宋_GB2312" w:eastAsia="仿宋_GB2312"/>
              </w:rPr>
              <w:t>响应文件封面 资格证明文件材料.docx 项目管理机构组成表 施工组织设计文件.docx 中小企业声明函 残疾人福利性单位声明函 关于符合本国产品标准的声明函 技术服务合同条款及其他商务要求应答表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供应商具有建设行政主管部门核发的建筑工程施工总承包三级及以上资质或建筑装修装饰工程专业承包二级及以上资质，且具备有效的安全生产许可证。</w:t>
            </w:r>
          </w:p>
        </w:tc>
        <w:tc>
          <w:tcPr>
            <w:tcW w:type="dxa" w:w="1661"/>
          </w:tcPr>
          <w:p>
            <w:pPr>
              <w:pStyle w:val="null3"/>
            </w:pPr>
            <w:r>
              <w:rPr>
                <w:rFonts w:ascii="仿宋_GB2312" w:hAnsi="仿宋_GB2312" w:cs="仿宋_GB2312" w:eastAsia="仿宋_GB2312"/>
              </w:rPr>
              <w:t>响应文件封面 资格证明文件材料.docx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 (含二级）及以上注册建造师执业资格和有效的安全生产考核合格证书，且未担任其他在建工程的项目经理。</w:t>
            </w:r>
          </w:p>
        </w:tc>
        <w:tc>
          <w:tcPr>
            <w:tcW w:type="dxa" w:w="1661"/>
          </w:tcPr>
          <w:p>
            <w:pPr>
              <w:pStyle w:val="null3"/>
            </w:pPr>
            <w:r>
              <w:rPr>
                <w:rFonts w:ascii="仿宋_GB2312" w:hAnsi="仿宋_GB2312" w:cs="仿宋_GB2312" w:eastAsia="仿宋_GB2312"/>
              </w:rPr>
              <w:t>响应文件封面 资格证明文件材料.docx 项目管理机构组成表 技术服务合同条款及其他商务要求应答表 响应函 主要人员简历表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供应商及项目经理基本信息</w:t>
            </w:r>
          </w:p>
        </w:tc>
        <w:tc>
          <w:tcPr>
            <w:tcW w:type="dxa" w:w="3322"/>
          </w:tcPr>
          <w:p>
            <w:pPr>
              <w:pStyle w:val="null3"/>
            </w:pPr>
            <w:r>
              <w:rPr>
                <w:rFonts w:ascii="仿宋_GB2312" w:hAnsi="仿宋_GB2312" w:cs="仿宋_GB2312" w:eastAsia="仿宋_GB2312"/>
              </w:rPr>
              <w:t>供应商及项目经理基本信息须在“ 陕西省建设网 ”可查询</w:t>
            </w:r>
          </w:p>
        </w:tc>
        <w:tc>
          <w:tcPr>
            <w:tcW w:type="dxa" w:w="1661"/>
          </w:tcPr>
          <w:p>
            <w:pPr>
              <w:pStyle w:val="null3"/>
            </w:pPr>
            <w:r>
              <w:rPr>
                <w:rFonts w:ascii="仿宋_GB2312" w:hAnsi="仿宋_GB2312" w:cs="仿宋_GB2312" w:eastAsia="仿宋_GB2312"/>
              </w:rPr>
              <w:t>响应文件封面 资格证明文件材料.docx 项目管理机构组成表 技术服务合同条款及其他商务要求应答表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 ditchina.gov.cn)列入重大税收违法失信主体；未被《中国执行信息公开网》（网站： http://zxgk.court.gov.cn/shixin/)列入失信被执行人及未被《中国政府采购网》（网站：ww w.ccgp.gov.cn）列入政府采购严重违法失信行为记录名单.</w:t>
            </w:r>
          </w:p>
        </w:tc>
        <w:tc>
          <w:tcPr>
            <w:tcW w:type="dxa" w:w="1661"/>
          </w:tcPr>
          <w:p>
            <w:pPr>
              <w:pStyle w:val="null3"/>
            </w:pPr>
            <w:r>
              <w:rPr>
                <w:rFonts w:ascii="仿宋_GB2312" w:hAnsi="仿宋_GB2312" w:cs="仿宋_GB2312" w:eastAsia="仿宋_GB2312"/>
              </w:rPr>
              <w:t>响应文件封面 资格证明文件材料.docx 中小企业声明函 残疾人福利性单位声明函 技术服务合同条款及其他商务要求应答表 响应函 陕西省政府采购供应商拒绝政府采购领域商业贿赂承诺书.docx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已标价工程量清单 施工组织设计文件.docx 中小企业声明函 技术服务合同条款及其他商务要求应答表 强制优先采购产品承诺函 响应文件封面 资格证明文件材料.docx 项目管理机构组成表 残疾人福利性单位声明函 报价函 关于符合本国产品标准的声明函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应符合“响应文件格式”和响应文件要求</w:t>
            </w:r>
          </w:p>
        </w:tc>
        <w:tc>
          <w:tcPr>
            <w:tcW w:type="dxa" w:w="1661"/>
          </w:tcPr>
          <w:p>
            <w:pPr>
              <w:pStyle w:val="null3"/>
            </w:pPr>
            <w:r>
              <w:rPr>
                <w:rFonts w:ascii="仿宋_GB2312" w:hAnsi="仿宋_GB2312" w:cs="仿宋_GB2312" w:eastAsia="仿宋_GB2312"/>
              </w:rPr>
              <w:t>已标价工程量清单 施工组织设计文件.docx 中小企业声明函 技术服务合同条款及其他商务要求应答表 强制优先采购产品承诺函 响应文件封面 资格证明文件材料.docx 项目管理机构组成表 残疾人福利性单位声明函 报价函 关于符合本国产品标准的声明函 标的清单 供应商类似项目业绩一览表 响应函 陕西省政府采购供应商拒绝政府采购领域商业贿赂承诺书.docx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施工组织设计文件.docx 报价函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施工组织设计文件.docx 报价函 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施工组织设计文件.docx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付款条件</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资格证明文件材料.docx 已标价工程量清单 施工组织设计文件.docx 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已标价工程量清单 施工组织设计文件.docx 报价函 标的清单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其他响应文件内容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已标价工程量清单 施工组织设计文件.docx 中小企业声明函 技术服务合同条款及其他商务要求应答表 强制优先采购产品承诺函 响应文件封面 资格证明文件材料.docx 项目管理机构组成表 残疾人福利性单位声明函 报价函 关于符合本国产品标准的声明函 标的清单 供应商类似项目业绩一览表 响应函 陕西省政府采购供应商拒绝政府采购领域商业贿赂承诺书.docx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总体施工方案、公寓楼改造重难点对策</w:t>
            </w:r>
          </w:p>
        </w:tc>
        <w:tc>
          <w:tcPr>
            <w:tcW w:type="dxa" w:w="2492"/>
          </w:tcPr>
          <w:p>
            <w:pPr>
              <w:pStyle w:val="null3"/>
            </w:pPr>
            <w:r>
              <w:rPr>
                <w:rFonts w:ascii="仿宋_GB2312" w:hAnsi="仿宋_GB2312" w:cs="仿宋_GB2312" w:eastAsia="仿宋_GB2312"/>
              </w:rPr>
              <w:t>充分考虑在校校园环境、学生作息，针对公寓楼内翻新、走廊改造、成品保护、降噪防尘措施完善，方案贴合现场：4–7（含）分；方案基本可行，措施一般：2–4（含）分；内容简略、未考虑校园管控：0–2（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施工组织设计文件.docx</w:t>
            </w:r>
          </w:p>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工期计划与假期施工保障方案</w:t>
            </w:r>
          </w:p>
        </w:tc>
        <w:tc>
          <w:tcPr>
            <w:tcW w:type="dxa" w:w="2492"/>
          </w:tcPr>
          <w:p>
            <w:pPr>
              <w:pStyle w:val="null3"/>
            </w:pPr>
            <w:r>
              <w:rPr>
                <w:rFonts w:ascii="仿宋_GB2312" w:hAnsi="仿宋_GB2312" w:cs="仿宋_GB2312" w:eastAsia="仿宋_GB2312"/>
              </w:rPr>
              <w:t>本项目多利用暑假施工，明确节点安排、交叉施工、加班保障、按期竣工措施；计划科学合理4–7（含）分；计划粗略1–4（含）分；无专项工期保障0分。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材料方案、环保管控措施</w:t>
            </w:r>
          </w:p>
        </w:tc>
        <w:tc>
          <w:tcPr>
            <w:tcW w:type="dxa" w:w="2492"/>
          </w:tcPr>
          <w:p>
            <w:pPr>
              <w:pStyle w:val="null3"/>
            </w:pPr>
            <w:r>
              <w:rPr>
                <w:rFonts w:ascii="仿宋_GB2312" w:hAnsi="仿宋_GB2312" w:cs="仿宋_GB2312" w:eastAsia="仿宋_GB2312"/>
              </w:rPr>
              <w:t>墙地材料、板材、涂料、胶黏剂环保标准承诺；进场检测、样品报验、完工室内空气治理与检测方案完善；材料标准清晰、环保措施齐全4–7（含）分；仅有简单承诺1–4（含）分；无环保管控方案0分。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质量管控、成品保护方案</w:t>
            </w:r>
          </w:p>
        </w:tc>
        <w:tc>
          <w:tcPr>
            <w:tcW w:type="dxa" w:w="2492"/>
          </w:tcPr>
          <w:p>
            <w:pPr>
              <w:pStyle w:val="null3"/>
            </w:pPr>
            <w:r>
              <w:rPr>
                <w:rFonts w:ascii="仿宋_GB2312" w:hAnsi="仿宋_GB2312" w:cs="仿宋_GB2312" w:eastAsia="仿宋_GB2312"/>
              </w:rPr>
              <w:t>墙面、地面、水电管线、门窗、消防设施升级及原有设施成品保护；隐蔽工程验收、工序管控、质量通病防治；措施完善4–7（含）分；方案一般1–4（含）分；方案缺失0-1（含）分。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安全文明施工、防尘降噪、校园应急管理</w:t>
            </w:r>
          </w:p>
        </w:tc>
        <w:tc>
          <w:tcPr>
            <w:tcW w:type="dxa" w:w="2492"/>
          </w:tcPr>
          <w:p>
            <w:pPr>
              <w:pStyle w:val="null3"/>
            </w:pPr>
            <w:r>
              <w:rPr>
                <w:rFonts w:ascii="仿宋_GB2312" w:hAnsi="仿宋_GB2312" w:cs="仿宋_GB2312" w:eastAsia="仿宋_GB2312"/>
              </w:rPr>
              <w:t>1、封闭施工、降噪防尘、施工区域隔离、学生安全隔离防护、消防安全、垃圾及时清运、突发事件应急预案。措施完善4–7（含）分；一般2–4（含）分；方案简陋0-2（含）分。 2. 高空作业、用电施工、机械作业、临时施工防护、学生隔离防护等安全措施全面，风险预判到位，应急预案完善。 良好3.0-5.0（含）分：安全措施齐全，可规避常规施工风险。 合格1.5-3.0分（含）：安全措施基本齐全，细节不足。 不合格0-1.5（含）分：安全措施缺失，存在重大安全漏洞。</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项目经理与项目管理团队配置</w:t>
            </w:r>
          </w:p>
        </w:tc>
        <w:tc>
          <w:tcPr>
            <w:tcW w:type="dxa" w:w="2492"/>
          </w:tcPr>
          <w:p>
            <w:pPr>
              <w:pStyle w:val="null3"/>
            </w:pPr>
            <w:r>
              <w:rPr>
                <w:rFonts w:ascii="仿宋_GB2312" w:hAnsi="仿宋_GB2312" w:cs="仿宋_GB2312" w:eastAsia="仿宋_GB2312"/>
              </w:rPr>
              <w:t>项目经理具备类似项目业绩；配备施工员、质量员、安全员等持证管理人员班子；人员配置齐全、项目经理具有类似项目业绩：8分； 项目管理团队人员配置完整无类似业绩：6分；管理团队人员缺失：每缺失一项扣2分，扣完为止。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投标人类似项目业绩</w:t>
            </w:r>
          </w:p>
        </w:tc>
        <w:tc>
          <w:tcPr>
            <w:tcW w:type="dxa" w:w="2492"/>
          </w:tcPr>
          <w:p>
            <w:pPr>
              <w:pStyle w:val="null3"/>
            </w:pPr>
            <w:r>
              <w:rPr>
                <w:rFonts w:ascii="仿宋_GB2312" w:hAnsi="仿宋_GB2312" w:cs="仿宋_GB2312" w:eastAsia="仿宋_GB2312"/>
              </w:rPr>
              <w:t>近3年内类似项目业绩，每份有效业绩（合同+竣工验收证明）4分，最高8分；无相关业绩0分。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施工组织设计文件.docx</w:t>
            </w:r>
          </w:p>
        </w:tc>
      </w:tr>
      <w:tr>
        <w:tc>
          <w:tcPr>
            <w:tcW w:type="dxa" w:w="831"/>
            <w:vMerge/>
          </w:tcPr>
          <w:p/>
        </w:tc>
        <w:tc>
          <w:tcPr>
            <w:tcW w:type="dxa" w:w="1661"/>
          </w:tcPr>
          <w:p>
            <w:pPr>
              <w:pStyle w:val="null3"/>
            </w:pPr>
            <w:r>
              <w:rPr>
                <w:rFonts w:ascii="仿宋_GB2312" w:hAnsi="仿宋_GB2312" w:cs="仿宋_GB2312" w:eastAsia="仿宋_GB2312"/>
              </w:rPr>
              <w:t>售后服务、质保承诺</w:t>
            </w:r>
          </w:p>
        </w:tc>
        <w:tc>
          <w:tcPr>
            <w:tcW w:type="dxa" w:w="2492"/>
          </w:tcPr>
          <w:p>
            <w:pPr>
              <w:pStyle w:val="null3"/>
            </w:pPr>
            <w:r>
              <w:rPr>
                <w:rFonts w:ascii="仿宋_GB2312" w:hAnsi="仿宋_GB2312" w:cs="仿宋_GB2312" w:eastAsia="仿宋_GB2312"/>
              </w:rPr>
              <w:t>提供维修响应时限、定期回访、缺陷快速修复方案1–8分；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履约保障、合理化建议</w:t>
            </w:r>
          </w:p>
        </w:tc>
        <w:tc>
          <w:tcPr>
            <w:tcW w:type="dxa" w:w="2492"/>
          </w:tcPr>
          <w:p>
            <w:pPr>
              <w:pStyle w:val="null3"/>
            </w:pPr>
            <w:r>
              <w:rPr>
                <w:rFonts w:ascii="仿宋_GB2312" w:hAnsi="仿宋_GB2312" w:cs="仿宋_GB2312" w:eastAsia="仿宋_GB2312"/>
              </w:rPr>
              <w:t>针对公寓楼改造提出优化建议、减少对学校正常教学干扰、完工保洁移交等合理化方案，方案明确计3–6（含）分。方案阐述空泛不够明确计0-3（含）分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施工组织设计文件.docx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供应商的价格分，按照财政部财库[ 2014]214号文件第二十四条和财库【2020】46号文件的规定，采用低价优先法计算，以本次满足磋商文件要求经评审的最低磋商评审价为磋商基准价，其价格为满分。 供应商的价格分，统一按照下列公式计算：最后报价得分=(磋商基准价／最后报价)×100×价格权值。注：本项目为专门面向中小企业项目，专门面向中小微企业采购的项目，不再执行价格评审优惠的扶持政策。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详见附件：施工组织设计文件.docx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合同条款及格式(1).docx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