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D600C">
      <w:pPr>
        <w:jc w:val="center"/>
        <w:outlineLvl w:val="2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企业资质</w:t>
      </w:r>
    </w:p>
    <w:p w14:paraId="0A24298D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04BFA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供应商须提供保险监督管理机构批准的《保险许可证》。（总公司取得的相关资质和指标，分支机构经总公司有效授权视为拥有同等资质和指标，总公司只允许授权1家分支机构参与投标)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p w14:paraId="6A7B3CA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27E56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4F35A15"/>
    <w:rsid w:val="17C67841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2F527E56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2025-12-11T07:57:00Z</dcterms:created>
  <dc:creator>华采</dc:creator>
  <cp:lastModifiedBy>陕西华采招标有限公司</cp:lastModifiedBy>
  <dcterms:modified xsi:type="dcterms:W3CDTF">2026-03-16T00:44:04Z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589AE6419D45434F9013BE13810A5B68_11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