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4AC95">
      <w:pPr>
        <w:autoSpaceDE w:val="0"/>
        <w:autoSpaceDN w:val="0"/>
        <w:adjustRightInd w:val="0"/>
        <w:snapToGrid w:val="0"/>
        <w:spacing w:line="360" w:lineRule="auto"/>
        <w:jc w:val="center"/>
        <w:outlineLvl w:val="0"/>
        <w:rPr>
          <w:rFonts w:hint="eastAsia" w:ascii="黑体" w:hAnsi="黑体" w:eastAsia="黑体" w:cs="黑体"/>
          <w:b/>
          <w:bCs/>
          <w:color w:val="auto"/>
          <w:kern w:val="2"/>
          <w:sz w:val="32"/>
          <w:szCs w:val="32"/>
          <w:highlight w:val="none"/>
          <w:lang w:val="en-US" w:eastAsia="zh-CN" w:bidi="ar-SA"/>
        </w:rPr>
      </w:pPr>
      <w:r>
        <w:rPr>
          <w:rFonts w:hint="eastAsia" w:ascii="仿宋_GB2312" w:hAnsi="仿宋_GB2312" w:eastAsia="仿宋_GB2312" w:cs="仿宋_GB2312"/>
          <w:b/>
          <w:bCs/>
          <w:spacing w:val="6"/>
          <w:sz w:val="36"/>
          <w:szCs w:val="36"/>
          <w:lang w:eastAsia="zh-CN"/>
        </w:rPr>
        <w:t>拟签订采购合同文本</w:t>
      </w:r>
    </w:p>
    <w:p w14:paraId="33D5A584">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甲方（采购人）： </w:t>
      </w:r>
    </w:p>
    <w:p w14:paraId="3E107FBA">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乙方（成交供应商）： </w:t>
      </w:r>
    </w:p>
    <w:p w14:paraId="3648892A">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u w:val="single"/>
          <w:lang w:eastAsia="zh-CN"/>
        </w:rPr>
        <w:t>购买机动车保险项目（</w:t>
      </w:r>
      <w:r>
        <w:rPr>
          <w:rFonts w:hint="eastAsia" w:ascii="仿宋_GB2312" w:hAnsi="仿宋_GB2312" w:eastAsia="仿宋_GB2312" w:cs="仿宋_GB2312"/>
          <w:bCs/>
          <w:sz w:val="28"/>
          <w:szCs w:val="28"/>
          <w:u w:val="single"/>
          <w:lang w:val="en-US" w:eastAsia="zh-CN"/>
        </w:rPr>
        <w:t>四次</w:t>
      </w:r>
      <w:r>
        <w:rPr>
          <w:rFonts w:hint="eastAsia" w:ascii="仿宋_GB2312" w:hAnsi="仿宋_GB2312" w:eastAsia="仿宋_GB2312" w:cs="仿宋_GB2312"/>
          <w:bCs/>
          <w:sz w:val="28"/>
          <w:szCs w:val="28"/>
          <w:u w:val="single"/>
          <w:lang w:eastAsia="zh-CN"/>
        </w:rPr>
        <w:t>）</w:t>
      </w:r>
      <w:r>
        <w:rPr>
          <w:rFonts w:hint="eastAsia" w:ascii="仿宋_GB2312" w:hAnsi="仿宋_GB2312" w:eastAsia="仿宋_GB2312" w:cs="仿宋_GB2312"/>
          <w:bCs/>
          <w:sz w:val="28"/>
          <w:szCs w:val="28"/>
          <w:u w:val="single"/>
        </w:rPr>
        <w:t>(项目编号：SXHC2025-321.1B4</w:t>
      </w:r>
      <w:bookmarkStart w:id="0" w:name="_GoBack"/>
      <w:bookmarkEnd w:id="0"/>
      <w:r>
        <w:rPr>
          <w:rFonts w:hint="eastAsia" w:ascii="仿宋_GB2312" w:hAnsi="仿宋_GB2312" w:eastAsia="仿宋_GB2312" w:cs="仿宋_GB2312"/>
          <w:bCs/>
          <w:sz w:val="28"/>
          <w:szCs w:val="28"/>
          <w:u w:val="single"/>
        </w:rPr>
        <w:t>)</w:t>
      </w:r>
      <w:r>
        <w:rPr>
          <w:rFonts w:hint="eastAsia" w:ascii="仿宋_GB2312" w:hAnsi="仿宋_GB2312" w:eastAsia="仿宋_GB2312" w:cs="仿宋_GB2312"/>
          <w:bCs/>
          <w:sz w:val="28"/>
          <w:szCs w:val="28"/>
        </w:rPr>
        <w:t>，由陕西华采招标有限公司组织竞争性磋商，</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(以下简称“甲方”)确定</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（以下简称“乙方”）为该项目的成交供应商。</w:t>
      </w:r>
    </w:p>
    <w:p w14:paraId="17020F5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依据《中华人民共和国民法典》和《中华人民共和国政府采购法》之规定，经双方在平等、自愿、互利的基础上，签订本合同，共同信守。</w:t>
      </w:r>
    </w:p>
    <w:p w14:paraId="00A917CD">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一、合同价款及保险费计算系数</w:t>
      </w:r>
    </w:p>
    <w:p w14:paraId="3C5CB3B8">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1、合同暂定总价：</w:t>
      </w:r>
      <w:r>
        <w:rPr>
          <w:rFonts w:hint="eastAsia" w:ascii="仿宋_GB2312" w:hAnsi="仿宋" w:eastAsia="仿宋_GB2312"/>
          <w:bCs/>
          <w:sz w:val="28"/>
          <w:szCs w:val="28"/>
          <w:u w:val="single"/>
        </w:rPr>
        <w:t xml:space="preserve"> 5</w:t>
      </w:r>
      <w:r>
        <w:rPr>
          <w:rFonts w:hint="eastAsia" w:ascii="仿宋_GB2312" w:hAnsi="仿宋" w:eastAsia="仿宋_GB2312"/>
          <w:bCs/>
          <w:sz w:val="28"/>
          <w:szCs w:val="28"/>
          <w:u w:val="single"/>
          <w:lang w:val="en-US" w:eastAsia="zh-CN"/>
        </w:rPr>
        <w:t>5.00</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万元。</w:t>
      </w:r>
    </w:p>
    <w:p w14:paraId="6F5DC138">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2、乙方提供的保险费计算系数为本次招标采购确定的计算系数(自主定价系数)，本合同商业险自主定价系数为：</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 xml:space="preserve"> ；</w:t>
      </w:r>
    </w:p>
    <w:p w14:paraId="1D86CB1A">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3、最终结算根据乙方成交自主定价系数及相关行业标准，结合被保险车辆及相关险种据实结算，结算总金额不得高于本项目采购预算；</w:t>
      </w:r>
    </w:p>
    <w:p w14:paraId="18B49CE9">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4、如国家政策改变或计算系数调整，则乙方总体计算系数应及时调整，并提供最优惠保费。</w:t>
      </w:r>
    </w:p>
    <w:p w14:paraId="6CB48C55">
      <w:pPr>
        <w:pStyle w:val="14"/>
        <w:spacing w:line="360" w:lineRule="auto"/>
        <w:ind w:firstLine="562" w:firstLineChars="200"/>
        <w:rPr>
          <w:rFonts w:hint="default" w:eastAsia="仿宋_GB2312"/>
          <w:u w:val="single"/>
          <w:lang w:val="en-US" w:eastAsia="zh-CN"/>
        </w:rPr>
      </w:pPr>
      <w:r>
        <w:rPr>
          <w:rFonts w:hint="eastAsia" w:ascii="仿宋_GB2312" w:hAnsi="仿宋" w:eastAsia="仿宋_GB2312"/>
          <w:b/>
          <w:bCs/>
          <w:color w:val="auto"/>
          <w:sz w:val="28"/>
          <w:szCs w:val="28"/>
        </w:rPr>
        <w:t>二、委托工作内容：</w:t>
      </w:r>
      <w:r>
        <w:rPr>
          <w:rFonts w:hint="eastAsia" w:ascii="仿宋_GB2312" w:hAnsi="仿宋" w:eastAsia="仿宋_GB2312"/>
          <w:b/>
          <w:bCs/>
          <w:color w:val="auto"/>
          <w:sz w:val="28"/>
          <w:szCs w:val="28"/>
          <w:u w:val="single"/>
          <w:lang w:val="en-US" w:eastAsia="zh-CN"/>
        </w:rPr>
        <w:t xml:space="preserve">                                 </w:t>
      </w:r>
      <w:r>
        <w:rPr>
          <w:rFonts w:hint="eastAsia" w:ascii="仿宋_GB2312" w:hAnsi="仿宋" w:eastAsia="仿宋_GB2312"/>
          <w:b/>
          <w:bCs/>
          <w:color w:val="auto"/>
          <w:sz w:val="28"/>
          <w:szCs w:val="28"/>
          <w:u w:val="none"/>
          <w:lang w:val="en-US" w:eastAsia="zh-CN"/>
        </w:rPr>
        <w:t>。</w:t>
      </w:r>
    </w:p>
    <w:p w14:paraId="0EEB2F99">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三、款项结算</w:t>
      </w:r>
    </w:p>
    <w:p w14:paraId="4AEBDB9B">
      <w:pPr>
        <w:autoSpaceDE w:val="0"/>
        <w:autoSpaceDN w:val="0"/>
        <w:adjustRightInd w:val="0"/>
        <w:snapToGrid w:val="0"/>
        <w:spacing w:line="360" w:lineRule="auto"/>
        <w:ind w:firstLine="560" w:firstLineChars="200"/>
        <w:rPr>
          <w:rFonts w:hint="eastAsia" w:ascii="仿宋_GB2312" w:hAnsi="仿宋" w:eastAsia="仿宋_GB2312"/>
          <w:bCs/>
          <w:sz w:val="28"/>
          <w:szCs w:val="28"/>
          <w:highlight w:val="none"/>
          <w:lang w:val="en-US" w:eastAsia="zh-CN"/>
        </w:rPr>
      </w:pPr>
      <w:r>
        <w:rPr>
          <w:rFonts w:hint="eastAsia" w:ascii="仿宋_GB2312" w:hAnsi="仿宋" w:eastAsia="仿宋_GB2312"/>
          <w:bCs/>
          <w:sz w:val="28"/>
          <w:szCs w:val="28"/>
          <w:highlight w:val="none"/>
        </w:rPr>
        <w:t>（一）付款</w:t>
      </w:r>
      <w:r>
        <w:rPr>
          <w:rFonts w:hint="eastAsia" w:ascii="仿宋_GB2312" w:hAnsi="仿宋" w:eastAsia="仿宋_GB2312"/>
          <w:bCs/>
          <w:sz w:val="28"/>
          <w:szCs w:val="28"/>
          <w:highlight w:val="none"/>
          <w:lang w:val="en-US" w:eastAsia="zh-CN"/>
        </w:rPr>
        <w:t>方式：</w:t>
      </w:r>
    </w:p>
    <w:p w14:paraId="4417E134">
      <w:pPr>
        <w:autoSpaceDE w:val="0"/>
        <w:autoSpaceDN w:val="0"/>
        <w:adjustRightInd w:val="0"/>
        <w:snapToGrid w:val="0"/>
        <w:spacing w:line="360" w:lineRule="auto"/>
        <w:ind w:firstLine="560" w:firstLineChars="200"/>
        <w:rPr>
          <w:rFonts w:hint="eastAsia" w:ascii="仿宋_GB2312" w:hAnsi="仿宋" w:eastAsia="仿宋_GB2312"/>
          <w:bCs/>
          <w:sz w:val="28"/>
          <w:szCs w:val="28"/>
          <w:highlight w:val="none"/>
          <w:lang w:eastAsia="zh-CN"/>
        </w:rPr>
      </w:pPr>
      <w:r>
        <w:rPr>
          <w:rFonts w:hint="eastAsia" w:ascii="仿宋_GB2312" w:hAnsi="仿宋" w:eastAsia="仿宋_GB2312"/>
          <w:bCs/>
          <w:sz w:val="28"/>
          <w:szCs w:val="28"/>
          <w:highlight w:val="none"/>
          <w:lang w:val="en-US" w:eastAsia="zh-CN"/>
        </w:rPr>
        <w:t>付款条件说明：合同签订后7个日历日内安排人员与甲方就工作进行安排部署，根据各车辆车险到期情况，提前15个日历日完成车辆续保手续，根据实际保额情况按季度支付费用，每次付款前成交供应商应开具等额合法发票。</w:t>
      </w:r>
    </w:p>
    <w:p w14:paraId="0DDF5D5E">
      <w:pPr>
        <w:autoSpaceDE w:val="0"/>
        <w:autoSpaceDN w:val="0"/>
        <w:adjustRightInd w:val="0"/>
        <w:snapToGrid w:val="0"/>
        <w:spacing w:line="360" w:lineRule="auto"/>
        <w:ind w:firstLine="560" w:firstLineChars="200"/>
        <w:rPr>
          <w:rFonts w:hint="eastAsia" w:ascii="仿宋_GB2312" w:hAnsi="仿宋" w:eastAsia="仿宋_GB2312" w:cs="Times New Roman"/>
          <w:bCs/>
          <w:sz w:val="28"/>
          <w:szCs w:val="28"/>
          <w:highlight w:val="none"/>
          <w:lang w:eastAsia="zh-CN"/>
        </w:rPr>
      </w:pPr>
      <w:r>
        <w:rPr>
          <w:rFonts w:hint="eastAsia" w:ascii="仿宋_GB2312" w:hAnsi="仿宋" w:eastAsia="仿宋_GB2312" w:cs="Times New Roman"/>
          <w:bCs/>
          <w:sz w:val="28"/>
          <w:szCs w:val="28"/>
          <w:highlight w:val="none"/>
          <w:lang w:eastAsia="zh-CN"/>
        </w:rPr>
        <w:t>（二）结算方式：银行转账。</w:t>
      </w:r>
    </w:p>
    <w:p w14:paraId="42A14A30">
      <w:pPr>
        <w:autoSpaceDE w:val="0"/>
        <w:autoSpaceDN w:val="0"/>
        <w:adjustRightInd w:val="0"/>
        <w:snapToGrid w:val="0"/>
        <w:spacing w:line="360" w:lineRule="auto"/>
        <w:ind w:firstLine="560" w:firstLineChars="200"/>
        <w:rPr>
          <w:rFonts w:hint="eastAsia" w:ascii="仿宋_GB2312" w:hAnsi="仿宋" w:eastAsia="仿宋_GB2312" w:cs="Times New Roman"/>
          <w:bCs/>
          <w:sz w:val="28"/>
          <w:szCs w:val="28"/>
          <w:highlight w:val="none"/>
          <w:lang w:eastAsia="zh-CN"/>
        </w:rPr>
      </w:pPr>
      <w:r>
        <w:rPr>
          <w:rFonts w:hint="eastAsia" w:ascii="仿宋_GB2312" w:hAnsi="仿宋" w:eastAsia="仿宋_GB2312" w:cs="Times New Roman"/>
          <w:bCs/>
          <w:sz w:val="28"/>
          <w:szCs w:val="28"/>
          <w:highlight w:val="none"/>
          <w:lang w:eastAsia="zh-CN"/>
        </w:rPr>
        <w:t>（三）结算单位：由甲方负责结算，乙方开具合同价款的全额发票给甲方。</w:t>
      </w:r>
    </w:p>
    <w:p w14:paraId="48CB0BE8">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2" w:firstLineChars="200"/>
        <w:textAlignment w:val="baseline"/>
        <w:rPr>
          <w:rFonts w:hint="eastAsia" w:ascii="仿宋_GB2312" w:hAnsi="仿宋" w:eastAsia="仿宋_GB2312"/>
          <w:b/>
          <w:bCs/>
          <w:sz w:val="28"/>
          <w:szCs w:val="28"/>
        </w:rPr>
      </w:pPr>
      <w:r>
        <w:rPr>
          <w:rFonts w:hint="eastAsia" w:ascii="仿宋_GB2312" w:hAnsi="仿宋" w:eastAsia="仿宋_GB2312"/>
          <w:b/>
          <w:bCs/>
          <w:sz w:val="28"/>
          <w:szCs w:val="28"/>
        </w:rPr>
        <w:t>四、服务地点及服务期限</w:t>
      </w:r>
    </w:p>
    <w:p w14:paraId="4E2AA675">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（一）服务地点：</w:t>
      </w:r>
      <w:r>
        <w:rPr>
          <w:rFonts w:hint="eastAsia" w:ascii="仿宋_GB2312" w:hAnsi="仿宋_GB2312" w:eastAsia="仿宋_GB2312" w:cs="仿宋_GB2312"/>
          <w:b w:val="0"/>
          <w:bCs w:val="0"/>
          <w:snapToGrid/>
          <w:color w:val="auto"/>
          <w:sz w:val="28"/>
          <w:szCs w:val="28"/>
          <w:highlight w:val="none"/>
          <w:lang w:val="en-US" w:eastAsia="zh-CN"/>
        </w:rPr>
        <w:t>以甲方要求为准</w:t>
      </w:r>
      <w:r>
        <w:rPr>
          <w:rFonts w:hint="eastAsia" w:ascii="仿宋_GB2312" w:hAnsi="仿宋" w:eastAsia="仿宋_GB2312"/>
          <w:bCs/>
          <w:sz w:val="28"/>
          <w:szCs w:val="28"/>
          <w:highlight w:val="none"/>
        </w:rPr>
        <w:t>。</w:t>
      </w:r>
    </w:p>
    <w:p w14:paraId="3C75E73D">
      <w:pPr>
        <w:pStyle w:val="8"/>
        <w:widowControl w:val="0"/>
        <w:kinsoku/>
        <w:autoSpaceDE/>
        <w:autoSpaceDN/>
        <w:adjustRightInd w:val="0"/>
        <w:snapToGrid w:val="0"/>
        <w:spacing w:before="0" w:beforeAutospacing="0" w:after="0" w:afterAutospacing="0" w:line="360" w:lineRule="auto"/>
        <w:ind w:firstLine="560" w:firstLineChars="200"/>
        <w:textAlignment w:val="auto"/>
        <w:rPr>
          <w:rFonts w:hint="eastAsia"/>
          <w:highlight w:val="yellow"/>
        </w:rPr>
      </w:pPr>
      <w:r>
        <w:rPr>
          <w:rFonts w:hint="eastAsia" w:ascii="仿宋_GB2312" w:hAnsi="仿宋" w:eastAsia="仿宋_GB2312"/>
          <w:bCs/>
          <w:sz w:val="28"/>
          <w:szCs w:val="28"/>
          <w:highlight w:val="none"/>
        </w:rPr>
        <w:t>（二）服务期</w:t>
      </w:r>
      <w:r>
        <w:rPr>
          <w:rFonts w:hint="eastAsia" w:ascii="仿宋_GB2312" w:hAnsi="仿宋" w:eastAsia="仿宋_GB2312"/>
          <w:bCs/>
          <w:sz w:val="28"/>
          <w:szCs w:val="28"/>
          <w:highlight w:val="none"/>
          <w:lang w:val="en-US" w:eastAsia="zh-CN"/>
        </w:rPr>
        <w:t>限</w:t>
      </w:r>
      <w:r>
        <w:rPr>
          <w:rFonts w:hint="eastAsia" w:ascii="仿宋_GB2312" w:hAnsi="仿宋" w:eastAsia="仿宋_GB2312"/>
          <w:bCs/>
          <w:sz w:val="28"/>
          <w:szCs w:val="28"/>
          <w:highlight w:val="none"/>
        </w:rPr>
        <w:t>：</w:t>
      </w:r>
      <w:r>
        <w:rPr>
          <w:rFonts w:hint="eastAsia" w:ascii="仿宋_GB2312" w:hAnsi="仿宋_GB2312" w:eastAsia="仿宋_GB2312" w:cs="仿宋_GB2312"/>
          <w:snapToGrid/>
          <w:color w:val="auto"/>
          <w:sz w:val="28"/>
          <w:szCs w:val="28"/>
          <w:highlight w:val="none"/>
          <w:lang w:eastAsia="zh-CN"/>
        </w:rPr>
        <w:t>三年，合同一年一签。</w:t>
      </w:r>
      <w:r>
        <w:rPr>
          <w:rFonts w:hint="eastAsia" w:ascii="仿宋_GB2312" w:hAnsi="仿宋_GB2312" w:eastAsia="仿宋_GB2312" w:cs="仿宋_GB2312"/>
          <w:snapToGrid/>
          <w:color w:val="auto"/>
          <w:sz w:val="28"/>
          <w:szCs w:val="28"/>
          <w:highlight w:val="none"/>
          <w:lang w:val="en-US" w:eastAsia="zh-CN"/>
        </w:rPr>
        <w:t>乙方</w:t>
      </w:r>
      <w:r>
        <w:rPr>
          <w:rFonts w:hint="eastAsia" w:ascii="仿宋_GB2312" w:hAnsi="仿宋_GB2312" w:eastAsia="仿宋_GB2312" w:cs="仿宋_GB2312"/>
          <w:snapToGrid/>
          <w:color w:val="auto"/>
          <w:sz w:val="28"/>
          <w:szCs w:val="28"/>
          <w:highlight w:val="none"/>
          <w:lang w:eastAsia="zh-CN"/>
        </w:rPr>
        <w:t>所提供的服务质量经</w:t>
      </w:r>
      <w:r>
        <w:rPr>
          <w:rFonts w:hint="eastAsia" w:ascii="仿宋_GB2312" w:hAnsi="仿宋_GB2312" w:eastAsia="仿宋_GB2312" w:cs="仿宋_GB2312"/>
          <w:snapToGrid/>
          <w:color w:val="auto"/>
          <w:sz w:val="28"/>
          <w:szCs w:val="28"/>
          <w:highlight w:val="none"/>
          <w:lang w:val="en-US" w:eastAsia="zh-CN"/>
        </w:rPr>
        <w:t>甲方</w:t>
      </w:r>
      <w:r>
        <w:rPr>
          <w:rFonts w:hint="eastAsia" w:ascii="仿宋_GB2312" w:hAnsi="仿宋_GB2312" w:eastAsia="仿宋_GB2312" w:cs="仿宋_GB2312"/>
          <w:snapToGrid/>
          <w:color w:val="auto"/>
          <w:sz w:val="28"/>
          <w:szCs w:val="28"/>
          <w:highlight w:val="none"/>
          <w:lang w:eastAsia="zh-CN"/>
        </w:rPr>
        <w:t>考核后 ，在采购内容不变、采购预算有保障、服务价格不变或降低的情况下，</w:t>
      </w:r>
      <w:r>
        <w:rPr>
          <w:rFonts w:hint="eastAsia" w:ascii="仿宋_GB2312" w:hAnsi="仿宋_GB2312" w:eastAsia="仿宋_GB2312" w:cs="仿宋_GB2312"/>
          <w:snapToGrid/>
          <w:color w:val="auto"/>
          <w:sz w:val="28"/>
          <w:szCs w:val="28"/>
          <w:highlight w:val="none"/>
          <w:lang w:val="en-US" w:eastAsia="zh-CN"/>
        </w:rPr>
        <w:t>甲方</w:t>
      </w:r>
      <w:r>
        <w:rPr>
          <w:rFonts w:hint="eastAsia" w:ascii="仿宋_GB2312" w:hAnsi="仿宋_GB2312" w:eastAsia="仿宋_GB2312" w:cs="仿宋_GB2312"/>
          <w:snapToGrid/>
          <w:color w:val="auto"/>
          <w:sz w:val="28"/>
          <w:szCs w:val="28"/>
          <w:highlight w:val="none"/>
          <w:lang w:eastAsia="zh-CN"/>
        </w:rPr>
        <w:t>可根据《政府购买服务管理办法》（财政部令第102号）文件的规定续签下年合同。</w:t>
      </w:r>
    </w:p>
    <w:p w14:paraId="23241BB2">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五、双方的权利和义务</w:t>
      </w:r>
    </w:p>
    <w:p w14:paraId="022A5F30">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（一）甲方的权利与义务</w:t>
      </w:r>
    </w:p>
    <w:p w14:paraId="0BC1D9F6">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1、甲方负责配合本次项目服务工作；</w:t>
      </w:r>
    </w:p>
    <w:p w14:paraId="05B1F8B3">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2、甲方应按本合同的约定向乙方支付合同价款；</w:t>
      </w:r>
    </w:p>
    <w:p w14:paraId="7B9183E8">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3、甲方根据需要对乙方提供的实施方案进行审核，提供建议及意见，确定最终实施的服务方案，以便乙方遵照执行；</w:t>
      </w:r>
    </w:p>
    <w:p w14:paraId="62E67410">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4、甲方有权对合同规定范围内乙方的服务行为进行监督和检查，拥有监管权。本合同履行期间，甲方如发现乙方有违规或不法行为，有权立即终止本合同，并有权追究乙方的相关责任。如因乙方原因造成甲方有其他损失的,由乙方承担相关的责任并赔偿损失。</w:t>
      </w:r>
    </w:p>
    <w:p w14:paraId="765DCB03">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（二）乙方的权利与义务</w:t>
      </w:r>
    </w:p>
    <w:p w14:paraId="1FE15655">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1、优先为甲方的车辆提供出险服务；</w:t>
      </w:r>
    </w:p>
    <w:p w14:paraId="4F41D211">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2、及时为甲方办理登记委托车辆保险的事项；</w:t>
      </w:r>
    </w:p>
    <w:p w14:paraId="16A9DCA7">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3、已办理完投保的车辆，乙方应打印《投保单》及《结算单》，注明车辆保险期限、车险项、投保金额等；</w:t>
      </w:r>
    </w:p>
    <w:p w14:paraId="72F2DAD5">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4、乙方需在甲方指定时间内将车辆保险单及相关文件送达甲方，并提供免费邮寄服务；</w:t>
      </w:r>
    </w:p>
    <w:p w14:paraId="03784260">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5、自本合同签署之日起，甲方应提前10日向乙方提供保险到期的车辆投保资料，乙方应在甲方要求期限内完成本合同约定的车辆保险服务工作并向甲方提供保单，延期超过7日，甲方有权解除合同。</w:t>
      </w:r>
    </w:p>
    <w:p w14:paraId="30CA9C3F">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六、服务质量保证</w:t>
      </w:r>
    </w:p>
    <w:p w14:paraId="2EB3CFAF">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（一）乙方需建立高效的管理团队，项目团队组成合理。</w:t>
      </w:r>
    </w:p>
    <w:p w14:paraId="2C482334">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（二）乙方需派一名项目</w:t>
      </w:r>
      <w:r>
        <w:rPr>
          <w:rFonts w:hint="eastAsia" w:ascii="仿宋_GB2312" w:hAnsi="仿宋" w:eastAsia="仿宋_GB2312"/>
          <w:bCs/>
          <w:sz w:val="28"/>
          <w:szCs w:val="28"/>
          <w:lang w:val="en-US" w:eastAsia="zh-CN"/>
        </w:rPr>
        <w:t>负责人</w:t>
      </w:r>
      <w:r>
        <w:rPr>
          <w:rFonts w:hint="eastAsia" w:ascii="仿宋_GB2312" w:hAnsi="仿宋" w:eastAsia="仿宋_GB2312"/>
          <w:bCs/>
          <w:sz w:val="28"/>
          <w:szCs w:val="28"/>
        </w:rPr>
        <w:t>，直接与甲方沟通，项目</w:t>
      </w:r>
      <w:r>
        <w:rPr>
          <w:rFonts w:hint="eastAsia" w:ascii="仿宋_GB2312" w:hAnsi="仿宋" w:eastAsia="仿宋_GB2312"/>
          <w:bCs/>
          <w:sz w:val="28"/>
          <w:szCs w:val="28"/>
          <w:lang w:val="en-US" w:eastAsia="zh-CN"/>
        </w:rPr>
        <w:t>负责人</w:t>
      </w:r>
      <w:r>
        <w:rPr>
          <w:rFonts w:hint="eastAsia" w:ascii="仿宋_GB2312" w:hAnsi="仿宋" w:eastAsia="仿宋_GB2312"/>
          <w:bCs/>
          <w:sz w:val="28"/>
          <w:szCs w:val="28"/>
        </w:rPr>
        <w:t>接收甲方提出的问题与要求，并及时反馈给工作组，解决在项目实施过程中遇到的问题。</w:t>
      </w:r>
    </w:p>
    <w:p w14:paraId="7A7E6C04">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（三）项目在实施过程中会出现不可预料的需求变更</w:t>
      </w:r>
      <w:r>
        <w:rPr>
          <w:rFonts w:hint="eastAsia" w:ascii="仿宋_GB2312" w:hAnsi="仿宋" w:eastAsia="仿宋_GB2312"/>
          <w:bCs/>
          <w:sz w:val="28"/>
          <w:szCs w:val="28"/>
          <w:lang w:eastAsia="zh-CN"/>
        </w:rPr>
        <w:t>、</w:t>
      </w:r>
      <w:r>
        <w:rPr>
          <w:rFonts w:hint="eastAsia" w:ascii="仿宋_GB2312" w:hAnsi="仿宋" w:eastAsia="仿宋_GB2312"/>
          <w:bCs/>
          <w:sz w:val="28"/>
          <w:szCs w:val="28"/>
          <w:lang w:val="en-US" w:eastAsia="zh-CN"/>
        </w:rPr>
        <w:t>需求细化</w:t>
      </w:r>
      <w:r>
        <w:rPr>
          <w:rFonts w:hint="eastAsia" w:ascii="仿宋_GB2312" w:hAnsi="仿宋" w:eastAsia="仿宋_GB2312"/>
          <w:bCs/>
          <w:sz w:val="28"/>
          <w:szCs w:val="28"/>
        </w:rPr>
        <w:t>，乙方需积极配合甲方的需求变更</w:t>
      </w:r>
      <w:r>
        <w:rPr>
          <w:rFonts w:hint="eastAsia" w:ascii="仿宋_GB2312" w:hAnsi="仿宋" w:eastAsia="仿宋_GB2312"/>
          <w:bCs/>
          <w:sz w:val="28"/>
          <w:szCs w:val="28"/>
          <w:lang w:eastAsia="zh-CN"/>
        </w:rPr>
        <w:t>、</w:t>
      </w:r>
      <w:r>
        <w:rPr>
          <w:rFonts w:hint="eastAsia" w:ascii="仿宋_GB2312" w:hAnsi="仿宋" w:eastAsia="仿宋_GB2312"/>
          <w:bCs/>
          <w:sz w:val="28"/>
          <w:szCs w:val="28"/>
          <w:lang w:val="en-US" w:eastAsia="zh-CN"/>
        </w:rPr>
        <w:t>需求细化</w:t>
      </w:r>
      <w:r>
        <w:rPr>
          <w:rFonts w:hint="eastAsia" w:ascii="仿宋_GB2312" w:hAnsi="仿宋" w:eastAsia="仿宋_GB2312"/>
          <w:bCs/>
          <w:sz w:val="28"/>
          <w:szCs w:val="28"/>
        </w:rPr>
        <w:t>，并按照变更</w:t>
      </w:r>
      <w:r>
        <w:rPr>
          <w:rFonts w:hint="eastAsia" w:ascii="仿宋_GB2312" w:hAnsi="仿宋" w:eastAsia="仿宋_GB2312"/>
          <w:bCs/>
          <w:sz w:val="28"/>
          <w:szCs w:val="28"/>
          <w:lang w:eastAsia="zh-CN"/>
        </w:rPr>
        <w:t>、</w:t>
      </w:r>
      <w:r>
        <w:rPr>
          <w:rFonts w:hint="eastAsia" w:ascii="仿宋_GB2312" w:hAnsi="仿宋" w:eastAsia="仿宋_GB2312"/>
          <w:bCs/>
          <w:sz w:val="28"/>
          <w:szCs w:val="28"/>
          <w:lang w:val="en-US" w:eastAsia="zh-CN"/>
        </w:rPr>
        <w:t>细化</w:t>
      </w:r>
      <w:r>
        <w:rPr>
          <w:rFonts w:hint="eastAsia" w:ascii="仿宋_GB2312" w:hAnsi="仿宋" w:eastAsia="仿宋_GB2312"/>
          <w:bCs/>
          <w:sz w:val="28"/>
          <w:szCs w:val="28"/>
        </w:rPr>
        <w:t>后的需求继续实施。</w:t>
      </w:r>
    </w:p>
    <w:p w14:paraId="0C8F5F01">
      <w:pPr>
        <w:autoSpaceDE w:val="0"/>
        <w:autoSpaceDN w:val="0"/>
        <w:adjustRightInd w:val="0"/>
        <w:snapToGrid w:val="0"/>
        <w:spacing w:line="360" w:lineRule="auto"/>
        <w:ind w:firstLine="560" w:firstLineChars="200"/>
        <w:rPr>
          <w:rFonts w:hint="eastAsia" w:ascii="仿宋_GB2312" w:hAnsi="仿宋" w:eastAsia="仿宋_GB2312"/>
          <w:bCs/>
          <w:sz w:val="28"/>
          <w:szCs w:val="28"/>
          <w:lang w:eastAsia="zh-CN"/>
        </w:rPr>
      </w:pPr>
      <w:r>
        <w:rPr>
          <w:rFonts w:hint="eastAsia" w:ascii="仿宋_GB2312" w:hAnsi="仿宋" w:eastAsia="仿宋_GB2312"/>
          <w:bCs/>
          <w:sz w:val="28"/>
          <w:szCs w:val="28"/>
        </w:rPr>
        <w:t>（四）乙方需设有详细的资料档案和服务档案以便于更好地提供服务</w:t>
      </w:r>
      <w:r>
        <w:rPr>
          <w:rFonts w:hint="eastAsia" w:ascii="仿宋_GB2312" w:hAnsi="仿宋" w:eastAsia="仿宋_GB2312"/>
          <w:bCs/>
          <w:sz w:val="28"/>
          <w:szCs w:val="28"/>
          <w:lang w:eastAsia="zh-CN"/>
        </w:rPr>
        <w:t>。</w:t>
      </w:r>
    </w:p>
    <w:p w14:paraId="299AE94B">
      <w:pPr>
        <w:spacing w:line="360" w:lineRule="auto"/>
        <w:ind w:firstLine="562" w:firstLineChars="200"/>
        <w:rPr>
          <w:rFonts w:hint="eastAsia" w:ascii="仿宋_GB2312" w:hAnsi="仿宋" w:eastAsia="仿宋_GB2312"/>
          <w:b/>
          <w:sz w:val="28"/>
          <w:szCs w:val="28"/>
          <w:lang w:eastAsia="zh-CN"/>
        </w:rPr>
      </w:pPr>
      <w:r>
        <w:rPr>
          <w:rFonts w:hint="eastAsia" w:ascii="仿宋_GB2312" w:hAnsi="仿宋" w:eastAsia="仿宋_GB2312"/>
          <w:b/>
          <w:sz w:val="28"/>
          <w:szCs w:val="28"/>
          <w:lang w:val="en-US" w:eastAsia="zh-CN"/>
        </w:rPr>
        <w:t>七</w:t>
      </w:r>
      <w:r>
        <w:rPr>
          <w:rFonts w:hint="eastAsia" w:ascii="仿宋_GB2312" w:hAnsi="仿宋" w:eastAsia="仿宋_GB2312"/>
          <w:b/>
          <w:sz w:val="28"/>
          <w:szCs w:val="28"/>
        </w:rPr>
        <w:t>、保密</w:t>
      </w:r>
      <w:r>
        <w:rPr>
          <w:rFonts w:hint="eastAsia" w:ascii="仿宋_GB2312" w:hAnsi="仿宋" w:eastAsia="仿宋_GB2312"/>
          <w:b/>
          <w:sz w:val="28"/>
          <w:szCs w:val="28"/>
          <w:lang w:val="en-US" w:eastAsia="zh-CN"/>
        </w:rPr>
        <w:t>规定</w:t>
      </w:r>
    </w:p>
    <w:p w14:paraId="56CCCC20">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eastAsia="仿宋_GB2312"/>
          <w:sz w:val="28"/>
          <w:szCs w:val="28"/>
        </w:rPr>
      </w:pPr>
      <w:r>
        <w:rPr>
          <w:rFonts w:hint="eastAsia" w:ascii="仿宋_GB2312" w:hAnsi="仿宋_GB2312" w:eastAsia="仿宋_GB2312" w:cs="仿宋_GB2312"/>
          <w:color w:val="auto"/>
          <w:sz w:val="28"/>
          <w:szCs w:val="28"/>
          <w:highlight w:val="none"/>
          <w:lang w:val="en-US" w:eastAsia="zh-CN"/>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022EEB0D">
      <w:pPr>
        <w:keepNext w:val="0"/>
        <w:keepLines w:val="0"/>
        <w:pageBreakBefore w:val="0"/>
        <w:widowControl w:val="0"/>
        <w:kinsoku/>
        <w:wordWrap w:val="0"/>
        <w:overflowPunct/>
        <w:topLinePunct w:val="0"/>
        <w:autoSpaceDE/>
        <w:autoSpaceDN/>
        <w:bidi w:val="0"/>
        <w:adjustRightInd/>
        <w:snapToGrid/>
        <w:spacing w:line="360" w:lineRule="auto"/>
        <w:ind w:firstLine="562" w:firstLineChars="200"/>
        <w:jc w:val="left"/>
        <w:textAlignment w:val="auto"/>
        <w:rPr>
          <w:rFonts w:hint="eastAsia" w:ascii="仿宋_GB2312" w:hAnsi="仿宋" w:eastAsia="仿宋_GB2312"/>
          <w:b/>
          <w:sz w:val="28"/>
          <w:szCs w:val="28"/>
        </w:rPr>
      </w:pPr>
      <w:r>
        <w:rPr>
          <w:rFonts w:hint="eastAsia" w:ascii="仿宋_GB2312" w:eastAsia="仿宋_GB2312"/>
          <w:b/>
          <w:bCs/>
          <w:sz w:val="28"/>
          <w:szCs w:val="28"/>
          <w:lang w:val="en-US" w:eastAsia="zh-CN"/>
        </w:rPr>
        <w:t>八</w:t>
      </w:r>
      <w:r>
        <w:rPr>
          <w:rFonts w:hint="eastAsia" w:ascii="仿宋_GB2312" w:hAnsi="仿宋" w:eastAsia="仿宋_GB2312"/>
          <w:b/>
          <w:sz w:val="28"/>
          <w:szCs w:val="28"/>
        </w:rPr>
        <w:t>、其他事项</w:t>
      </w:r>
    </w:p>
    <w:p w14:paraId="2DB6EB1B">
      <w:pPr>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（一）乙方不得转让给其它单位或个人。</w:t>
      </w:r>
    </w:p>
    <w:p w14:paraId="0D9DE878">
      <w:pPr>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（二）乙方的</w:t>
      </w:r>
      <w:r>
        <w:rPr>
          <w:rFonts w:hint="eastAsia" w:ascii="仿宋_GB2312" w:hAnsi="仿宋_GB2312" w:eastAsia="仿宋_GB2312" w:cs="仿宋_GB2312"/>
          <w:color w:val="auto"/>
          <w:sz w:val="28"/>
          <w:szCs w:val="28"/>
          <w:highlight w:val="none"/>
          <w:lang w:val="en-US" w:eastAsia="zh-CN"/>
        </w:rPr>
        <w:t>响应</w:t>
      </w:r>
      <w:r>
        <w:rPr>
          <w:rFonts w:hint="eastAsia" w:ascii="仿宋_GB2312" w:hAnsi="仿宋" w:eastAsia="仿宋_GB2312"/>
          <w:bCs/>
          <w:sz w:val="28"/>
          <w:szCs w:val="28"/>
        </w:rPr>
        <w:t>文件和承诺等内容将列入合同。</w:t>
      </w:r>
    </w:p>
    <w:p w14:paraId="4C6EBCFE">
      <w:pPr>
        <w:autoSpaceDE w:val="0"/>
        <w:autoSpaceDN w:val="0"/>
        <w:adjustRightInd w:val="0"/>
        <w:snapToGrid w:val="0"/>
        <w:spacing w:line="360" w:lineRule="auto"/>
        <w:ind w:firstLine="562" w:firstLineChars="200"/>
        <w:rPr>
          <w:rFonts w:hint="eastAsia" w:ascii="仿宋_GB2312" w:hAnsi="仿宋" w:eastAsia="仿宋_GB2312"/>
          <w:b/>
          <w:sz w:val="28"/>
          <w:szCs w:val="28"/>
        </w:rPr>
      </w:pPr>
      <w:r>
        <w:rPr>
          <w:rFonts w:hint="eastAsia" w:ascii="仿宋_GB2312" w:hAnsi="仿宋" w:eastAsia="仿宋_GB2312"/>
          <w:b/>
          <w:sz w:val="28"/>
          <w:szCs w:val="28"/>
          <w:lang w:val="en-US" w:eastAsia="zh-CN"/>
        </w:rPr>
        <w:t>九</w:t>
      </w:r>
      <w:r>
        <w:rPr>
          <w:rFonts w:hint="eastAsia" w:ascii="仿宋_GB2312" w:hAnsi="仿宋" w:eastAsia="仿宋_GB2312"/>
          <w:b/>
          <w:sz w:val="28"/>
          <w:szCs w:val="28"/>
        </w:rPr>
        <w:t>、验收</w:t>
      </w:r>
    </w:p>
    <w:p w14:paraId="2FBE95F9">
      <w:pPr>
        <w:autoSpaceDE w:val="0"/>
        <w:autoSpaceDN w:val="0"/>
        <w:adjustRightInd w:val="0"/>
        <w:snapToGrid w:val="0"/>
        <w:spacing w:line="360" w:lineRule="auto"/>
        <w:ind w:firstLine="560" w:firstLineChars="200"/>
        <w:rPr>
          <w:rFonts w:hint="eastAsia" w:ascii="仿宋_GB2312" w:hAnsi="仿宋" w:eastAsia="仿宋_GB2312"/>
          <w:b w:val="0"/>
          <w:bCs/>
          <w:sz w:val="28"/>
          <w:szCs w:val="28"/>
        </w:rPr>
      </w:pPr>
      <w:r>
        <w:rPr>
          <w:rFonts w:hint="eastAsia" w:ascii="仿宋_GB2312" w:hAnsi="仿宋" w:eastAsia="仿宋_GB2312"/>
          <w:b w:val="0"/>
          <w:bCs/>
          <w:sz w:val="28"/>
          <w:szCs w:val="28"/>
        </w:rPr>
        <w:t>（一）本项目验收费用，由乙方自行承担。</w:t>
      </w:r>
    </w:p>
    <w:p w14:paraId="4CA8535B">
      <w:pPr>
        <w:autoSpaceDE w:val="0"/>
        <w:autoSpaceDN w:val="0"/>
        <w:adjustRightInd w:val="0"/>
        <w:snapToGrid w:val="0"/>
        <w:spacing w:line="360" w:lineRule="auto"/>
        <w:ind w:firstLine="560" w:firstLineChars="200"/>
        <w:rPr>
          <w:rFonts w:hint="eastAsia" w:ascii="仿宋_GB2312" w:hAnsi="仿宋" w:eastAsia="仿宋_GB2312"/>
          <w:b w:val="0"/>
          <w:bCs/>
          <w:sz w:val="28"/>
          <w:szCs w:val="28"/>
        </w:rPr>
      </w:pPr>
      <w:r>
        <w:rPr>
          <w:rFonts w:hint="eastAsia" w:ascii="仿宋_GB2312" w:hAnsi="仿宋" w:eastAsia="仿宋_GB2312"/>
          <w:b w:val="0"/>
          <w:bCs/>
          <w:sz w:val="28"/>
          <w:szCs w:val="28"/>
        </w:rPr>
        <w:t>（二）服务期满后，由乙方向甲方递交验收通知书，经甲方确认后，组织乙方进行系统验收。验收合格后，填写政府采购项目验收单作为对本次服务的最终认可。</w:t>
      </w:r>
    </w:p>
    <w:p w14:paraId="66B3A145">
      <w:pPr>
        <w:autoSpaceDE w:val="0"/>
        <w:autoSpaceDN w:val="0"/>
        <w:adjustRightInd w:val="0"/>
        <w:snapToGrid w:val="0"/>
        <w:spacing w:line="360" w:lineRule="auto"/>
        <w:ind w:firstLine="560" w:firstLineChars="200"/>
        <w:rPr>
          <w:rFonts w:hint="eastAsia" w:ascii="仿宋_GB2312" w:hAnsi="仿宋" w:eastAsia="仿宋_GB2312"/>
          <w:b w:val="0"/>
          <w:bCs/>
          <w:sz w:val="28"/>
          <w:szCs w:val="28"/>
        </w:rPr>
      </w:pPr>
      <w:r>
        <w:rPr>
          <w:rFonts w:hint="eastAsia" w:ascii="仿宋_GB2312" w:hAnsi="仿宋" w:eastAsia="仿宋_GB2312"/>
          <w:b w:val="0"/>
          <w:bCs/>
          <w:sz w:val="28"/>
          <w:szCs w:val="28"/>
        </w:rPr>
        <w:t>（三）验收依据：</w:t>
      </w:r>
    </w:p>
    <w:p w14:paraId="22560236">
      <w:pPr>
        <w:autoSpaceDE w:val="0"/>
        <w:autoSpaceDN w:val="0"/>
        <w:adjustRightInd w:val="0"/>
        <w:snapToGrid w:val="0"/>
        <w:spacing w:line="360" w:lineRule="auto"/>
        <w:ind w:firstLine="560" w:firstLineChars="200"/>
        <w:rPr>
          <w:rFonts w:hint="eastAsia" w:ascii="仿宋_GB2312" w:hAnsi="仿宋" w:eastAsia="仿宋_GB2312"/>
          <w:b w:val="0"/>
          <w:bCs/>
          <w:sz w:val="28"/>
          <w:szCs w:val="28"/>
        </w:rPr>
      </w:pPr>
      <w:r>
        <w:rPr>
          <w:rFonts w:hint="eastAsia" w:ascii="仿宋_GB2312" w:hAnsi="仿宋" w:eastAsia="仿宋_GB2312"/>
          <w:b w:val="0"/>
          <w:bCs/>
          <w:sz w:val="28"/>
          <w:szCs w:val="28"/>
        </w:rPr>
        <w:t>1、本合同及附加文本；</w:t>
      </w:r>
    </w:p>
    <w:p w14:paraId="3CEA6350">
      <w:pPr>
        <w:autoSpaceDE w:val="0"/>
        <w:autoSpaceDN w:val="0"/>
        <w:adjustRightInd w:val="0"/>
        <w:snapToGrid w:val="0"/>
        <w:spacing w:line="360" w:lineRule="auto"/>
        <w:ind w:firstLine="560" w:firstLineChars="200"/>
        <w:rPr>
          <w:rFonts w:hint="eastAsia" w:ascii="仿宋_GB2312" w:hAnsi="仿宋" w:eastAsia="仿宋_GB2312"/>
          <w:b w:val="0"/>
          <w:bCs/>
          <w:sz w:val="28"/>
          <w:szCs w:val="28"/>
        </w:rPr>
      </w:pPr>
      <w:r>
        <w:rPr>
          <w:rFonts w:hint="eastAsia" w:ascii="仿宋_GB2312" w:hAnsi="仿宋" w:eastAsia="仿宋_GB2312"/>
          <w:b w:val="0"/>
          <w:bCs/>
          <w:sz w:val="28"/>
          <w:szCs w:val="28"/>
        </w:rPr>
        <w:t>2、磋商文件、成交供应商的响应文件及澄清（承诺）函；</w:t>
      </w:r>
    </w:p>
    <w:p w14:paraId="5FA8FC7D">
      <w:pPr>
        <w:autoSpaceDE w:val="0"/>
        <w:autoSpaceDN w:val="0"/>
        <w:adjustRightInd w:val="0"/>
        <w:snapToGrid w:val="0"/>
        <w:spacing w:line="360" w:lineRule="auto"/>
        <w:ind w:firstLine="560" w:firstLineChars="200"/>
        <w:rPr>
          <w:rFonts w:hint="eastAsia" w:ascii="仿宋_GB2312" w:hAnsi="仿宋" w:eastAsia="仿宋_GB2312"/>
          <w:b w:val="0"/>
          <w:bCs/>
          <w:sz w:val="28"/>
          <w:szCs w:val="28"/>
        </w:rPr>
      </w:pPr>
      <w:r>
        <w:rPr>
          <w:rFonts w:hint="eastAsia" w:ascii="仿宋_GB2312" w:hAnsi="仿宋" w:eastAsia="仿宋_GB2312"/>
          <w:b w:val="0"/>
          <w:bCs/>
          <w:sz w:val="28"/>
          <w:szCs w:val="28"/>
        </w:rPr>
        <w:t>3、国家相应的标准、规范。</w:t>
      </w:r>
    </w:p>
    <w:p w14:paraId="618FDA76">
      <w:pPr>
        <w:autoSpaceDE w:val="0"/>
        <w:autoSpaceDN w:val="0"/>
        <w:adjustRightInd w:val="0"/>
        <w:snapToGrid w:val="0"/>
        <w:spacing w:line="360" w:lineRule="auto"/>
        <w:ind w:firstLine="562" w:firstLineChars="200"/>
        <w:rPr>
          <w:rFonts w:hint="eastAsia" w:ascii="仿宋_GB2312" w:hAnsi="仿宋" w:eastAsia="仿宋_GB2312"/>
          <w:b/>
          <w:sz w:val="28"/>
          <w:szCs w:val="28"/>
        </w:rPr>
      </w:pPr>
      <w:r>
        <w:rPr>
          <w:rFonts w:hint="eastAsia" w:ascii="仿宋_GB2312" w:hAnsi="仿宋" w:eastAsia="仿宋_GB2312"/>
          <w:b/>
          <w:sz w:val="28"/>
          <w:szCs w:val="28"/>
        </w:rPr>
        <w:t>十、违约责任</w:t>
      </w:r>
    </w:p>
    <w:p w14:paraId="22C5BDC0">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（一）按《中华人民共和国民法典》中的相关条款执行。</w:t>
      </w:r>
    </w:p>
    <w:p w14:paraId="352E1A3E">
      <w:pPr>
        <w:autoSpaceDE w:val="0"/>
        <w:autoSpaceDN w:val="0"/>
        <w:adjustRightInd w:val="0"/>
        <w:snapToGrid w:val="0"/>
        <w:spacing w:line="360" w:lineRule="auto"/>
        <w:ind w:firstLine="560" w:firstLineChars="200"/>
        <w:rPr>
          <w:rFonts w:hint="eastAsia"/>
        </w:rPr>
      </w:pPr>
      <w:r>
        <w:rPr>
          <w:rFonts w:hint="eastAsia" w:ascii="仿宋_GB2312" w:hAnsi="仿宋" w:eastAsia="仿宋_GB2312"/>
          <w:bCs/>
          <w:sz w:val="28"/>
          <w:szCs w:val="28"/>
        </w:rPr>
        <w:t>（二）未按合同要求提供服务或服务质量不能满足本次采购要求，采购人会同监督机构、采购代理机构有权终止合同和对成交供应商违约行为进行追究，同时按政府采购法的有关规定进行相应。</w:t>
      </w:r>
    </w:p>
    <w:p w14:paraId="60FAEB07">
      <w:pPr>
        <w:autoSpaceDE w:val="0"/>
        <w:autoSpaceDN w:val="0"/>
        <w:adjustRightInd w:val="0"/>
        <w:snapToGrid w:val="0"/>
        <w:spacing w:line="360" w:lineRule="auto"/>
        <w:ind w:firstLine="562" w:firstLineChars="200"/>
        <w:rPr>
          <w:rFonts w:hint="eastAsia" w:ascii="仿宋_GB2312" w:hAnsi="仿宋" w:eastAsia="仿宋_GB2312"/>
          <w:b/>
          <w:sz w:val="28"/>
          <w:szCs w:val="28"/>
        </w:rPr>
      </w:pPr>
      <w:r>
        <w:rPr>
          <w:rFonts w:hint="eastAsia" w:ascii="仿宋_GB2312" w:hAnsi="仿宋" w:eastAsia="仿宋_GB2312"/>
          <w:b/>
          <w:sz w:val="28"/>
          <w:szCs w:val="28"/>
        </w:rPr>
        <w:t>十</w:t>
      </w:r>
      <w:r>
        <w:rPr>
          <w:rFonts w:hint="eastAsia" w:ascii="仿宋_GB2312" w:hAnsi="仿宋" w:eastAsia="仿宋_GB2312"/>
          <w:b/>
          <w:sz w:val="28"/>
          <w:szCs w:val="28"/>
          <w:lang w:val="en-US" w:eastAsia="zh-CN"/>
        </w:rPr>
        <w:t>一</w:t>
      </w:r>
      <w:r>
        <w:rPr>
          <w:rFonts w:hint="eastAsia" w:ascii="仿宋_GB2312" w:hAnsi="仿宋" w:eastAsia="仿宋_GB2312"/>
          <w:b/>
          <w:sz w:val="28"/>
          <w:szCs w:val="28"/>
        </w:rPr>
        <w:t>、合同争议解决的方式</w:t>
      </w:r>
    </w:p>
    <w:p w14:paraId="5B29C677">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本合同在履行过程中发生的争议，由甲、乙双方当事人协商解决，协商不成的按下列第</w:t>
      </w:r>
      <w:r>
        <w:rPr>
          <w:rFonts w:hint="eastAsia" w:ascii="仿宋_GB2312" w:hAnsi="仿宋" w:eastAsia="仿宋_GB2312"/>
          <w:bCs/>
          <w:sz w:val="28"/>
          <w:szCs w:val="28"/>
          <w:u w:val="single"/>
        </w:rPr>
        <w:t>（二）</w:t>
      </w:r>
      <w:r>
        <w:rPr>
          <w:rFonts w:hint="eastAsia" w:ascii="仿宋_GB2312" w:hAnsi="仿宋" w:eastAsia="仿宋_GB2312"/>
          <w:bCs/>
          <w:sz w:val="28"/>
          <w:szCs w:val="28"/>
        </w:rPr>
        <w:t>种方式解决：</w:t>
      </w:r>
    </w:p>
    <w:p w14:paraId="5BFC3562">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（一）提交西安仲裁委员会仲裁；</w:t>
      </w:r>
    </w:p>
    <w:p w14:paraId="7A7DBD3F">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（二）依法向甲方所在地人民法院起诉。</w:t>
      </w:r>
    </w:p>
    <w:p w14:paraId="7A6EBC1A">
      <w:pPr>
        <w:autoSpaceDE w:val="0"/>
        <w:autoSpaceDN w:val="0"/>
        <w:adjustRightInd w:val="0"/>
        <w:snapToGrid w:val="0"/>
        <w:spacing w:line="360" w:lineRule="auto"/>
        <w:ind w:firstLine="562" w:firstLineChars="200"/>
        <w:rPr>
          <w:rFonts w:hint="eastAsia" w:ascii="仿宋_GB2312" w:hAnsi="仿宋" w:eastAsia="仿宋_GB2312"/>
          <w:b/>
          <w:sz w:val="28"/>
          <w:szCs w:val="28"/>
        </w:rPr>
      </w:pPr>
      <w:r>
        <w:rPr>
          <w:rFonts w:hint="eastAsia" w:ascii="仿宋_GB2312" w:hAnsi="仿宋" w:eastAsia="仿宋_GB2312"/>
          <w:b/>
          <w:sz w:val="28"/>
          <w:szCs w:val="28"/>
          <w:lang w:val="en-US" w:eastAsia="zh-CN"/>
        </w:rPr>
        <w:t>十二、</w:t>
      </w:r>
      <w:r>
        <w:rPr>
          <w:rFonts w:hint="eastAsia" w:ascii="仿宋_GB2312" w:hAnsi="仿宋" w:eastAsia="仿宋_GB2312"/>
          <w:b/>
          <w:sz w:val="28"/>
          <w:szCs w:val="28"/>
        </w:rPr>
        <w:t>合同生效</w:t>
      </w:r>
    </w:p>
    <w:p w14:paraId="1778C1E2">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（一）本合同须经甲、乙双方的法定代表人（授权代表）在合同书上签字并加盖本单位公章后正式生效。</w:t>
      </w:r>
    </w:p>
    <w:p w14:paraId="6187EF84">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（二）合同生效后，甲、乙双方须严格执行本合同条款的规定，全面履行合同，违者按《中华人民共和国民法典》的有关规定承担相应责任。</w:t>
      </w:r>
    </w:p>
    <w:p w14:paraId="620A7B65">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（三）本合同一式</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份，甲乙双方各执</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份。</w:t>
      </w:r>
    </w:p>
    <w:p w14:paraId="61E77204">
      <w:pPr>
        <w:keepNext w:val="0"/>
        <w:keepLines w:val="0"/>
        <w:pageBreakBefore w:val="0"/>
        <w:widowControl w:val="0"/>
        <w:kinsoku/>
        <w:wordWrap/>
        <w:overflowPunct/>
        <w:topLinePunct w:val="0"/>
        <w:autoSpaceDE w:val="0"/>
        <w:autoSpaceDN w:val="0"/>
        <w:bidi w:val="0"/>
        <w:adjustRightInd w:val="0"/>
        <w:snapToGrid w:val="0"/>
        <w:spacing w:after="0" w:afterLines="50"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_GB2312" w:eastAsia="仿宋_GB2312" w:cs="仿宋_GB2312"/>
          <w:sz w:val="28"/>
          <w:szCs w:val="28"/>
        </w:rPr>
        <w:t>（四）本合同如有未尽事宜，甲、乙双方协商解决</w:t>
      </w:r>
      <w:r>
        <w:rPr>
          <w:rFonts w:hint="eastAsia" w:ascii="仿宋_GB2312" w:hAnsi="仿宋" w:eastAsia="仿宋_GB2312"/>
          <w:bCs/>
          <w:sz w:val="28"/>
          <w:szCs w:val="28"/>
          <w:highlight w:val="none"/>
        </w:rPr>
        <w:t>。</w:t>
      </w:r>
    </w:p>
    <w:p w14:paraId="3CAAF103">
      <w:pPr>
        <w:keepNext w:val="0"/>
        <w:keepLines w:val="0"/>
        <w:pageBreakBefore w:val="0"/>
        <w:widowControl w:val="0"/>
        <w:kinsoku/>
        <w:wordWrap/>
        <w:overflowPunct/>
        <w:topLinePunct w:val="0"/>
        <w:autoSpaceDE w:val="0"/>
        <w:autoSpaceDN w:val="0"/>
        <w:bidi w:val="0"/>
        <w:adjustRightInd w:val="0"/>
        <w:snapToGrid w:val="0"/>
        <w:spacing w:after="0" w:afterLines="50" w:line="360" w:lineRule="auto"/>
        <w:ind w:firstLine="560" w:firstLineChars="200"/>
        <w:textAlignment w:val="auto"/>
        <w:rPr>
          <w:rFonts w:hint="eastAsia" w:ascii="仿宋_GB2312" w:hAnsi="仿宋" w:eastAsia="仿宋_GB2312"/>
          <w:bCs/>
          <w:sz w:val="28"/>
          <w:szCs w:val="28"/>
          <w:highlight w:val="none"/>
        </w:rPr>
      </w:pPr>
    </w:p>
    <w:tbl>
      <w:tblPr>
        <w:tblStyle w:val="9"/>
        <w:tblW w:w="0" w:type="auto"/>
        <w:jc w:val="center"/>
        <w:tblLayout w:type="fixed"/>
        <w:tblCellMar>
          <w:top w:w="0" w:type="dxa"/>
          <w:left w:w="108" w:type="dxa"/>
          <w:bottom w:w="0" w:type="dxa"/>
          <w:right w:w="108" w:type="dxa"/>
        </w:tblCellMar>
      </w:tblPr>
      <w:tblGrid>
        <w:gridCol w:w="4201"/>
        <w:gridCol w:w="4202"/>
      </w:tblGrid>
      <w:tr w14:paraId="5D6937F5">
        <w:tblPrEx>
          <w:tblCellMar>
            <w:top w:w="0" w:type="dxa"/>
            <w:left w:w="108" w:type="dxa"/>
            <w:bottom w:w="0" w:type="dxa"/>
            <w:right w:w="108" w:type="dxa"/>
          </w:tblCellMar>
        </w:tblPrEx>
        <w:trPr>
          <w:trHeight w:val="567" w:hRule="exact"/>
          <w:jc w:val="center"/>
        </w:trPr>
        <w:tc>
          <w:tcPr>
            <w:tcW w:w="4201" w:type="dxa"/>
            <w:noWrap w:val="0"/>
            <w:vAlign w:val="center"/>
          </w:tcPr>
          <w:p w14:paraId="39DE92AC">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甲  方</w:t>
            </w:r>
          </w:p>
        </w:tc>
        <w:tc>
          <w:tcPr>
            <w:tcW w:w="4202" w:type="dxa"/>
            <w:noWrap w:val="0"/>
            <w:vAlign w:val="center"/>
          </w:tcPr>
          <w:p w14:paraId="1CA5D123">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乙  方</w:t>
            </w:r>
          </w:p>
        </w:tc>
      </w:tr>
      <w:tr w14:paraId="7EC50DE0">
        <w:tblPrEx>
          <w:tblCellMar>
            <w:top w:w="0" w:type="dxa"/>
            <w:left w:w="108" w:type="dxa"/>
            <w:bottom w:w="0" w:type="dxa"/>
            <w:right w:w="108" w:type="dxa"/>
          </w:tblCellMar>
        </w:tblPrEx>
        <w:trPr>
          <w:trHeight w:val="567" w:hRule="exact"/>
          <w:jc w:val="center"/>
        </w:trPr>
        <w:tc>
          <w:tcPr>
            <w:tcW w:w="4201" w:type="dxa"/>
            <w:noWrap w:val="0"/>
            <w:vAlign w:val="center"/>
          </w:tcPr>
          <w:p w14:paraId="03FDFFEB">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（盖章）</w:t>
            </w:r>
          </w:p>
        </w:tc>
        <w:tc>
          <w:tcPr>
            <w:tcW w:w="4202" w:type="dxa"/>
            <w:noWrap w:val="0"/>
            <w:vAlign w:val="center"/>
          </w:tcPr>
          <w:p w14:paraId="67404B27">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（盖章）</w:t>
            </w:r>
          </w:p>
        </w:tc>
      </w:tr>
      <w:tr w14:paraId="57CAFAFA">
        <w:tblPrEx>
          <w:tblCellMar>
            <w:top w:w="0" w:type="dxa"/>
            <w:left w:w="108" w:type="dxa"/>
            <w:bottom w:w="0" w:type="dxa"/>
            <w:right w:w="108" w:type="dxa"/>
          </w:tblCellMar>
        </w:tblPrEx>
        <w:trPr>
          <w:trHeight w:val="567" w:hRule="exact"/>
          <w:jc w:val="center"/>
        </w:trPr>
        <w:tc>
          <w:tcPr>
            <w:tcW w:w="4201" w:type="dxa"/>
            <w:noWrap w:val="0"/>
            <w:vAlign w:val="center"/>
          </w:tcPr>
          <w:p w14:paraId="77815087">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 xml:space="preserve">地址： </w:t>
            </w:r>
          </w:p>
        </w:tc>
        <w:tc>
          <w:tcPr>
            <w:tcW w:w="4202" w:type="dxa"/>
            <w:noWrap w:val="0"/>
            <w:vAlign w:val="center"/>
          </w:tcPr>
          <w:p w14:paraId="659C663B">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地址：</w:t>
            </w:r>
          </w:p>
        </w:tc>
      </w:tr>
      <w:tr w14:paraId="20727B30">
        <w:tblPrEx>
          <w:tblCellMar>
            <w:top w:w="0" w:type="dxa"/>
            <w:left w:w="108" w:type="dxa"/>
            <w:bottom w:w="0" w:type="dxa"/>
            <w:right w:w="108" w:type="dxa"/>
          </w:tblCellMar>
        </w:tblPrEx>
        <w:trPr>
          <w:trHeight w:val="567" w:hRule="exact"/>
          <w:jc w:val="center"/>
        </w:trPr>
        <w:tc>
          <w:tcPr>
            <w:tcW w:w="4201" w:type="dxa"/>
            <w:noWrap w:val="0"/>
            <w:vAlign w:val="center"/>
          </w:tcPr>
          <w:p w14:paraId="116D17A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 xml:space="preserve">法定代表人 </w:t>
            </w:r>
          </w:p>
        </w:tc>
        <w:tc>
          <w:tcPr>
            <w:tcW w:w="4202" w:type="dxa"/>
            <w:noWrap w:val="0"/>
            <w:vAlign w:val="center"/>
          </w:tcPr>
          <w:p w14:paraId="592C452D">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法定代表人</w:t>
            </w:r>
          </w:p>
        </w:tc>
      </w:tr>
      <w:tr w14:paraId="55E9CEBE">
        <w:tblPrEx>
          <w:tblCellMar>
            <w:top w:w="0" w:type="dxa"/>
            <w:left w:w="108" w:type="dxa"/>
            <w:bottom w:w="0" w:type="dxa"/>
            <w:right w:w="108" w:type="dxa"/>
          </w:tblCellMar>
        </w:tblPrEx>
        <w:trPr>
          <w:trHeight w:val="567" w:hRule="exact"/>
          <w:jc w:val="center"/>
        </w:trPr>
        <w:tc>
          <w:tcPr>
            <w:tcW w:w="4201" w:type="dxa"/>
            <w:noWrap w:val="0"/>
            <w:vAlign w:val="center"/>
          </w:tcPr>
          <w:p w14:paraId="01AE2BF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或授权代表：</w:t>
            </w:r>
          </w:p>
        </w:tc>
        <w:tc>
          <w:tcPr>
            <w:tcW w:w="4202" w:type="dxa"/>
            <w:noWrap w:val="0"/>
            <w:vAlign w:val="center"/>
          </w:tcPr>
          <w:p w14:paraId="5C597CB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或授权代表：</w:t>
            </w:r>
          </w:p>
        </w:tc>
      </w:tr>
      <w:tr w14:paraId="5258A6C9">
        <w:tblPrEx>
          <w:tblCellMar>
            <w:top w:w="0" w:type="dxa"/>
            <w:left w:w="108" w:type="dxa"/>
            <w:bottom w:w="0" w:type="dxa"/>
            <w:right w:w="108" w:type="dxa"/>
          </w:tblCellMar>
        </w:tblPrEx>
        <w:trPr>
          <w:trHeight w:val="567" w:hRule="exact"/>
          <w:jc w:val="center"/>
        </w:trPr>
        <w:tc>
          <w:tcPr>
            <w:tcW w:w="4201" w:type="dxa"/>
            <w:noWrap w:val="0"/>
            <w:vAlign w:val="center"/>
          </w:tcPr>
          <w:p w14:paraId="1BA1C7F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电话：</w:t>
            </w:r>
          </w:p>
        </w:tc>
        <w:tc>
          <w:tcPr>
            <w:tcW w:w="4202" w:type="dxa"/>
            <w:noWrap w:val="0"/>
            <w:vAlign w:val="center"/>
          </w:tcPr>
          <w:p w14:paraId="6A75A41B">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电话：</w:t>
            </w:r>
          </w:p>
        </w:tc>
      </w:tr>
      <w:tr w14:paraId="57ECB582">
        <w:tblPrEx>
          <w:tblCellMar>
            <w:top w:w="0" w:type="dxa"/>
            <w:left w:w="108" w:type="dxa"/>
            <w:bottom w:w="0" w:type="dxa"/>
            <w:right w:w="108" w:type="dxa"/>
          </w:tblCellMar>
        </w:tblPrEx>
        <w:trPr>
          <w:trHeight w:val="567" w:hRule="exact"/>
          <w:jc w:val="center"/>
        </w:trPr>
        <w:tc>
          <w:tcPr>
            <w:tcW w:w="4201" w:type="dxa"/>
            <w:noWrap w:val="0"/>
            <w:vAlign w:val="center"/>
          </w:tcPr>
          <w:p w14:paraId="661D887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传真：</w:t>
            </w:r>
          </w:p>
        </w:tc>
        <w:tc>
          <w:tcPr>
            <w:tcW w:w="4202" w:type="dxa"/>
            <w:noWrap w:val="0"/>
            <w:vAlign w:val="center"/>
          </w:tcPr>
          <w:p w14:paraId="081013C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传真：</w:t>
            </w:r>
          </w:p>
        </w:tc>
      </w:tr>
      <w:tr w14:paraId="1765088B">
        <w:tblPrEx>
          <w:tblCellMar>
            <w:top w:w="0" w:type="dxa"/>
            <w:left w:w="108" w:type="dxa"/>
            <w:bottom w:w="0" w:type="dxa"/>
            <w:right w:w="108" w:type="dxa"/>
          </w:tblCellMar>
        </w:tblPrEx>
        <w:trPr>
          <w:trHeight w:val="567" w:hRule="exact"/>
          <w:jc w:val="center"/>
        </w:trPr>
        <w:tc>
          <w:tcPr>
            <w:tcW w:w="4201" w:type="dxa"/>
            <w:noWrap w:val="0"/>
            <w:vAlign w:val="center"/>
          </w:tcPr>
          <w:p w14:paraId="085CA9B3">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开户银行：</w:t>
            </w:r>
          </w:p>
        </w:tc>
        <w:tc>
          <w:tcPr>
            <w:tcW w:w="4202" w:type="dxa"/>
            <w:noWrap w:val="0"/>
            <w:vAlign w:val="center"/>
          </w:tcPr>
          <w:p w14:paraId="0D8A236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开户银行：</w:t>
            </w:r>
          </w:p>
        </w:tc>
      </w:tr>
    </w:tbl>
    <w:p w14:paraId="5AAAC492"/>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4B6305"/>
    <w:rsid w:val="00C34048"/>
    <w:rsid w:val="026176F5"/>
    <w:rsid w:val="050471D5"/>
    <w:rsid w:val="053C7039"/>
    <w:rsid w:val="05711A44"/>
    <w:rsid w:val="07055153"/>
    <w:rsid w:val="07F933E3"/>
    <w:rsid w:val="09CF2980"/>
    <w:rsid w:val="09D0533B"/>
    <w:rsid w:val="0B6F77E5"/>
    <w:rsid w:val="0BE77DA2"/>
    <w:rsid w:val="11142FE5"/>
    <w:rsid w:val="117A2513"/>
    <w:rsid w:val="13FE0526"/>
    <w:rsid w:val="17D74BAD"/>
    <w:rsid w:val="181C3FA3"/>
    <w:rsid w:val="18EF18DD"/>
    <w:rsid w:val="19235D7C"/>
    <w:rsid w:val="1CE43381"/>
    <w:rsid w:val="1F5A6197"/>
    <w:rsid w:val="23C949D6"/>
    <w:rsid w:val="26396924"/>
    <w:rsid w:val="26E13E53"/>
    <w:rsid w:val="27D868FE"/>
    <w:rsid w:val="283D6944"/>
    <w:rsid w:val="297558AC"/>
    <w:rsid w:val="2D901664"/>
    <w:rsid w:val="333A6108"/>
    <w:rsid w:val="34391CBC"/>
    <w:rsid w:val="34880D18"/>
    <w:rsid w:val="34E06B1D"/>
    <w:rsid w:val="34FD51B3"/>
    <w:rsid w:val="37B13F46"/>
    <w:rsid w:val="385935CD"/>
    <w:rsid w:val="3A6F7E2D"/>
    <w:rsid w:val="3ABB227F"/>
    <w:rsid w:val="3C31041F"/>
    <w:rsid w:val="3D1928D1"/>
    <w:rsid w:val="3F41226C"/>
    <w:rsid w:val="41271A71"/>
    <w:rsid w:val="427D3EB0"/>
    <w:rsid w:val="44C01FE2"/>
    <w:rsid w:val="485E59E4"/>
    <w:rsid w:val="4A3C512E"/>
    <w:rsid w:val="4BE156B5"/>
    <w:rsid w:val="4D133CFA"/>
    <w:rsid w:val="4EE80B08"/>
    <w:rsid w:val="50742555"/>
    <w:rsid w:val="52876BC7"/>
    <w:rsid w:val="530774AF"/>
    <w:rsid w:val="55A52421"/>
    <w:rsid w:val="579A3366"/>
    <w:rsid w:val="59502521"/>
    <w:rsid w:val="5B0842C5"/>
    <w:rsid w:val="5C036210"/>
    <w:rsid w:val="5CD53D97"/>
    <w:rsid w:val="5CE6532D"/>
    <w:rsid w:val="5E5A7FB0"/>
    <w:rsid w:val="5EAE573F"/>
    <w:rsid w:val="5F171848"/>
    <w:rsid w:val="615B30D9"/>
    <w:rsid w:val="615C33BC"/>
    <w:rsid w:val="636D3049"/>
    <w:rsid w:val="654B6305"/>
    <w:rsid w:val="693A7F09"/>
    <w:rsid w:val="6A894E1B"/>
    <w:rsid w:val="6AF272E7"/>
    <w:rsid w:val="6B861DFC"/>
    <w:rsid w:val="6C136138"/>
    <w:rsid w:val="6C414997"/>
    <w:rsid w:val="6C5C1EDC"/>
    <w:rsid w:val="6D2F41BB"/>
    <w:rsid w:val="6E5824A9"/>
    <w:rsid w:val="70DA5D7D"/>
    <w:rsid w:val="72E3010A"/>
    <w:rsid w:val="738B22F5"/>
    <w:rsid w:val="75153B55"/>
    <w:rsid w:val="7540409A"/>
    <w:rsid w:val="75FC26D7"/>
    <w:rsid w:val="78A417BB"/>
    <w:rsid w:val="7B7D3A13"/>
    <w:rsid w:val="7CCE6984"/>
    <w:rsid w:val="7D393C95"/>
    <w:rsid w:val="7D6D78F8"/>
    <w:rsid w:val="7DF2584A"/>
    <w:rsid w:val="7E7D6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link w:val="11"/>
    <w:autoRedefine/>
    <w:qFormat/>
    <w:uiPriority w:val="0"/>
    <w:pPr>
      <w:spacing w:before="0" w:beforeAutospacing="1" w:after="0" w:afterAutospacing="1"/>
      <w:jc w:val="left"/>
      <w:outlineLvl w:val="0"/>
    </w:pPr>
    <w:rPr>
      <w:rFonts w:hint="eastAsia" w:ascii="宋体" w:hAnsi="宋体" w:eastAsia="仿宋_GB2312" w:cs="宋体"/>
      <w:b/>
      <w:bCs/>
      <w:sz w:val="32"/>
      <w:szCs w:val="48"/>
      <w:lang w:bidi="ar"/>
    </w:rPr>
  </w:style>
  <w:style w:type="paragraph" w:styleId="3">
    <w:name w:val="heading 2"/>
    <w:basedOn w:val="1"/>
    <w:next w:val="1"/>
    <w:link w:val="12"/>
    <w:semiHidden/>
    <w:unhideWhenUsed/>
    <w:qFormat/>
    <w:uiPriority w:val="0"/>
    <w:pPr>
      <w:keepNext/>
      <w:adjustRightInd w:val="0"/>
      <w:snapToGrid w:val="0"/>
      <w:spacing w:line="360" w:lineRule="auto"/>
      <w:outlineLvl w:val="1"/>
    </w:pPr>
    <w:rPr>
      <w:rFonts w:ascii="黑体" w:hAnsi="黑体" w:cs="Times New Roman"/>
      <w:b/>
      <w:sz w:val="30"/>
      <w:szCs w:val="24"/>
    </w:rPr>
  </w:style>
  <w:style w:type="paragraph" w:styleId="4">
    <w:name w:val="heading 3"/>
    <w:basedOn w:val="1"/>
    <w:next w:val="1"/>
    <w:link w:val="13"/>
    <w:semiHidden/>
    <w:unhideWhenUsed/>
    <w:qFormat/>
    <w:uiPriority w:val="0"/>
    <w:pPr>
      <w:keepNext/>
      <w:keepLines/>
      <w:adjustRightInd w:val="0"/>
      <w:snapToGrid w:val="0"/>
      <w:spacing w:beforeLines="0" w:beforeAutospacing="0" w:afterLines="0" w:afterAutospacing="0" w:line="360" w:lineRule="auto"/>
      <w:outlineLvl w:val="2"/>
    </w:pPr>
    <w:rPr>
      <w:rFonts w:ascii="Calibri" w:hAnsi="Calibri" w:cs="Times New Roman"/>
      <w:b/>
      <w:sz w:val="24"/>
      <w:szCs w:val="24"/>
    </w:rPr>
  </w:style>
  <w:style w:type="paragraph" w:styleId="5">
    <w:name w:val="heading 4"/>
    <w:basedOn w:val="1"/>
    <w:next w:val="1"/>
    <w:semiHidden/>
    <w:unhideWhenUsed/>
    <w:qFormat/>
    <w:uiPriority w:val="0"/>
    <w:pPr>
      <w:keepNext/>
      <w:keepLines/>
      <w:adjustRightInd w:val="0"/>
      <w:snapToGrid w:val="0"/>
      <w:spacing w:beforeLines="0" w:beforeAutospacing="0" w:afterLines="0" w:afterAutospacing="0" w:line="300" w:lineRule="auto"/>
      <w:outlineLvl w:val="3"/>
    </w:pPr>
    <w:rPr>
      <w:rFonts w:ascii="Arial" w:hAnsi="Arial" w:cs="Times New Roman"/>
      <w:b/>
      <w:sz w:val="30"/>
      <w:szCs w:val="24"/>
    </w:rPr>
  </w:style>
  <w:style w:type="character" w:default="1" w:styleId="10">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ind w:firstLine="420" w:firstLineChars="200"/>
    </w:pPr>
  </w:style>
  <w:style w:type="paragraph" w:styleId="7">
    <w:name w:val="Body Text"/>
    <w:basedOn w:val="1"/>
    <w:autoRedefine/>
    <w:qFormat/>
    <w:uiPriority w:val="0"/>
    <w:pPr>
      <w:spacing w:after="120" w:afterLines="0" w:afterAutospacing="0"/>
    </w:p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1">
    <w:name w:val="标题 1 Char"/>
    <w:link w:val="2"/>
    <w:autoRedefine/>
    <w:qFormat/>
    <w:uiPriority w:val="0"/>
    <w:rPr>
      <w:rFonts w:ascii="宋体" w:hAnsi="宋体" w:eastAsia="仿宋_GB2312" w:cs="宋体"/>
      <w:b/>
      <w:bCs/>
      <w:snapToGrid w:val="0"/>
      <w:color w:val="000000"/>
      <w:spacing w:val="-4"/>
      <w:kern w:val="44"/>
      <w:sz w:val="32"/>
      <w:szCs w:val="24"/>
      <w:lang w:val="en-US" w:eastAsia="en-US" w:bidi="ar-SA"/>
    </w:rPr>
  </w:style>
  <w:style w:type="character" w:customStyle="1" w:styleId="12">
    <w:name w:val="标题 2 Char"/>
    <w:link w:val="3"/>
    <w:autoRedefine/>
    <w:qFormat/>
    <w:uiPriority w:val="0"/>
    <w:rPr>
      <w:rFonts w:ascii="Arial" w:hAnsi="Arial" w:eastAsia="仿宋_GB2312" w:cs="Times New Roman"/>
      <w:b/>
      <w:snapToGrid w:val="0"/>
      <w:color w:val="000000"/>
      <w:kern w:val="0"/>
      <w:sz w:val="30"/>
      <w:szCs w:val="24"/>
      <w:lang w:eastAsia="en-US"/>
    </w:rPr>
  </w:style>
  <w:style w:type="character" w:customStyle="1" w:styleId="13">
    <w:name w:val="标题 3 Char"/>
    <w:link w:val="4"/>
    <w:qFormat/>
    <w:uiPriority w:val="0"/>
    <w:rPr>
      <w:rFonts w:ascii="Calibri" w:hAnsi="Calibri" w:eastAsia="仿宋_GB2312" w:cs="Times New Roman"/>
      <w:b/>
      <w:bCs/>
      <w:sz w:val="24"/>
      <w:szCs w:val="24"/>
    </w:rPr>
  </w:style>
  <w:style w:type="paragraph" w:customStyle="1" w:styleId="14">
    <w:name w:val="Default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2013</Words>
  <Characters>2037</Characters>
  <Lines>0</Lines>
  <Paragraphs>0</Paragraphs>
  <TotalTime>0</TotalTime>
  <ScaleCrop>false</ScaleCrop>
  <LinksUpToDate>false</LinksUpToDate>
  <CharactersWithSpaces>2125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2025-12-11T08:04:00Z</dcterms:created>
  <dc:creator>华采</dc:creator>
  <cp:lastModifiedBy>陕西华采招标有限公司</cp:lastModifiedBy>
  <cp:lastPrinted>2026-05-12T06:25:00Z</cp:lastPrinted>
  <dcterms:modified xsi:type="dcterms:W3CDTF">2026-06-01T00:20:19Z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41E2F2879C164E7494BE5062E0439B8B_11</vt:lpwstr>
  </property>
  <property fmtid="{D5CDD505-2E9C-101B-9397-08002B2CF9AE}" pid="4" name="KSOTemplateDocerSaveRecord">
    <vt:lpwstr>eyJoZGlkIjoiNzlkYjQxZmY4MWQ0ZWY2YTZhOTY1MTMyMDgzMmE0NmEiLCJ1c2VySWQiOiI5MzY1NjA0ODAifQ==</vt:lpwstr>
  </property>
</Properties>
</file>