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6BA7A0">
      <w:pPr>
        <w:pStyle w:val="40"/>
        <w:ind w:firstLine="0" w:firstLineChars="0"/>
        <w:jc w:val="left"/>
        <w:rPr>
          <w:rFonts w:hint="eastAsia" w:ascii="宋体" w:hAnsi="宋体" w:eastAsia="宋体" w:cs="宋体"/>
          <w:b/>
          <w:bCs/>
          <w:color w:val="auto"/>
          <w:kern w:val="0"/>
          <w:sz w:val="32"/>
          <w:szCs w:val="32"/>
          <w:highlight w:val="none"/>
          <w:lang w:val="en-US"/>
        </w:rPr>
      </w:pPr>
      <w:bookmarkStart w:id="173" w:name="_GoBack"/>
      <w:bookmarkEnd w:id="173"/>
      <w:r>
        <w:rPr>
          <w:rFonts w:hint="eastAsia" w:ascii="宋体" w:hAnsi="宋体" w:eastAsia="宋体" w:cs="宋体"/>
          <w:b/>
          <w:bCs/>
          <w:color w:val="auto"/>
          <w:kern w:val="0"/>
          <w:highlight w:val="none"/>
          <w:lang w:val="en-US" w:eastAsia="zh-CN"/>
        </w:rPr>
        <w:drawing>
          <wp:inline distT="0" distB="0" distL="114300" distR="114300">
            <wp:extent cx="3051810" cy="405765"/>
            <wp:effectExtent l="0" t="0" r="15240" b="13335"/>
            <wp:docPr id="3" name="图片 3" descr="165044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50443536"/>
                    <pic:cNvPicPr>
                      <a:picLocks noChangeAspect="1"/>
                    </pic:cNvPicPr>
                  </pic:nvPicPr>
                  <pic:blipFill>
                    <a:blip r:embed="rId21"/>
                    <a:stretch>
                      <a:fillRect/>
                    </a:stretch>
                  </pic:blipFill>
                  <pic:spPr>
                    <a:xfrm>
                      <a:off x="0" y="0"/>
                      <a:ext cx="3051810" cy="405765"/>
                    </a:xfrm>
                    <a:prstGeom prst="rect">
                      <a:avLst/>
                    </a:prstGeom>
                  </pic:spPr>
                </pic:pic>
              </a:graphicData>
            </a:graphic>
          </wp:inline>
        </w:drawing>
      </w:r>
    </w:p>
    <w:p w14:paraId="114BE5F2">
      <w:pPr>
        <w:pStyle w:val="40"/>
        <w:ind w:firstLine="0" w:firstLineChars="0"/>
        <w:jc w:val="center"/>
        <w:rPr>
          <w:rFonts w:hint="eastAsia" w:ascii="宋体" w:hAnsi="宋体" w:eastAsia="宋体" w:cs="宋体"/>
          <w:b/>
          <w:bCs/>
          <w:color w:val="auto"/>
          <w:kern w:val="0"/>
          <w:sz w:val="52"/>
          <w:szCs w:val="52"/>
          <w:highlight w:val="none"/>
        </w:rPr>
      </w:pPr>
    </w:p>
    <w:p w14:paraId="3BB837FD">
      <w:pPr>
        <w:pStyle w:val="40"/>
        <w:ind w:firstLine="0" w:firstLineChars="0"/>
        <w:jc w:val="center"/>
        <w:rPr>
          <w:rFonts w:hint="eastAsia" w:ascii="宋体" w:hAnsi="宋体" w:eastAsia="宋体" w:cs="宋体"/>
          <w:b/>
          <w:bCs/>
          <w:color w:val="auto"/>
          <w:kern w:val="0"/>
          <w:sz w:val="52"/>
          <w:szCs w:val="52"/>
          <w:highlight w:val="none"/>
        </w:rPr>
      </w:pPr>
    </w:p>
    <w:p w14:paraId="6F543765">
      <w:pPr>
        <w:pStyle w:val="40"/>
        <w:ind w:left="0" w:leftChars="0" w:firstLine="0" w:firstLineChars="0"/>
        <w:jc w:val="center"/>
        <w:rPr>
          <w:rFonts w:hint="eastAsia" w:ascii="宋体" w:hAnsi="宋体" w:eastAsia="宋体" w:cs="宋体"/>
          <w:color w:val="auto"/>
          <w:sz w:val="52"/>
          <w:szCs w:val="52"/>
        </w:rPr>
      </w:pPr>
      <w:r>
        <w:rPr>
          <w:rFonts w:hint="eastAsia" w:ascii="宋体" w:hAnsi="宋体" w:eastAsia="宋体" w:cs="宋体"/>
          <w:b/>
          <w:bCs/>
          <w:color w:val="auto"/>
          <w:kern w:val="0"/>
          <w:sz w:val="52"/>
          <w:szCs w:val="52"/>
          <w:highlight w:val="none"/>
        </w:rPr>
        <w:t>2026年度食品安全监督抽查采购项目</w:t>
      </w:r>
    </w:p>
    <w:p w14:paraId="055034DF">
      <w:pPr>
        <w:widowControl/>
        <w:ind w:firstLine="0" w:firstLineChars="0"/>
        <w:jc w:val="center"/>
        <w:rPr>
          <w:rFonts w:hint="eastAsia" w:ascii="宋体" w:hAnsi="宋体" w:eastAsia="宋体" w:cs="宋体"/>
          <w:b/>
          <w:bCs/>
          <w:color w:val="auto"/>
          <w:kern w:val="0"/>
          <w:sz w:val="72"/>
          <w:szCs w:val="72"/>
          <w:highlight w:val="none"/>
        </w:rPr>
      </w:pPr>
    </w:p>
    <w:p w14:paraId="7AA23EBC">
      <w:pPr>
        <w:widowControl/>
        <w:ind w:firstLine="0" w:firstLineChars="0"/>
        <w:jc w:val="center"/>
        <w:rPr>
          <w:rFonts w:hint="eastAsia" w:ascii="宋体" w:hAnsi="宋体" w:eastAsia="宋体" w:cs="宋体"/>
          <w:b/>
          <w:bCs/>
          <w:color w:val="auto"/>
          <w:kern w:val="0"/>
          <w:sz w:val="72"/>
          <w:szCs w:val="72"/>
          <w:highlight w:val="none"/>
          <w:lang w:val="zh-CN"/>
        </w:rPr>
      </w:pPr>
      <w:r>
        <w:rPr>
          <w:rFonts w:hint="eastAsia" w:ascii="宋体" w:hAnsi="宋体" w:eastAsia="宋体" w:cs="宋体"/>
          <w:b/>
          <w:bCs/>
          <w:color w:val="auto"/>
          <w:kern w:val="0"/>
          <w:sz w:val="72"/>
          <w:szCs w:val="72"/>
          <w:highlight w:val="none"/>
        </w:rPr>
        <w:t>竞争性磋商</w:t>
      </w:r>
      <w:r>
        <w:rPr>
          <w:rFonts w:hint="eastAsia" w:ascii="宋体" w:hAnsi="宋体" w:eastAsia="宋体" w:cs="宋体"/>
          <w:b/>
          <w:bCs/>
          <w:color w:val="auto"/>
          <w:kern w:val="0"/>
          <w:sz w:val="72"/>
          <w:szCs w:val="72"/>
          <w:highlight w:val="none"/>
          <w:lang w:val="zh-CN"/>
        </w:rPr>
        <w:t>文件</w:t>
      </w:r>
    </w:p>
    <w:p w14:paraId="0A706F93">
      <w:pPr>
        <w:widowControl/>
        <w:ind w:left="0" w:leftChars="0" w:firstLine="0" w:firstLineChars="0"/>
        <w:jc w:val="center"/>
        <w:rPr>
          <w:rFonts w:hint="eastAsia" w:ascii="宋体" w:hAnsi="宋体" w:eastAsia="宋体" w:cs="宋体"/>
          <w:b/>
          <w:bCs/>
          <w:color w:val="auto"/>
          <w:kern w:val="0"/>
          <w:sz w:val="21"/>
          <w:szCs w:val="21"/>
          <w:highlight w:val="none"/>
          <w:lang w:val="zh-CN"/>
        </w:rPr>
      </w:pPr>
    </w:p>
    <w:p w14:paraId="11779E98">
      <w:pPr>
        <w:widowControl/>
        <w:ind w:left="0" w:leftChars="0" w:firstLine="0" w:firstLineChars="0"/>
        <w:jc w:val="center"/>
        <w:rPr>
          <w:rFonts w:hint="eastAsia" w:ascii="宋体" w:hAnsi="宋体" w:eastAsia="宋体" w:cs="宋体"/>
          <w:b/>
          <w:bCs/>
          <w:color w:val="auto"/>
          <w:kern w:val="0"/>
          <w:sz w:val="32"/>
          <w:szCs w:val="32"/>
          <w:highlight w:val="none"/>
          <w:lang w:val="zh-CN"/>
        </w:rPr>
      </w:pPr>
      <w:r>
        <w:rPr>
          <w:rFonts w:hint="eastAsia" w:ascii="宋体" w:hAnsi="宋体" w:eastAsia="宋体" w:cs="宋体"/>
          <w:b/>
          <w:bCs/>
          <w:color w:val="auto"/>
          <w:kern w:val="0"/>
          <w:sz w:val="32"/>
          <w:szCs w:val="32"/>
          <w:highlight w:val="none"/>
          <w:lang w:val="zh-CN"/>
        </w:rPr>
        <w:t>采购项目编号：HYTF-202607054</w:t>
      </w:r>
    </w:p>
    <w:p w14:paraId="080264BC">
      <w:pPr>
        <w:jc w:val="center"/>
        <w:rPr>
          <w:rFonts w:hint="eastAsia" w:ascii="宋体" w:hAnsi="宋体" w:eastAsia="宋体" w:cs="宋体"/>
          <w:color w:val="auto"/>
          <w:highlight w:val="none"/>
        </w:rPr>
      </w:pPr>
    </w:p>
    <w:p w14:paraId="59EA5EAC">
      <w:pPr>
        <w:jc w:val="center"/>
        <w:rPr>
          <w:rFonts w:hint="eastAsia" w:ascii="宋体" w:hAnsi="宋体" w:eastAsia="宋体" w:cs="宋体"/>
          <w:color w:val="auto"/>
          <w:highlight w:val="none"/>
        </w:rPr>
      </w:pPr>
    </w:p>
    <w:p w14:paraId="3E8176AE">
      <w:pPr>
        <w:pStyle w:val="61"/>
        <w:rPr>
          <w:rFonts w:hint="eastAsia" w:ascii="宋体" w:hAnsi="宋体" w:eastAsia="宋体" w:cs="宋体"/>
          <w:color w:val="auto"/>
          <w:highlight w:val="none"/>
        </w:rPr>
      </w:pPr>
    </w:p>
    <w:p w14:paraId="760229A1">
      <w:pPr>
        <w:pStyle w:val="61"/>
        <w:rPr>
          <w:rFonts w:hint="eastAsia" w:ascii="宋体" w:hAnsi="宋体" w:eastAsia="宋体" w:cs="宋体"/>
          <w:color w:val="auto"/>
          <w:highlight w:val="none"/>
        </w:rPr>
      </w:pPr>
    </w:p>
    <w:p w14:paraId="3656D2EF">
      <w:pPr>
        <w:pStyle w:val="61"/>
        <w:rPr>
          <w:rFonts w:hint="eastAsia" w:ascii="宋体" w:hAnsi="宋体" w:eastAsia="宋体" w:cs="宋体"/>
          <w:color w:val="auto"/>
          <w:highlight w:val="none"/>
        </w:rPr>
      </w:pPr>
    </w:p>
    <w:p w14:paraId="019231C4">
      <w:pPr>
        <w:pStyle w:val="61"/>
        <w:rPr>
          <w:rFonts w:hint="eastAsia" w:ascii="宋体" w:hAnsi="宋体" w:eastAsia="宋体" w:cs="宋体"/>
          <w:color w:val="auto"/>
          <w:highlight w:val="none"/>
        </w:rPr>
      </w:pPr>
    </w:p>
    <w:p w14:paraId="03E21B74">
      <w:pPr>
        <w:pStyle w:val="61"/>
        <w:rPr>
          <w:rFonts w:hint="eastAsia" w:ascii="宋体" w:hAnsi="宋体" w:eastAsia="宋体" w:cs="宋体"/>
          <w:color w:val="auto"/>
          <w:highlight w:val="none"/>
        </w:rPr>
      </w:pPr>
    </w:p>
    <w:p w14:paraId="0A0D7717">
      <w:pPr>
        <w:pStyle w:val="61"/>
        <w:rPr>
          <w:rFonts w:hint="eastAsia" w:ascii="宋体" w:hAnsi="宋体" w:eastAsia="宋体" w:cs="宋体"/>
          <w:color w:val="auto"/>
          <w:highlight w:val="none"/>
        </w:rPr>
      </w:pPr>
    </w:p>
    <w:p w14:paraId="37E8C81D">
      <w:pPr>
        <w:tabs>
          <w:tab w:val="left" w:pos="734"/>
        </w:tabs>
        <w:spacing w:line="480" w:lineRule="auto"/>
        <w:ind w:firstLine="2891" w:firstLineChars="900"/>
        <w:rPr>
          <w:rFonts w:hint="eastAsia" w:ascii="宋体" w:hAnsi="宋体" w:eastAsia="宋体" w:cs="宋体"/>
          <w:b/>
          <w:bCs/>
          <w:color w:val="auto"/>
          <w:sz w:val="32"/>
          <w:szCs w:val="32"/>
          <w:highlight w:val="none"/>
        </w:rPr>
      </w:pPr>
    </w:p>
    <w:p w14:paraId="215401B0">
      <w:pPr>
        <w:tabs>
          <w:tab w:val="left" w:pos="734"/>
        </w:tabs>
        <w:spacing w:line="600" w:lineRule="auto"/>
        <w:ind w:firstLine="0" w:firstLineChars="0"/>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陕西四方衡裕项目管理有限公司</w:t>
      </w:r>
    </w:p>
    <w:p w14:paraId="33C0FE4A">
      <w:pPr>
        <w:tabs>
          <w:tab w:val="left" w:pos="734"/>
        </w:tabs>
        <w:spacing w:line="600" w:lineRule="auto"/>
        <w:ind w:firstLine="0" w:firstLineChars="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rPr>
        <w:t>二0二</w:t>
      </w: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rPr>
        <w:t>年</w:t>
      </w:r>
      <w:r>
        <w:rPr>
          <w:rFonts w:hint="eastAsia" w:ascii="宋体" w:hAnsi="宋体" w:eastAsia="宋体" w:cs="宋体"/>
          <w:b/>
          <w:bCs/>
          <w:color w:val="auto"/>
          <w:sz w:val="32"/>
          <w:szCs w:val="32"/>
          <w:lang w:val="en-US" w:eastAsia="zh-CN"/>
        </w:rPr>
        <w:t>七</w:t>
      </w:r>
      <w:r>
        <w:rPr>
          <w:rFonts w:hint="eastAsia" w:ascii="宋体" w:hAnsi="宋体" w:eastAsia="宋体" w:cs="宋体"/>
          <w:b/>
          <w:bCs/>
          <w:color w:val="auto"/>
          <w:sz w:val="32"/>
          <w:szCs w:val="32"/>
        </w:rPr>
        <w:t>月</w:t>
      </w:r>
    </w:p>
    <w:p w14:paraId="2B326860">
      <w:pPr>
        <w:pStyle w:val="45"/>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7414EDE">
      <w:pPr>
        <w:jc w:val="center"/>
        <w:rPr>
          <w:rFonts w:hint="eastAsia" w:ascii="宋体" w:hAnsi="宋体" w:eastAsia="宋体" w:cs="宋体"/>
          <w:color w:val="auto"/>
          <w:highlight w:val="none"/>
        </w:rPr>
      </w:pPr>
    </w:p>
    <w:sdt>
      <w:sdtPr>
        <w:rPr>
          <w:rFonts w:hint="eastAsia" w:ascii="宋体" w:hAnsi="宋体" w:eastAsia="宋体" w:cs="宋体"/>
          <w:color w:val="auto"/>
          <w:sz w:val="44"/>
          <w:szCs w:val="44"/>
          <w:highlight w:val="none"/>
        </w:rPr>
        <w:id w:val="-1731832563"/>
        <w:docPartObj>
          <w:docPartGallery w:val="Table of Contents"/>
          <w:docPartUnique/>
        </w:docPartObj>
      </w:sdtPr>
      <w:sdtEndPr>
        <w:rPr>
          <w:rFonts w:hint="eastAsia" w:ascii="宋体" w:hAnsi="宋体" w:eastAsia="宋体" w:cs="宋体"/>
          <w:color w:val="auto"/>
          <w:sz w:val="44"/>
          <w:szCs w:val="44"/>
          <w:highlight w:val="none"/>
        </w:rPr>
      </w:sdtEndPr>
      <w:sdtContent>
        <w:p w14:paraId="0A4240AA">
          <w:pPr>
            <w:spacing w:line="240" w:lineRule="auto"/>
            <w:ind w:firstLine="0" w:firstLineChars="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目 录</w:t>
          </w:r>
        </w:p>
        <w:p w14:paraId="60A7B49F">
          <w:pPr>
            <w:pStyle w:val="17"/>
            <w:rPr>
              <w:rFonts w:hint="eastAsia" w:ascii="宋体" w:hAnsi="宋体" w:eastAsia="宋体" w:cs="宋体"/>
              <w:color w:val="auto"/>
              <w:highlight w:val="none"/>
            </w:rPr>
          </w:pPr>
        </w:p>
        <w:p w14:paraId="785116E8">
          <w:pPr>
            <w:pStyle w:val="31"/>
            <w:tabs>
              <w:tab w:val="right" w:leader="dot" w:pos="9600"/>
              <w:tab w:val="clear" w:pos="9060"/>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"_Toc17169" </w:instrText>
          </w:r>
          <w:r>
            <w:rPr>
              <w:rFonts w:hint="eastAsia" w:ascii="宋体" w:hAnsi="宋体" w:eastAsia="宋体" w:cs="宋体"/>
              <w:color w:val="auto"/>
              <w:highlight w:val="none"/>
            </w:rPr>
            <w:fldChar w:fldCharType="separate"/>
          </w:r>
          <w:r>
            <w:rPr>
              <w:rFonts w:hint="eastAsia" w:ascii="宋体" w:hAnsi="宋体" w:eastAsia="宋体" w:cs="宋体"/>
              <w:color w:val="auto"/>
              <w:sz w:val="30"/>
              <w:szCs w:val="30"/>
              <w:highlight w:val="none"/>
            </w:rPr>
            <w:t>第一章 竞争性磋商公告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_Toc17169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1</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14:paraId="070E07D0">
          <w:pPr>
            <w:pStyle w:val="31"/>
            <w:tabs>
              <w:tab w:val="right" w:leader="dot" w:pos="9600"/>
              <w:tab w:val="clear" w:pos="9060"/>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"_Toc24721" </w:instrText>
          </w:r>
          <w:r>
            <w:rPr>
              <w:rFonts w:hint="eastAsia" w:ascii="宋体" w:hAnsi="宋体" w:eastAsia="宋体" w:cs="宋体"/>
              <w:color w:val="auto"/>
              <w:highlight w:val="none"/>
            </w:rPr>
            <w:fldChar w:fldCharType="separate"/>
          </w:r>
          <w:r>
            <w:rPr>
              <w:rFonts w:hint="eastAsia" w:ascii="宋体" w:hAnsi="宋体" w:eastAsia="宋体" w:cs="宋体"/>
              <w:color w:val="auto"/>
              <w:sz w:val="30"/>
              <w:szCs w:val="30"/>
              <w:highlight w:val="none"/>
            </w:rPr>
            <w:t>第二章 供应商须知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_Toc24721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5</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14:paraId="33C50A33">
          <w:pPr>
            <w:pStyle w:val="31"/>
            <w:tabs>
              <w:tab w:val="right" w:leader="dot" w:pos="9600"/>
              <w:tab w:val="clear" w:pos="9060"/>
            </w:tabs>
            <w:rPr>
              <w:rFonts w:hint="eastAsia" w:ascii="宋体" w:hAnsi="宋体" w:eastAsia="宋体" w:cs="宋体"/>
              <w:color w:val="auto"/>
              <w:sz w:val="30"/>
              <w:szCs w:val="30"/>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"_Toc10696" </w:instrText>
          </w:r>
          <w:r>
            <w:rPr>
              <w:rFonts w:hint="eastAsia" w:ascii="宋体" w:hAnsi="宋体" w:eastAsia="宋体" w:cs="宋体"/>
              <w:color w:val="auto"/>
              <w:highlight w:val="none"/>
            </w:rPr>
            <w:fldChar w:fldCharType="separate"/>
          </w:r>
          <w:r>
            <w:rPr>
              <w:rFonts w:hint="eastAsia" w:ascii="宋体" w:hAnsi="宋体" w:eastAsia="宋体" w:cs="宋体"/>
              <w:color w:val="auto"/>
              <w:sz w:val="30"/>
              <w:szCs w:val="30"/>
              <w:highlight w:val="none"/>
            </w:rPr>
            <w:t>第三章 采购内容及需求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_Toc10696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23</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14:paraId="691D8C92">
          <w:pPr>
            <w:pStyle w:val="31"/>
            <w:tabs>
              <w:tab w:val="right" w:leader="dot" w:pos="9600"/>
              <w:tab w:val="clear" w:pos="9060"/>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"_Toc11310" </w:instrText>
          </w:r>
          <w:r>
            <w:rPr>
              <w:rFonts w:hint="eastAsia" w:ascii="宋体" w:hAnsi="宋体" w:eastAsia="宋体" w:cs="宋体"/>
              <w:color w:val="auto"/>
              <w:highlight w:val="none"/>
            </w:rPr>
            <w:fldChar w:fldCharType="separate"/>
          </w:r>
          <w:r>
            <w:rPr>
              <w:rFonts w:hint="eastAsia" w:ascii="宋体" w:hAnsi="宋体" w:eastAsia="宋体" w:cs="宋体"/>
              <w:color w:val="auto"/>
              <w:sz w:val="30"/>
              <w:szCs w:val="30"/>
              <w:highlight w:val="none"/>
            </w:rPr>
            <w:t>第四章 拟签订的合同文本</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3</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lang w:val="en-US" w:eastAsia="zh-CN"/>
            </w:rPr>
            <w:t>0</w:t>
          </w:r>
        </w:p>
        <w:p w14:paraId="35B0368F">
          <w:pPr>
            <w:pStyle w:val="31"/>
            <w:tabs>
              <w:tab w:val="right" w:leader="dot" w:pos="9600"/>
              <w:tab w:val="clear" w:pos="9060"/>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"_Toc331" </w:instrText>
          </w:r>
          <w:r>
            <w:rPr>
              <w:rFonts w:hint="eastAsia" w:ascii="宋体" w:hAnsi="宋体" w:eastAsia="宋体" w:cs="宋体"/>
              <w:color w:val="auto"/>
              <w:highlight w:val="none"/>
            </w:rPr>
            <w:fldChar w:fldCharType="separate"/>
          </w:r>
          <w:r>
            <w:rPr>
              <w:rFonts w:hint="eastAsia" w:ascii="宋体" w:hAnsi="宋体" w:eastAsia="宋体" w:cs="宋体"/>
              <w:color w:val="auto"/>
              <w:sz w:val="30"/>
              <w:szCs w:val="30"/>
              <w:highlight w:val="none"/>
            </w:rPr>
            <w:t>第五章 响应文件格式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_Toc331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46</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fldChar w:fldCharType="end"/>
          </w:r>
        </w:p>
        <w:p w14:paraId="0BD65EEC">
          <w:pPr>
            <w:pStyle w:val="31"/>
            <w:tabs>
              <w:tab w:val="right" w:leader="dot" w:pos="9840"/>
              <w:tab w:val="clear" w:pos="9060"/>
            </w:tabs>
            <w:rPr>
              <w:rFonts w:hint="eastAsia" w:ascii="宋体" w:hAnsi="宋体" w:eastAsia="宋体" w:cs="宋体"/>
              <w:color w:val="auto"/>
              <w:highlight w:val="none"/>
            </w:rPr>
          </w:pPr>
        </w:p>
        <w:p w14:paraId="29553FEF">
          <w:pPr>
            <w:rPr>
              <w:rFonts w:hint="eastAsia" w:ascii="宋体" w:hAnsi="宋体" w:eastAsia="宋体" w:cs="宋体"/>
              <w:color w:val="auto"/>
              <w:highlight w:val="none"/>
            </w:rPr>
          </w:pPr>
          <w:r>
            <w:rPr>
              <w:rFonts w:hint="eastAsia" w:ascii="宋体" w:hAnsi="宋体" w:eastAsia="宋体" w:cs="宋体"/>
              <w:color w:val="auto"/>
              <w:szCs w:val="30"/>
              <w:highlight w:val="none"/>
            </w:rPr>
            <w:fldChar w:fldCharType="end"/>
          </w:r>
        </w:p>
      </w:sdtContent>
    </w:sdt>
    <w:p w14:paraId="7AF146ED">
      <w:pPr>
        <w:pStyle w:val="2"/>
        <w:spacing w:line="240" w:lineRule="auto"/>
        <w:ind w:firstLine="480" w:firstLineChars="200"/>
        <w:rPr>
          <w:rFonts w:hint="eastAsia" w:ascii="宋体" w:hAnsi="宋体" w:eastAsia="宋体" w:cs="宋体"/>
          <w:b w:val="0"/>
          <w:bCs w:val="0"/>
          <w:i w:val="0"/>
          <w:iCs w:val="0"/>
          <w:caps w:val="0"/>
          <w:smallCaps w:val="0"/>
          <w:color w:val="auto"/>
          <w:spacing w:val="0"/>
          <w:sz w:val="24"/>
          <w:szCs w:val="24"/>
          <w:highlight w:val="none"/>
          <w:shd w:val="clear" w:color="auto" w:fill="FFFFFF"/>
        </w:rPr>
        <w:sectPr>
          <w:headerReference r:id="rId5" w:type="default"/>
          <w:footerReference r:id="rId6" w:type="default"/>
          <w:pgSz w:w="11906" w:h="16838"/>
          <w:pgMar w:top="1418" w:right="1259" w:bottom="1418" w:left="1264" w:header="851" w:footer="1232" w:gutter="0"/>
          <w:pgBorders>
            <w:top w:val="none" w:sz="0" w:space="0"/>
            <w:left w:val="none" w:sz="0" w:space="0"/>
            <w:bottom w:val="none" w:sz="0" w:space="0"/>
            <w:right w:val="none" w:sz="0" w:space="0"/>
          </w:pgBorders>
          <w:pgNumType w:fmt="decimal" w:start="1"/>
          <w:cols w:space="720" w:num="1"/>
          <w:titlePg/>
          <w:docGrid w:linePitch="312" w:charSpace="0"/>
        </w:sectPr>
      </w:pPr>
      <w:bookmarkStart w:id="0" w:name="_Toc17169"/>
      <w:bookmarkStart w:id="1" w:name="_Toc508_WPSOffice_Level1"/>
    </w:p>
    <w:p w14:paraId="283CDEE8">
      <w:pPr>
        <w:pStyle w:val="2"/>
        <w:spacing w:line="240" w:lineRule="auto"/>
        <w:ind w:firstLine="883" w:firstLineChars="200"/>
        <w:rPr>
          <w:rFonts w:hint="eastAsia" w:ascii="宋体" w:hAnsi="宋体" w:eastAsia="宋体" w:cs="宋体"/>
          <w:b w:val="0"/>
          <w:bCs w:val="0"/>
          <w:i w:val="0"/>
          <w:iCs w:val="0"/>
          <w:caps w:val="0"/>
          <w:smallCaps w:val="0"/>
          <w:color w:val="auto"/>
          <w:spacing w:val="0"/>
          <w:sz w:val="24"/>
          <w:szCs w:val="24"/>
          <w:highlight w:val="none"/>
          <w:shd w:val="clear" w:color="auto" w:fill="FFFFFF"/>
        </w:rPr>
      </w:pPr>
      <w:r>
        <w:rPr>
          <w:rFonts w:hint="eastAsia" w:ascii="宋体" w:hAnsi="宋体" w:eastAsia="宋体" w:cs="宋体"/>
          <w:color w:val="auto"/>
          <w:sz w:val="44"/>
          <w:szCs w:val="44"/>
          <w:highlight w:val="none"/>
        </w:rPr>
        <w:t>竞争性磋商公告</w:t>
      </w:r>
      <w:bookmarkEnd w:id="0"/>
      <w:bookmarkEnd w:id="1"/>
      <w:bookmarkStart w:id="2" w:name="_Toc21145_WPSOffice_Level1"/>
      <w:r>
        <w:rPr>
          <w:rFonts w:hint="eastAsia" w:ascii="宋体" w:hAnsi="宋体" w:eastAsia="宋体" w:cs="宋体"/>
          <w:b w:val="0"/>
          <w:bCs w:val="0"/>
          <w:i w:val="0"/>
          <w:iCs w:val="0"/>
          <w:caps w:val="0"/>
          <w:smallCaps w:val="0"/>
          <w:color w:val="auto"/>
          <w:spacing w:val="0"/>
          <w:sz w:val="24"/>
          <w:szCs w:val="24"/>
          <w:highlight w:val="none"/>
          <w:shd w:val="clear" w:color="auto" w:fill="FFFFFF"/>
        </w:rPr>
        <w:t> </w:t>
      </w:r>
    </w:p>
    <w:p w14:paraId="2BBD4B8A">
      <w:pPr>
        <w:pStyle w:val="8"/>
        <w:keepNext w:val="0"/>
        <w:keepLines w:val="0"/>
        <w:widowControl/>
        <w:numPr>
          <w:ilvl w:val="5"/>
          <w:numId w:val="0"/>
        </w:numPr>
        <w:suppressLineNumbers w:val="0"/>
        <w:pBdr>
          <w:top w:val="none" w:color="auto" w:sz="0" w:space="0"/>
          <w:left w:val="none" w:color="auto" w:sz="0" w:space="0"/>
          <w:bottom w:val="none" w:color="auto" w:sz="0" w:space="0"/>
          <w:right w:val="none" w:color="auto" w:sz="0" w:space="0"/>
        </w:pBdr>
        <w:tabs>
          <w:tab w:val="clear" w:pos="0"/>
        </w:tabs>
        <w:spacing w:before="150" w:beforeAutospacing="0" w:after="150" w:afterAutospacing="0" w:line="360" w:lineRule="auto"/>
        <w:ind w:left="-1151" w:leftChars="0" w:right="0" w:rightChars="0" w:firstLine="1205" w:firstLineChars="500"/>
        <w:jc w:val="left"/>
        <w:textAlignment w:val="baseline"/>
        <w:rPr>
          <w:rFonts w:hint="eastAsia" w:ascii="宋体" w:hAnsi="宋体" w:eastAsia="宋体" w:cs="宋体"/>
          <w:b w:val="0"/>
          <w:bCs w:val="0"/>
          <w:color w:val="auto"/>
          <w:sz w:val="24"/>
          <w:szCs w:val="24"/>
        </w:rPr>
      </w:pPr>
      <w:r>
        <w:rPr>
          <w:rStyle w:val="49"/>
          <w:rFonts w:hint="eastAsia" w:ascii="宋体" w:hAnsi="宋体" w:eastAsia="宋体" w:cs="宋体"/>
          <w:b/>
          <w:bCs/>
          <w:i w:val="0"/>
          <w:iCs w:val="0"/>
          <w:caps w:val="0"/>
          <w:color w:val="auto"/>
          <w:spacing w:val="0"/>
          <w:sz w:val="24"/>
          <w:szCs w:val="24"/>
          <w:shd w:val="clear" w:fill="FFFFFF"/>
          <w:vertAlign w:val="baseline"/>
        </w:rPr>
        <w:t>项目概况</w:t>
      </w:r>
    </w:p>
    <w:p w14:paraId="6EA538D6">
      <w:pPr>
        <w:pStyle w:val="6"/>
        <w:keepNext w:val="0"/>
        <w:keepLines w:val="0"/>
        <w:widowControl/>
        <w:numPr>
          <w:ilvl w:val="3"/>
          <w:numId w:val="0"/>
        </w:numPr>
        <w:suppressLineNumbers w:val="0"/>
        <w:pBdr>
          <w:top w:val="none" w:color="auto" w:sz="0" w:space="0"/>
          <w:left w:val="none" w:color="auto" w:sz="0" w:space="0"/>
          <w:bottom w:val="none" w:color="auto" w:sz="0" w:space="0"/>
          <w:right w:val="none" w:color="auto" w:sz="0" w:space="0"/>
        </w:pBdr>
        <w:shd w:val="clear"/>
        <w:tabs>
          <w:tab w:val="clear" w:pos="0"/>
        </w:tabs>
        <w:spacing w:before="150" w:beforeAutospacing="0" w:after="0" w:afterAutospacing="0" w:line="360" w:lineRule="auto"/>
        <w:ind w:right="0" w:rightChars="0" w:firstLine="480" w:firstLineChars="200"/>
        <w:jc w:val="left"/>
        <w:textAlignment w:val="baseline"/>
        <w:rPr>
          <w:rFonts w:hint="eastAsia" w:ascii="宋体" w:hAnsi="宋体" w:eastAsia="宋体" w:cs="宋体"/>
          <w:b w:val="0"/>
          <w:i w:val="0"/>
          <w:iCs w:val="0"/>
          <w:caps w:val="0"/>
          <w:color w:val="auto"/>
          <w:spacing w:val="0"/>
          <w:kern w:val="0"/>
          <w:sz w:val="24"/>
          <w:szCs w:val="24"/>
          <w:lang w:val="en-US" w:eastAsia="zh-CN" w:bidi="ar-SA"/>
        </w:rPr>
      </w:pPr>
      <w:r>
        <w:rPr>
          <w:rFonts w:hint="eastAsia" w:ascii="宋体" w:hAnsi="宋体" w:eastAsia="宋体" w:cs="宋体"/>
          <w:b w:val="0"/>
          <w:i w:val="0"/>
          <w:iCs w:val="0"/>
          <w:caps w:val="0"/>
          <w:color w:val="auto"/>
          <w:spacing w:val="0"/>
          <w:kern w:val="0"/>
          <w:sz w:val="24"/>
          <w:szCs w:val="24"/>
          <w:lang w:val="en-US" w:eastAsia="zh-CN" w:bidi="ar-SA"/>
        </w:rPr>
        <w:t>2026年度食品安全监督抽查采购项目采购项目的潜在供应商应在西安市国家民用航天产业基地神舟大道1666号新经济产业园北区3幢2层获取采购文件，并于2026年07月23日 14时00分 （北京时间）前提交响应文件。</w:t>
      </w:r>
    </w:p>
    <w:p w14:paraId="345B7ACF">
      <w:pPr>
        <w:pStyle w:val="6"/>
        <w:keepNext w:val="0"/>
        <w:keepLines w:val="0"/>
        <w:widowControl/>
        <w:numPr>
          <w:ilvl w:val="3"/>
          <w:numId w:val="0"/>
        </w:numPr>
        <w:suppressLineNumbers w:val="0"/>
        <w:pBdr>
          <w:top w:val="none" w:color="auto" w:sz="0" w:space="0"/>
          <w:left w:val="none" w:color="auto" w:sz="0" w:space="0"/>
          <w:bottom w:val="none" w:color="auto" w:sz="0" w:space="0"/>
          <w:right w:val="none" w:color="auto" w:sz="0" w:space="0"/>
        </w:pBdr>
        <w:shd w:val="clear"/>
        <w:tabs>
          <w:tab w:val="clear" w:pos="0"/>
        </w:tabs>
        <w:spacing w:before="150" w:beforeAutospacing="0" w:after="0" w:afterAutospacing="0" w:line="360" w:lineRule="auto"/>
        <w:ind w:right="0" w:rightChars="0" w:firstLine="482" w:firstLineChars="200"/>
        <w:jc w:val="left"/>
        <w:textAlignment w:val="baseline"/>
        <w:rPr>
          <w:rFonts w:hint="eastAsia" w:ascii="宋体" w:hAnsi="宋体" w:eastAsia="宋体" w:cs="宋体"/>
          <w:b/>
          <w:bCs/>
          <w:i w:val="0"/>
          <w:iCs w:val="0"/>
          <w:caps w:val="0"/>
          <w:color w:val="auto"/>
          <w:spacing w:val="0"/>
          <w:kern w:val="0"/>
          <w:sz w:val="24"/>
          <w:szCs w:val="24"/>
          <w:lang w:val="en-US" w:eastAsia="zh-CN" w:bidi="ar-SA"/>
        </w:rPr>
      </w:pPr>
      <w:r>
        <w:rPr>
          <w:rFonts w:hint="eastAsia" w:ascii="宋体" w:hAnsi="宋体" w:eastAsia="宋体" w:cs="宋体"/>
          <w:b/>
          <w:bCs/>
          <w:i w:val="0"/>
          <w:iCs w:val="0"/>
          <w:caps w:val="0"/>
          <w:color w:val="auto"/>
          <w:spacing w:val="0"/>
          <w:kern w:val="0"/>
          <w:sz w:val="24"/>
          <w:szCs w:val="24"/>
          <w:lang w:val="en-US" w:eastAsia="zh-CN" w:bidi="ar-SA"/>
        </w:rPr>
        <w:t>一、项目基本情况</w:t>
      </w:r>
    </w:p>
    <w:p w14:paraId="492798E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项目编号：HYTF-202607054</w:t>
      </w:r>
    </w:p>
    <w:p w14:paraId="0651166C">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项目名称：2026年度食品安全监督抽查采购项目</w:t>
      </w:r>
    </w:p>
    <w:p w14:paraId="6616009A">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采购方式：竞争性磋商</w:t>
      </w:r>
    </w:p>
    <w:p w14:paraId="12592AB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预算金额：273,000.00元</w:t>
      </w:r>
    </w:p>
    <w:p w14:paraId="7B957E5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3FA0CF2D">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合同包1(2026年度食品安全监督抽查采购项目):</w:t>
      </w:r>
    </w:p>
    <w:p w14:paraId="171E4B6A">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合同包预算金额：273,000.00元</w:t>
      </w:r>
    </w:p>
    <w:p w14:paraId="10725111">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合同包最高限价：273,000.00元</w:t>
      </w:r>
    </w:p>
    <w:tbl>
      <w:tblPr>
        <w:tblStyle w:val="46"/>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55"/>
        <w:gridCol w:w="2330"/>
        <w:gridCol w:w="1800"/>
        <w:gridCol w:w="1340"/>
        <w:gridCol w:w="1569"/>
        <w:gridCol w:w="1921"/>
      </w:tblGrid>
      <w:tr w14:paraId="06CDA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3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E05B79">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143679">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品目名称</w:t>
            </w:r>
          </w:p>
        </w:tc>
        <w:tc>
          <w:tcPr>
            <w:tcW w:w="9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523896">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采购标的</w:t>
            </w:r>
          </w:p>
        </w:tc>
        <w:tc>
          <w:tcPr>
            <w:tcW w:w="6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30C0B">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475E056E">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（单位）</w:t>
            </w:r>
          </w:p>
        </w:tc>
        <w:tc>
          <w:tcPr>
            <w:tcW w:w="8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958C9A">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技术规格、参数及要求</w:t>
            </w:r>
          </w:p>
        </w:tc>
        <w:tc>
          <w:tcPr>
            <w:tcW w:w="9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DA6E53">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品目预算(元)</w:t>
            </w:r>
          </w:p>
        </w:tc>
      </w:tr>
      <w:tr w14:paraId="3C05A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34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765CF7">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562C38">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技术测试和分析服务</w:t>
            </w:r>
          </w:p>
        </w:tc>
        <w:tc>
          <w:tcPr>
            <w:tcW w:w="9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C4D213">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食品安全监督抽查</w:t>
            </w:r>
          </w:p>
        </w:tc>
        <w:tc>
          <w:tcPr>
            <w:tcW w:w="69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731D09">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8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B81F27">
            <w:pPr>
              <w:keepNext w:val="0"/>
              <w:keepLines w:val="0"/>
              <w:widowControl/>
              <w:suppressLineNumbers w:val="0"/>
              <w:shd w:val="clear"/>
              <w:wordWrap w:val="0"/>
              <w:spacing w:before="0" w:beforeAutospacing="0" w:after="0" w:afterAutospacing="0" w:line="360" w:lineRule="auto"/>
              <w:ind w:left="0" w:leftChars="0" w:right="0" w:firstLine="0" w:firstLineChars="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9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E5F8E2">
            <w:pPr>
              <w:keepNext w:val="0"/>
              <w:keepLines w:val="0"/>
              <w:widowControl/>
              <w:suppressLineNumbers w:val="0"/>
              <w:shd w:val="clear"/>
              <w:wordWrap/>
              <w:spacing w:before="0" w:beforeAutospacing="0" w:after="0" w:afterAutospacing="0" w:line="360" w:lineRule="auto"/>
              <w:ind w:left="0" w:right="0"/>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vertAlign w:val="baseline"/>
                <w:lang w:val="en-US" w:eastAsia="zh-CN" w:bidi="ar"/>
              </w:rPr>
              <w:t>273,000.00</w:t>
            </w:r>
          </w:p>
        </w:tc>
      </w:tr>
    </w:tbl>
    <w:p w14:paraId="163670BB">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114DFCF9">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合同履行期限：自合同签订之日起至2026年12月31日。</w:t>
      </w:r>
    </w:p>
    <w:p w14:paraId="5570E0B6">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二、申请人的资格要求：</w:t>
      </w:r>
    </w:p>
    <w:p w14:paraId="169CDFF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33D56D7D">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7E5EAE09">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合同包1(2026年度食品安全监督抽查采购项目)落实政府采购政策需满足的资格要求如下:</w:t>
      </w:r>
    </w:p>
    <w:p w14:paraId="5D39483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本项目专门面向中小企业采购，供应商符合《政府采购促进中小企业发展管理办法》（财库〔2020〕46号）规定为中小型企业。</w:t>
      </w:r>
    </w:p>
    <w:p w14:paraId="507A4B7D">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235ED07D">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合同包1(2026年度食品安全监督抽查采购项目)特定资格要求如下:</w:t>
      </w:r>
    </w:p>
    <w:p w14:paraId="5E6CB9F1">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（1）营业执照等主体资格证明文件：提供有效存续的企业营业执照/事业单位法人证书/专业服务机构执业许可证/民办非企业单位登记证书，自然人投标的提供其身份证明；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2）财务状况报告：提供2025年度经审计的完整财务报告（成立时间至提交响应文件截止时间不足一年的可提供成立后任意时段的资产负债表），或其开标前三个月内基本开户银行出具的资信证明；（以上两种形式的资料提供任何一种即可）</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3）税收缴纳证明：提供2026年1月至今已缴纳任意一个月纳税证明或税务机关开具的完税证明（时间以税款所属日期为准，凭据应有税务机关或代收机关的公章或业务专用章。）依法免税或无须缴纳税收的单位应提供相应证明文件；</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（4）社保缴纳证明：提供2026年1月至今已缴存任意一个月社会保障资金缴存单据或社保机构开具的社会保险参保缴费证明，依法不需要缴纳社会保障资金的单位应提供相应证明文件；</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（5）具备履行合同所必需的设备和专业技术能力的证明材料或书面声明；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（7）具备法律、行政法规规定的其他条件的证明材料。</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（8）供应商具有检验检测机构资质认定证书CMA（证书附表要包含食品)、农产品质量安全检测机构考核合格证书（CATL）；</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（9）供应商通过“信用中国”网站(www.creditchina.gov.cn)、中国政府采购网</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(www.ccgp.gov.cn) 等查询相关主体信用记录。（对列入失信被执行人、重大税收违法失信主体、政府采购严重违法失信行为记录名单及其他不符合《中华人民共和国政府采购法》第二十二条规定条件的供应商，采购代理机构将拒绝其参与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10）法定代表人授权委托书：法定代表人直接参加磋商的，须出具法人身份证，并与营业执照上信息一致。法定代表人授权代表参加磋商的，须出具法定代表人授权书及授权代表身份证、授权代表本单位证明（磋商前的个人养老保险缴纳证明）。 </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  法人的分支机构参与磋商时，除提供《法定代表人授权委托书》外，还须同时提供法人给分支机构出具的授权书。</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fill="FFFFFF"/>
          <w:vertAlign w:val="baseline"/>
        </w:rPr>
        <w:t>（11）本项目不接受联合体投标，不允许分包。供应商提供《非联合体不分包投标声明》，视为独立投标，不分包。</w:t>
      </w:r>
    </w:p>
    <w:p w14:paraId="2C1B8F43">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三、获取采购文件</w:t>
      </w:r>
    </w:p>
    <w:p w14:paraId="3F7587E2">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时间：2026年07月10日至2026年07月16日，每天上午08:30:00至12:00:00，下午13:00:00至17:30:00（北京时间）</w:t>
      </w:r>
    </w:p>
    <w:p w14:paraId="743A9253">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途径：西安市国家民用航天产业基地神舟大道1666号新经济产业园北区3幢2层</w:t>
      </w:r>
    </w:p>
    <w:p w14:paraId="68E65E00">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方式：现场获取</w:t>
      </w:r>
    </w:p>
    <w:p w14:paraId="5AF815F2">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售价：0元</w:t>
      </w:r>
    </w:p>
    <w:p w14:paraId="159D7B2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四、响应文件提交</w:t>
      </w:r>
    </w:p>
    <w:p w14:paraId="71383F03">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截止时间：2026年07月23日 14时00分00秒 （北京时间）</w:t>
      </w:r>
    </w:p>
    <w:p w14:paraId="2018C8A1">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地点：西安市国家民用航天产业基地神舟大道1666号新经济产业园北区3幢2层会议室</w:t>
      </w:r>
    </w:p>
    <w:p w14:paraId="2CEC869B">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五、开启</w:t>
      </w:r>
    </w:p>
    <w:p w14:paraId="394679C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时间：2026年07月23日 14时00分00秒 （北京时间）</w:t>
      </w:r>
    </w:p>
    <w:p w14:paraId="1C575322">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地点：西安市国家民用航天产业基地神舟大道1666号新经济产业园北区3幢2层会议室</w:t>
      </w:r>
    </w:p>
    <w:p w14:paraId="5597083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六、公告期限</w:t>
      </w:r>
    </w:p>
    <w:p w14:paraId="6A9574ED">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自本公告发布之日起3个工作日。</w:t>
      </w:r>
    </w:p>
    <w:p w14:paraId="4031CBAE">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七、其他补充事宜</w:t>
      </w:r>
    </w:p>
    <w:p w14:paraId="33CE2D9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1、落实政府采购政策：</w:t>
      </w:r>
    </w:p>
    <w:p w14:paraId="58E382CD">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关于在政府采购活动中查询及使用信用记录有关问题的通知》（财库〔2016〕125号）、《政府采购促进中小企业发展管理办法》（财库〔2020〕46号）、《关于进一步加大政府采购支持中小企业力度的通知》(财库〔2022〕19号)、《关于政府采购支持监狱企业发展有关问题的通知》（财库〔2014〕68号）以及《关于促进残疾人就业政府采购政策的通知》（财库〔2017〕141号）。（2）国务院办公厅《关于建立政府强制采购节能产品制度的通知》（国办发〔2007〕51号）、《财政部 发展改革委 生态环境部 市场监管总局 关于调整优化节能产品、环境标志产品政府采购执行机制的通知》--财库〔2019〕9号。（3）《关于运用政府采购政策支持乡村产业振兴的通知》（财库[2021]19号）、关于印发《商品包装政府采购需求标准（试行）》、《快递包装政府采购需求标准（试行）》的通知--财办库〔2020〕123号、《关于扩大政府采购支持绿色建材促进建筑品质提升政策实施范围的通知》(财库〔2022〕35 号）。（4）陕西省财政厅关于印发《陕西省中小企业政府采购信用融资办法》（陕财办采〔2018〕23号）。（5）《关于进一步加强政府绿色采购有关问题的通知》（陕财办采〔2021〕29号）。（6）其他需要落实的政府采购政策。注：如有最新颁布的政府采购政策，按最新的文件执行。</w:t>
      </w:r>
    </w:p>
    <w:p w14:paraId="2AF711EA">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2、本项目专门面向中小企业采购。</w:t>
      </w:r>
    </w:p>
    <w:p w14:paraId="3EDDAE56">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3、参加采购项目的供应商领取磋商文件时请携带单位介绍信原件、本人身份证原件或复印件加盖公章。磋商文件以电子文档方式提供。</w:t>
      </w:r>
    </w:p>
    <w:p w14:paraId="73145336">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4、请各供应商按照陕西省财政厅《关于政府采购供应商注册登记有关事项的通知》要求，通过陕西省政府采购网（http://www.ccgp-shaanxi.gov.cn/）注册登记加入陕西省政府采购供应商库。</w:t>
      </w:r>
    </w:p>
    <w:p w14:paraId="03DFC631">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八、对本次招标提出询问，请按以下方式联系。</w:t>
      </w:r>
    </w:p>
    <w:p w14:paraId="503001CE">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1.采购人信息</w:t>
      </w:r>
    </w:p>
    <w:p w14:paraId="6A119602">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名称：柞水县市场监督管理局</w:t>
      </w:r>
    </w:p>
    <w:p w14:paraId="3B37941B">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地址：柞水县乾佑街道石镇社区湾潭子移民搬迁点</w:t>
      </w:r>
    </w:p>
    <w:p w14:paraId="3673913C">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联系方式：0914-4325363</w:t>
      </w:r>
    </w:p>
    <w:p w14:paraId="776E933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2.采购代理机构信息</w:t>
      </w:r>
    </w:p>
    <w:p w14:paraId="444348B4">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名称：陕西四方衡裕项目管理有限公司</w:t>
      </w:r>
    </w:p>
    <w:p w14:paraId="6F0822A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地址：陕西省西安市国家民用航天产业基地神舟大道1666号新经济产业园北区3幢2层</w:t>
      </w:r>
    </w:p>
    <w:p w14:paraId="24EC0AC3">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联系方式：029-89284433-604</w:t>
      </w:r>
    </w:p>
    <w:p w14:paraId="45F48052">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3.项目联系方式</w:t>
      </w:r>
    </w:p>
    <w:p w14:paraId="70B3EA92">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项目联系人：李亚容、赵维、马国宇</w:t>
      </w:r>
    </w:p>
    <w:p w14:paraId="24592831">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kern w:val="0"/>
          <w:sz w:val="24"/>
          <w:szCs w:val="24"/>
          <w:shd w:val="clear" w:fill="FFFFFF"/>
          <w:vertAlign w:val="baseline"/>
          <w:lang w:val="en-US" w:eastAsia="zh-CN" w:bidi="ar"/>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电话：029-89284433-604</w:t>
      </w:r>
    </w:p>
    <w:p w14:paraId="07EB3FD1">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陕西四方衡裕项目管理有限公司</w:t>
      </w:r>
    </w:p>
    <w:p w14:paraId="647615D7">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2026年07月09日</w:t>
      </w:r>
    </w:p>
    <w:p w14:paraId="6CAC381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2A161D48">
      <w:pPr>
        <w:pStyle w:val="2"/>
        <w:ind w:firstLine="883" w:firstLineChars="200"/>
        <w:rPr>
          <w:rFonts w:hint="eastAsia" w:ascii="宋体" w:hAnsi="宋体" w:eastAsia="宋体" w:cs="宋体"/>
          <w:color w:val="auto"/>
          <w:highlight w:val="none"/>
        </w:rPr>
      </w:pPr>
      <w:bookmarkStart w:id="3" w:name="_Toc24721"/>
      <w:r>
        <w:rPr>
          <w:rFonts w:hint="eastAsia" w:ascii="宋体" w:hAnsi="宋体" w:eastAsia="宋体" w:cs="宋体"/>
          <w:color w:val="auto"/>
          <w:highlight w:val="none"/>
        </w:rPr>
        <w:t>供应商须知</w:t>
      </w:r>
      <w:bookmarkEnd w:id="2"/>
      <w:bookmarkEnd w:id="3"/>
    </w:p>
    <w:p w14:paraId="0EABDE23">
      <w:pPr>
        <w:pStyle w:val="4"/>
        <w:spacing w:line="360" w:lineRule="auto"/>
        <w:ind w:left="573"/>
        <w:rPr>
          <w:rFonts w:hint="eastAsia" w:ascii="宋体" w:hAnsi="宋体" w:eastAsia="宋体" w:cs="宋体"/>
          <w:color w:val="auto"/>
          <w:highlight w:val="none"/>
        </w:rPr>
      </w:pPr>
      <w:bookmarkStart w:id="4" w:name="_Toc25285_WPSOffice_Level2"/>
      <w:bookmarkStart w:id="5" w:name="_Toc16405_WPSOffice_Level2"/>
      <w:r>
        <w:rPr>
          <w:rFonts w:hint="eastAsia" w:ascii="宋体" w:hAnsi="宋体" w:eastAsia="宋体" w:cs="宋体"/>
          <w:color w:val="auto"/>
          <w:highlight w:val="none"/>
        </w:rPr>
        <w:t>定义</w:t>
      </w:r>
      <w:bookmarkEnd w:id="4"/>
      <w:bookmarkEnd w:id="5"/>
    </w:p>
    <w:p w14:paraId="41D8F7BD">
      <w:pPr>
        <w:numPr>
          <w:ilvl w:val="0"/>
          <w:numId w:val="5"/>
        </w:numPr>
        <w:ind w:left="0" w:firstLine="48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采 购 人：</w:t>
      </w:r>
      <w:r>
        <w:rPr>
          <w:rFonts w:hint="eastAsia" w:ascii="宋体" w:hAnsi="宋体" w:eastAsia="宋体" w:cs="宋体"/>
          <w:color w:val="auto"/>
          <w:highlight w:val="none"/>
          <w:lang w:val="en-US" w:eastAsia="zh-CN"/>
        </w:rPr>
        <w:t>柞水县市场监督管理局</w:t>
      </w:r>
    </w:p>
    <w:p w14:paraId="632A668E">
      <w:pPr>
        <w:numPr>
          <w:ilvl w:val="0"/>
          <w:numId w:val="5"/>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监督机构：</w:t>
      </w:r>
      <w:r>
        <w:rPr>
          <w:rFonts w:hint="eastAsia" w:ascii="宋体" w:hAnsi="宋体" w:eastAsia="宋体" w:cs="宋体"/>
          <w:color w:val="auto"/>
          <w:highlight w:val="none"/>
          <w:lang w:val="en-US" w:eastAsia="zh-CN"/>
        </w:rPr>
        <w:t>柞水县市场监督管理局财务科</w:t>
      </w:r>
    </w:p>
    <w:p w14:paraId="0D8F978A">
      <w:pPr>
        <w:rPr>
          <w:rFonts w:hint="eastAsia" w:ascii="宋体" w:hAnsi="宋体" w:eastAsia="宋体" w:cs="宋体"/>
          <w:color w:val="auto"/>
          <w:highlight w:val="none"/>
        </w:rPr>
      </w:pPr>
      <w:r>
        <w:rPr>
          <w:rFonts w:hint="eastAsia" w:ascii="宋体" w:hAnsi="宋体" w:eastAsia="宋体" w:cs="宋体"/>
          <w:color w:val="auto"/>
          <w:highlight w:val="none"/>
        </w:rPr>
        <w:t>3、采购代理机构：</w:t>
      </w:r>
      <w:r>
        <w:rPr>
          <w:rFonts w:hint="eastAsia" w:ascii="宋体" w:hAnsi="宋体" w:eastAsia="宋体" w:cs="宋体"/>
          <w:color w:val="auto"/>
          <w:shd w:val="clear" w:color="auto" w:fill="FFFFFF"/>
        </w:rPr>
        <w:t>陕西四方衡裕项目管理有限公司</w:t>
      </w:r>
    </w:p>
    <w:p w14:paraId="46C23212">
      <w:pPr>
        <w:rPr>
          <w:rFonts w:hint="eastAsia" w:ascii="宋体" w:hAnsi="宋体" w:eastAsia="宋体" w:cs="宋体"/>
          <w:color w:val="auto"/>
          <w:highlight w:val="none"/>
        </w:rPr>
      </w:pPr>
      <w:r>
        <w:rPr>
          <w:rFonts w:hint="eastAsia" w:ascii="宋体" w:hAnsi="宋体" w:eastAsia="宋体" w:cs="宋体"/>
          <w:color w:val="auto"/>
          <w:highlight w:val="none"/>
        </w:rPr>
        <w:t>4、供应商：响应磋商并且符合磋商文件规定资格条件和参加磋商的法人、其他组织或者自然人</w:t>
      </w:r>
    </w:p>
    <w:p w14:paraId="2A2BD5EB">
      <w:pPr>
        <w:rPr>
          <w:rFonts w:hint="eastAsia" w:ascii="宋体" w:hAnsi="宋体" w:eastAsia="宋体" w:cs="宋体"/>
          <w:color w:val="auto"/>
          <w:highlight w:val="none"/>
        </w:rPr>
      </w:pPr>
      <w:r>
        <w:rPr>
          <w:rFonts w:hint="eastAsia" w:ascii="宋体" w:hAnsi="宋体" w:eastAsia="宋体" w:cs="宋体"/>
          <w:color w:val="auto"/>
          <w:highlight w:val="none"/>
        </w:rPr>
        <w:t>5、磋商小组：依据财政部《政府采购竞争性磋商采购方式管理暂行办法》有关规定组建，依法依规履行其职责和义务。</w:t>
      </w:r>
    </w:p>
    <w:p w14:paraId="74714630">
      <w:pPr>
        <w:rPr>
          <w:rFonts w:hint="eastAsia" w:ascii="宋体" w:hAnsi="宋体" w:eastAsia="宋体" w:cs="宋体"/>
          <w:color w:val="auto"/>
          <w:highlight w:val="none"/>
        </w:rPr>
      </w:pPr>
      <w:r>
        <w:rPr>
          <w:rFonts w:hint="eastAsia" w:ascii="宋体" w:hAnsi="宋体" w:eastAsia="宋体" w:cs="宋体"/>
          <w:color w:val="auto"/>
          <w:highlight w:val="none"/>
        </w:rPr>
        <w:t>6、法律法规：本项目属于自行采购项目，参照《中华人民共和国政府采购法》、《政府采购竞争性磋商采购方式管理暂行办法》执行，采用竞争性磋商方式采购。</w:t>
      </w:r>
    </w:p>
    <w:p w14:paraId="3926A429">
      <w:pPr>
        <w:pStyle w:val="4"/>
        <w:spacing w:line="360" w:lineRule="auto"/>
        <w:ind w:left="573"/>
        <w:rPr>
          <w:rFonts w:hint="eastAsia" w:ascii="宋体" w:hAnsi="宋体" w:eastAsia="宋体" w:cs="宋体"/>
          <w:color w:val="auto"/>
          <w:highlight w:val="none"/>
        </w:rPr>
      </w:pPr>
      <w:bookmarkStart w:id="6" w:name="_Toc19936_WPSOffice_Level2"/>
      <w:bookmarkStart w:id="7" w:name="_Toc1686_WPSOffice_Level2"/>
      <w:r>
        <w:rPr>
          <w:rFonts w:hint="eastAsia" w:ascii="宋体" w:hAnsi="宋体" w:eastAsia="宋体" w:cs="宋体"/>
          <w:color w:val="auto"/>
          <w:highlight w:val="none"/>
        </w:rPr>
        <w:t>磋商文件说明</w:t>
      </w:r>
      <w:bookmarkEnd w:id="6"/>
      <w:bookmarkEnd w:id="7"/>
    </w:p>
    <w:p w14:paraId="7BADA072">
      <w:pPr>
        <w:rPr>
          <w:rFonts w:hint="eastAsia" w:ascii="宋体" w:hAnsi="宋体" w:eastAsia="宋体" w:cs="宋体"/>
          <w:color w:val="auto"/>
          <w:highlight w:val="none"/>
        </w:rPr>
      </w:pPr>
      <w:r>
        <w:rPr>
          <w:rFonts w:hint="eastAsia" w:ascii="宋体" w:hAnsi="宋体" w:eastAsia="宋体" w:cs="宋体"/>
          <w:color w:val="auto"/>
          <w:highlight w:val="none"/>
        </w:rPr>
        <w:t>1、磋商文件是根据本项目的内容和需求编制，磋商文件包括以下内容：</w:t>
      </w:r>
    </w:p>
    <w:p w14:paraId="3F9E42A9">
      <w:pPr>
        <w:rPr>
          <w:rFonts w:hint="eastAsia" w:ascii="宋体" w:hAnsi="宋体" w:eastAsia="宋体" w:cs="宋体"/>
          <w:color w:val="auto"/>
          <w:highlight w:val="none"/>
        </w:rPr>
      </w:pPr>
      <w:r>
        <w:rPr>
          <w:rFonts w:hint="eastAsia" w:ascii="宋体" w:hAnsi="宋体" w:eastAsia="宋体" w:cs="宋体"/>
          <w:color w:val="auto"/>
          <w:highlight w:val="none"/>
        </w:rPr>
        <w:t>1-1竞争性磋商公告</w:t>
      </w:r>
    </w:p>
    <w:p w14:paraId="038B5F0E">
      <w:pPr>
        <w:rPr>
          <w:rFonts w:hint="eastAsia" w:ascii="宋体" w:hAnsi="宋体" w:eastAsia="宋体" w:cs="宋体"/>
          <w:color w:val="auto"/>
          <w:highlight w:val="none"/>
        </w:rPr>
      </w:pPr>
      <w:r>
        <w:rPr>
          <w:rFonts w:hint="eastAsia" w:ascii="宋体" w:hAnsi="宋体" w:eastAsia="宋体" w:cs="宋体"/>
          <w:color w:val="auto"/>
          <w:highlight w:val="none"/>
        </w:rPr>
        <w:t>1-2供应商须知</w:t>
      </w:r>
    </w:p>
    <w:p w14:paraId="637C9844">
      <w:pPr>
        <w:rPr>
          <w:rFonts w:hint="eastAsia" w:ascii="宋体" w:hAnsi="宋体" w:eastAsia="宋体" w:cs="宋体"/>
          <w:color w:val="auto"/>
          <w:highlight w:val="none"/>
        </w:rPr>
      </w:pPr>
      <w:r>
        <w:rPr>
          <w:rFonts w:hint="eastAsia" w:ascii="宋体" w:hAnsi="宋体" w:eastAsia="宋体" w:cs="宋体"/>
          <w:color w:val="auto"/>
          <w:highlight w:val="none"/>
        </w:rPr>
        <w:t>1-3采购内容及需求</w:t>
      </w:r>
    </w:p>
    <w:p w14:paraId="439133F4">
      <w:pPr>
        <w:rPr>
          <w:rFonts w:hint="eastAsia" w:ascii="宋体" w:hAnsi="宋体" w:eastAsia="宋体" w:cs="宋体"/>
          <w:color w:val="auto"/>
          <w:highlight w:val="none"/>
        </w:rPr>
      </w:pPr>
      <w:r>
        <w:rPr>
          <w:rFonts w:hint="eastAsia" w:ascii="宋体" w:hAnsi="宋体" w:eastAsia="宋体" w:cs="宋体"/>
          <w:color w:val="auto"/>
          <w:highlight w:val="none"/>
        </w:rPr>
        <w:t>1-4拟签订的合同文本</w:t>
      </w:r>
    </w:p>
    <w:p w14:paraId="3D5D55DD">
      <w:pPr>
        <w:rPr>
          <w:rFonts w:hint="eastAsia" w:ascii="宋体" w:hAnsi="宋体" w:eastAsia="宋体" w:cs="宋体"/>
          <w:color w:val="auto"/>
          <w:highlight w:val="none"/>
        </w:rPr>
      </w:pPr>
      <w:r>
        <w:rPr>
          <w:rFonts w:hint="eastAsia" w:ascii="宋体" w:hAnsi="宋体" w:eastAsia="宋体" w:cs="宋体"/>
          <w:color w:val="auto"/>
          <w:highlight w:val="none"/>
        </w:rPr>
        <w:t>1-5响应文件格式</w:t>
      </w:r>
    </w:p>
    <w:p w14:paraId="3A798BFB">
      <w:pPr>
        <w:ind w:firstLine="480"/>
        <w:rPr>
          <w:rFonts w:hint="eastAsia" w:ascii="宋体" w:hAnsi="宋体" w:eastAsia="宋体" w:cs="宋体"/>
          <w:color w:val="auto"/>
        </w:rPr>
      </w:pPr>
      <w:r>
        <w:rPr>
          <w:rFonts w:hint="eastAsia" w:ascii="宋体" w:hAnsi="宋体" w:eastAsia="宋体" w:cs="宋体"/>
          <w:color w:val="auto"/>
        </w:rPr>
        <w:t>2、磋商文件的获取：竞争性磋商公告发布后，有意向的供应商应从竞争性磋商公告载明的磋商文件获取地点</w:t>
      </w:r>
      <w:r>
        <w:rPr>
          <w:rFonts w:hint="eastAsia" w:ascii="宋体" w:hAnsi="宋体" w:eastAsia="宋体" w:cs="宋体"/>
          <w:color w:val="auto"/>
          <w:lang w:val="en-US" w:eastAsia="zh-CN"/>
        </w:rPr>
        <w:t>获取</w:t>
      </w:r>
      <w:r>
        <w:rPr>
          <w:rFonts w:hint="eastAsia" w:ascii="宋体" w:hAnsi="宋体" w:eastAsia="宋体" w:cs="宋体"/>
          <w:color w:val="auto"/>
        </w:rPr>
        <w:t>磋商文件，其文件仅作为本次磋商使用；未按照竞争性磋商公告要求取得磋商文件的，其本次响应无效。</w:t>
      </w:r>
    </w:p>
    <w:p w14:paraId="6C0DFB97">
      <w:pPr>
        <w:ind w:left="120" w:leftChars="50" w:firstLine="360" w:firstLineChars="150"/>
        <w:rPr>
          <w:rFonts w:hint="eastAsia" w:ascii="宋体" w:hAnsi="宋体" w:eastAsia="宋体" w:cs="宋体"/>
          <w:color w:val="auto"/>
        </w:rPr>
      </w:pPr>
      <w:r>
        <w:rPr>
          <w:rFonts w:hint="eastAsia" w:ascii="宋体" w:hAnsi="宋体" w:eastAsia="宋体" w:cs="宋体"/>
          <w:color w:val="auto"/>
        </w:rPr>
        <w:t>3、采购人或者采购代理机构可以对已发出的磋商文件进行必要的澄清或者修改，澄清或者修改内容在指定的信息发布媒体上发布澄清或更正公告，澄清或者修改的内容为磋商文件的组成部分。澄清或者修改的内容可能影响响应文件编制的，在提交首次响应文件截止时间至少5日前，以书面形式通知所有获取磋商文件的供应商；不足5日的，采购人、采购代理机构应当顺延提交首次响应文件截止时间。</w:t>
      </w:r>
    </w:p>
    <w:p w14:paraId="3321BBB4">
      <w:pPr>
        <w:ind w:firstLine="480"/>
        <w:rPr>
          <w:rFonts w:hint="eastAsia" w:ascii="宋体" w:hAnsi="宋体" w:eastAsia="宋体" w:cs="宋体"/>
          <w:color w:val="auto"/>
        </w:rPr>
      </w:pPr>
      <w:r>
        <w:rPr>
          <w:rFonts w:hint="eastAsia" w:ascii="宋体" w:hAnsi="宋体" w:eastAsia="宋体" w:cs="宋体"/>
          <w:color w:val="auto"/>
        </w:rPr>
        <w:t>4、在规定时间内收到的供应商依法提出的询问或者质疑，采购代理机构将按程序在规定的时间内予以答复。涉及变更或修正内容在指定的信息发布媒体上发布更正公告，并以书面形式通知所有获取磋商文件的潜在供应商，且作为磋商文件的组成部分。</w:t>
      </w:r>
    </w:p>
    <w:p w14:paraId="4DE190EE">
      <w:pPr>
        <w:rPr>
          <w:rFonts w:hint="eastAsia" w:ascii="宋体" w:hAnsi="宋体" w:eastAsia="宋体" w:cs="宋体"/>
          <w:color w:val="auto"/>
          <w:highlight w:val="none"/>
        </w:rPr>
      </w:pPr>
      <w:r>
        <w:rPr>
          <w:rFonts w:hint="eastAsia" w:ascii="宋体" w:hAnsi="宋体" w:eastAsia="宋体" w:cs="宋体"/>
          <w:color w:val="auto"/>
        </w:rPr>
        <w:t>5、磋商文件的解释权归采购代理机构。</w:t>
      </w:r>
    </w:p>
    <w:p w14:paraId="7CDEDC1F">
      <w:pPr>
        <w:pStyle w:val="4"/>
        <w:spacing w:line="360" w:lineRule="auto"/>
        <w:ind w:left="573"/>
        <w:rPr>
          <w:rFonts w:hint="eastAsia" w:ascii="宋体" w:hAnsi="宋体" w:eastAsia="宋体" w:cs="宋体"/>
          <w:color w:val="auto"/>
          <w:highlight w:val="none"/>
        </w:rPr>
      </w:pPr>
      <w:bookmarkStart w:id="8" w:name="_Toc31078_WPSOffice_Level2"/>
      <w:bookmarkStart w:id="9" w:name="_Toc18774_WPSOffice_Level2"/>
      <w:r>
        <w:rPr>
          <w:rFonts w:hint="eastAsia" w:ascii="宋体" w:hAnsi="宋体" w:eastAsia="宋体" w:cs="宋体"/>
          <w:color w:val="auto"/>
          <w:highlight w:val="none"/>
        </w:rPr>
        <w:t>响应要求</w:t>
      </w:r>
      <w:bookmarkEnd w:id="8"/>
      <w:bookmarkEnd w:id="9"/>
    </w:p>
    <w:p w14:paraId="5F363D4A">
      <w:pPr>
        <w:numPr>
          <w:ilvl w:val="0"/>
          <w:numId w:val="6"/>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供应商应当按照磋商文件的要求编制响应文件，并对其提交的响应文件的真实性、合法性承担法律责任。磋商响应应以</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为单位，不得在其中选项响应或将其中内容再行分解，否则响应无效。</w:t>
      </w:r>
    </w:p>
    <w:p w14:paraId="7E0C6E45">
      <w:pPr>
        <w:rPr>
          <w:rFonts w:hint="eastAsia" w:ascii="宋体" w:hAnsi="宋体" w:eastAsia="宋体" w:cs="宋体"/>
          <w:color w:val="auto"/>
          <w:highlight w:val="none"/>
        </w:rPr>
      </w:pPr>
      <w:r>
        <w:rPr>
          <w:rFonts w:hint="eastAsia" w:ascii="宋体" w:hAnsi="宋体" w:eastAsia="宋体" w:cs="宋体"/>
          <w:color w:val="auto"/>
          <w:highlight w:val="none"/>
        </w:rPr>
        <w:t>2、供应商资格要求：</w:t>
      </w:r>
    </w:p>
    <w:p w14:paraId="25E57515">
      <w:pPr>
        <w:pStyle w:val="4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2-1符合《中华人民共和国政府采购法》第二十二条规定的供应商条件；</w:t>
      </w:r>
    </w:p>
    <w:p w14:paraId="2D7373A0">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2-1-1</w:t>
      </w:r>
      <w:r>
        <w:rPr>
          <w:rFonts w:hint="eastAsia" w:ascii="宋体" w:hAnsi="宋体" w:eastAsia="宋体" w:cs="宋体"/>
          <w:color w:val="auto"/>
          <w:sz w:val="24"/>
          <w:szCs w:val="24"/>
        </w:rPr>
        <w:t>营业执照等主体资格证明文件：提供有效存续的企业营业执照/事业单位法人证书/专业服务机构执业许可证/民办非企业单位登记证书，自然人投标的提供其身份证明；</w:t>
      </w:r>
    </w:p>
    <w:p w14:paraId="28727F7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2-1-2</w:t>
      </w:r>
      <w:r>
        <w:rPr>
          <w:rFonts w:hint="eastAsia" w:ascii="宋体" w:hAnsi="宋体" w:eastAsia="宋体" w:cs="宋体"/>
          <w:color w:val="auto"/>
          <w:sz w:val="24"/>
          <w:szCs w:val="24"/>
        </w:rPr>
        <w:t>财务状况报告：提供2025年度经审计的完整财务报告（成立时间至提交</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文件截止时间不足一年的可提供成立后任意时段的资产负债表），或其开标前三个月内基本开户银行出具的资信证明；（以上两种形式的资料提供任何一种即可）</w:t>
      </w:r>
    </w:p>
    <w:p w14:paraId="635B106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2-1-3</w:t>
      </w:r>
      <w:r>
        <w:rPr>
          <w:rFonts w:hint="eastAsia" w:ascii="宋体" w:hAnsi="宋体" w:eastAsia="宋体" w:cs="宋体"/>
          <w:color w:val="auto"/>
          <w:sz w:val="24"/>
          <w:szCs w:val="24"/>
        </w:rPr>
        <w:t>税收缴纳证明：提供202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月至今已缴纳任意一个月纳税证明或税务机关开具的完税证明（时间以税款所属日期为准，凭据应有税务机关或代收机关的公章或业务专用章。）依法免税或无须缴纳税收的单位应提供相应证明文件；</w:t>
      </w:r>
    </w:p>
    <w:p w14:paraId="424E442A">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2-1-4</w:t>
      </w:r>
      <w:r>
        <w:rPr>
          <w:rFonts w:hint="eastAsia" w:ascii="宋体" w:hAnsi="宋体" w:eastAsia="宋体" w:cs="宋体"/>
          <w:color w:val="auto"/>
          <w:sz w:val="24"/>
          <w:szCs w:val="24"/>
        </w:rPr>
        <w:t>社保缴纳证明：提供202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月至今已缴存任意一个月社会保障资金缴存单据或社保机构开具的社会保险参保缴费证明，依法不需要缴纳社会保障资金的单位应提供相应证明文件；</w:t>
      </w:r>
    </w:p>
    <w:p w14:paraId="2CF68AC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2-1-5</w:t>
      </w:r>
      <w:r>
        <w:rPr>
          <w:rFonts w:hint="eastAsia" w:ascii="宋体" w:hAnsi="宋体" w:eastAsia="宋体" w:cs="宋体"/>
          <w:color w:val="auto"/>
          <w:sz w:val="24"/>
          <w:szCs w:val="24"/>
        </w:rPr>
        <w:t>具备履行合同所必需的设备和专业技术能力的证明材料或书面声明；</w:t>
      </w:r>
    </w:p>
    <w:p w14:paraId="51E53247">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2-1-6</w:t>
      </w:r>
      <w:r>
        <w:rPr>
          <w:rFonts w:hint="eastAsia" w:ascii="宋体" w:hAnsi="宋体" w:eastAsia="宋体" w:cs="宋体"/>
          <w:color w:val="auto"/>
          <w:sz w:val="24"/>
          <w:szCs w:val="24"/>
        </w:rPr>
        <w:t>参加政府采购活动前三年内在经营活动中没有重大违法记录的书面声明；</w:t>
      </w:r>
    </w:p>
    <w:p w14:paraId="38A6A92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2-1-7</w:t>
      </w:r>
      <w:r>
        <w:rPr>
          <w:rFonts w:hint="eastAsia" w:ascii="宋体" w:hAnsi="宋体" w:eastAsia="宋体" w:cs="宋体"/>
          <w:color w:val="auto"/>
          <w:sz w:val="24"/>
          <w:szCs w:val="24"/>
        </w:rPr>
        <w:t>具备法律、行政法规规定的其他条件的证明材料。</w:t>
      </w:r>
    </w:p>
    <w:p w14:paraId="3529B30B">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w:t>
      </w:r>
      <w:r>
        <w:rPr>
          <w:rFonts w:hint="eastAsia" w:eastAsia="宋体" w:cs="宋体"/>
          <w:color w:val="auto"/>
          <w:sz w:val="24"/>
          <w:szCs w:val="24"/>
          <w:lang w:val="en-US" w:eastAsia="zh-CN"/>
        </w:rPr>
        <w:t>8</w:t>
      </w:r>
      <w:r>
        <w:rPr>
          <w:rFonts w:hint="eastAsia" w:ascii="宋体" w:hAnsi="宋体" w:eastAsia="宋体" w:cs="宋体"/>
          <w:i w:val="0"/>
          <w:iCs w:val="0"/>
          <w:caps w:val="0"/>
          <w:color w:val="auto"/>
          <w:spacing w:val="0"/>
          <w:sz w:val="24"/>
          <w:szCs w:val="24"/>
          <w:shd w:val="clear" w:fill="FFFFFF"/>
          <w:vertAlign w:val="baseline"/>
        </w:rPr>
        <w:t>供应商具有检验检测机构资质认定证书CMA（证书附表要包含食品)、农产品质量安全检测机构考核合格证书（CATL）；</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color w:val="auto"/>
          <w:sz w:val="24"/>
          <w:szCs w:val="24"/>
          <w:lang w:val="en-US" w:eastAsia="zh-CN"/>
        </w:rPr>
        <w:t>2-1-</w:t>
      </w:r>
      <w:r>
        <w:rPr>
          <w:rFonts w:hint="eastAsia" w:eastAsia="宋体" w:cs="宋体"/>
          <w:color w:val="auto"/>
          <w:sz w:val="24"/>
          <w:szCs w:val="24"/>
          <w:lang w:val="en-US" w:eastAsia="zh-CN"/>
        </w:rPr>
        <w:t>9</w:t>
      </w:r>
      <w:r>
        <w:rPr>
          <w:rFonts w:hint="eastAsia" w:ascii="宋体" w:hAnsi="宋体" w:eastAsia="宋体" w:cs="宋体"/>
          <w:i w:val="0"/>
          <w:iCs w:val="0"/>
          <w:caps w:val="0"/>
          <w:color w:val="auto"/>
          <w:spacing w:val="0"/>
          <w:sz w:val="24"/>
          <w:szCs w:val="24"/>
          <w:shd w:val="clear" w:fill="FFFFFF"/>
          <w:vertAlign w:val="baseline"/>
        </w:rPr>
        <w:t>供应商通过“信用中国”网站(www.creditchina.gov.cn)、中国政府采购网</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(www.ccgp.gov.cn) 等查询相关主体信用记录。（对列入失信被执行人、重大税收违法失信主体、政府采购严重违法失信行为记录名单及其他不符合《中华人民共和国政府采购法》第二十二条规定条件的供应商，采购代理机构将拒绝其参与政府采购活动。）</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 </w:t>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r>
        <w:rPr>
          <w:rFonts w:hint="eastAsia" w:ascii="宋体" w:hAnsi="宋体" w:eastAsia="宋体" w:cs="宋体"/>
          <w:color w:val="auto"/>
          <w:sz w:val="24"/>
          <w:szCs w:val="24"/>
          <w:lang w:val="en-US" w:eastAsia="zh-CN"/>
        </w:rPr>
        <w:t>2-1-1</w:t>
      </w:r>
      <w:r>
        <w:rPr>
          <w:rFonts w:hint="eastAsia" w:eastAsia="宋体" w:cs="宋体"/>
          <w:color w:val="auto"/>
          <w:sz w:val="24"/>
          <w:szCs w:val="24"/>
          <w:lang w:val="en-US" w:eastAsia="zh-CN"/>
        </w:rPr>
        <w:t>0</w:t>
      </w:r>
      <w:r>
        <w:rPr>
          <w:rFonts w:hint="eastAsia" w:ascii="宋体" w:hAnsi="宋体" w:eastAsia="宋体" w:cs="宋体"/>
          <w:i w:val="0"/>
          <w:iCs w:val="0"/>
          <w:caps w:val="0"/>
          <w:color w:val="auto"/>
          <w:spacing w:val="0"/>
          <w:sz w:val="24"/>
          <w:szCs w:val="24"/>
          <w:shd w:val="clear" w:fill="FFFFFF"/>
          <w:vertAlign w:val="baseline"/>
        </w:rPr>
        <w:t>法定代表人授权委托书：法定代表人直接参加磋商的，须出具法人身份证，并与营业执照上信息一致。法定代表人授权代表参加磋商的，须出具法定代表人授权书及授权代表身份证、授权代表本单位证明（磋商前的个人养老保险缴纳证明）。 </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  法人的分支机构参与磋商时，除提供《法定代表人授权委托书》外，还须同时提供法人给分支机构出具的授权书。</w:t>
      </w:r>
      <w:r>
        <w:rPr>
          <w:rFonts w:hint="eastAsia" w:ascii="宋体" w:hAnsi="宋体" w:eastAsia="宋体" w:cs="宋体"/>
          <w:i w:val="0"/>
          <w:iCs w:val="0"/>
          <w:caps w:val="0"/>
          <w:color w:val="auto"/>
          <w:spacing w:val="0"/>
          <w:sz w:val="24"/>
          <w:szCs w:val="24"/>
          <w:shd w:val="clear" w:fill="FFFFFF"/>
          <w:vertAlign w:val="baseline"/>
        </w:rPr>
        <w:br w:type="textWrapping"/>
      </w:r>
      <w:r>
        <w:rPr>
          <w:rFonts w:hint="eastAsia" w:ascii="宋体" w:hAnsi="宋体" w:eastAsia="宋体" w:cs="宋体"/>
          <w:i w:val="0"/>
          <w:iCs w:val="0"/>
          <w:caps w:val="0"/>
          <w:color w:val="auto"/>
          <w:spacing w:val="0"/>
          <w:sz w:val="24"/>
          <w:szCs w:val="24"/>
          <w:shd w:val="clear" w:fill="FFFFFF"/>
          <w:vertAlign w:val="baseline"/>
        </w:rPr>
        <w:t>  </w:t>
      </w:r>
      <w:r>
        <w:rPr>
          <w:rFonts w:hint="eastAsia" w:ascii="宋体" w:hAnsi="宋体" w:eastAsia="宋体" w:cs="宋体"/>
          <w:color w:val="auto"/>
          <w:sz w:val="24"/>
          <w:szCs w:val="24"/>
          <w:lang w:val="en-US" w:eastAsia="zh-CN"/>
        </w:rPr>
        <w:t>2-1-1</w:t>
      </w:r>
      <w:r>
        <w:rPr>
          <w:rFonts w:hint="eastAsia" w:eastAsia="宋体" w:cs="宋体"/>
          <w:color w:val="auto"/>
          <w:sz w:val="24"/>
          <w:szCs w:val="24"/>
          <w:lang w:val="en-US" w:eastAsia="zh-CN"/>
        </w:rPr>
        <w:t>1</w:t>
      </w:r>
      <w:r>
        <w:rPr>
          <w:rFonts w:hint="eastAsia" w:ascii="宋体" w:hAnsi="宋体" w:eastAsia="宋体" w:cs="宋体"/>
          <w:i w:val="0"/>
          <w:iCs w:val="0"/>
          <w:caps w:val="0"/>
          <w:color w:val="auto"/>
          <w:spacing w:val="0"/>
          <w:sz w:val="24"/>
          <w:szCs w:val="24"/>
          <w:shd w:val="clear" w:fill="FFFFFF"/>
          <w:vertAlign w:val="baseline"/>
        </w:rPr>
        <w:t>本项目不接受联合体投标，不允许分包。供应商提供《非联合体不分包投标声明》，视为独立投标，不分包。</w:t>
      </w:r>
    </w:p>
    <w:p w14:paraId="248A0B5E">
      <w:pPr>
        <w:widowControl w:val="0"/>
        <w:spacing w:line="360" w:lineRule="auto"/>
        <w:ind w:firstLine="422" w:firstLineChars="200"/>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备注：</w:t>
      </w:r>
    </w:p>
    <w:p w14:paraId="12DF9C0D">
      <w:pPr>
        <w:widowControl w:val="0"/>
        <w:spacing w:line="360" w:lineRule="auto"/>
        <w:ind w:firstLine="422" w:firstLineChars="200"/>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 xml:space="preserve">1、以上资格要求均为必备资格，需提供相关证明文件并加盖供应商公章（如相关证明材料由第三方出具，应有第三方公章），缺少其中任何一项，其响应文件视为无效文件。 </w:t>
      </w:r>
    </w:p>
    <w:p w14:paraId="00795E7D">
      <w:pPr>
        <w:widowControl w:val="0"/>
        <w:numPr>
          <w:ilvl w:val="0"/>
          <w:numId w:val="0"/>
        </w:numPr>
        <w:spacing w:line="360" w:lineRule="auto"/>
        <w:ind w:firstLine="422" w:firstLineChars="200"/>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2、《法定代表人授权委托书》、《书面声明》、《</w:t>
      </w:r>
      <w:r>
        <w:rPr>
          <w:rFonts w:hint="eastAsia" w:ascii="宋体" w:hAnsi="宋体" w:eastAsia="宋体" w:cs="宋体"/>
          <w:b/>
          <w:bCs/>
          <w:color w:val="auto"/>
          <w:kern w:val="2"/>
          <w:sz w:val="21"/>
          <w:szCs w:val="21"/>
          <w:highlight w:val="none"/>
          <w:lang w:val="zh-CN" w:eastAsia="zh-CN" w:bidi="ar-SA"/>
        </w:rPr>
        <w:t>供应商承诺书》、《非联合体不分包投标声明》</w:t>
      </w:r>
      <w:r>
        <w:rPr>
          <w:rFonts w:hint="eastAsia" w:ascii="宋体" w:hAnsi="宋体" w:eastAsia="宋体" w:cs="宋体"/>
          <w:b/>
          <w:bCs/>
          <w:color w:val="auto"/>
          <w:kern w:val="2"/>
          <w:sz w:val="21"/>
          <w:szCs w:val="21"/>
          <w:highlight w:val="none"/>
          <w:lang w:val="en-US" w:eastAsia="zh-CN" w:bidi="ar-SA"/>
        </w:rPr>
        <w:t xml:space="preserve">应按磋商文件第五章响应文件格式给定的格式填写。 </w:t>
      </w:r>
    </w:p>
    <w:p w14:paraId="6EA37DC8">
      <w:pPr>
        <w:widowControl w:val="0"/>
        <w:numPr>
          <w:ilvl w:val="0"/>
          <w:numId w:val="0"/>
        </w:numPr>
        <w:spacing w:line="360" w:lineRule="auto"/>
        <w:ind w:firstLine="422" w:firstLineChars="200"/>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法人的分支机构参与磋商时，响应文件中应附法人给分支机构出具的授权书。授权书附在《法定代表人授权委托书》后，如无授权，将被视为无效文件。法人只能授权一家分支机构参与磋商，且不能与分支机构同时参与磋商。</w:t>
      </w:r>
    </w:p>
    <w:p w14:paraId="489A3F10">
      <w:pPr>
        <w:rPr>
          <w:rFonts w:hint="eastAsia" w:ascii="宋体" w:hAnsi="宋体" w:eastAsia="宋体" w:cs="宋体"/>
          <w:color w:val="auto"/>
          <w:highlight w:val="none"/>
        </w:rPr>
      </w:pPr>
      <w:r>
        <w:rPr>
          <w:rFonts w:hint="eastAsia" w:ascii="宋体" w:hAnsi="宋体" w:eastAsia="宋体" w:cs="宋体"/>
          <w:color w:val="auto"/>
          <w:highlight w:val="none"/>
        </w:rPr>
        <w:t>3、限制响应要求</w:t>
      </w:r>
    </w:p>
    <w:p w14:paraId="67F08B5A">
      <w:pPr>
        <w:rPr>
          <w:rFonts w:hint="eastAsia" w:ascii="宋体" w:hAnsi="宋体" w:eastAsia="宋体" w:cs="宋体"/>
          <w:color w:val="auto"/>
          <w:highlight w:val="none"/>
        </w:rPr>
      </w:pPr>
      <w:r>
        <w:rPr>
          <w:rFonts w:hint="eastAsia" w:ascii="宋体" w:hAnsi="宋体" w:eastAsia="宋体" w:cs="宋体"/>
          <w:color w:val="auto"/>
          <w:highlight w:val="none"/>
        </w:rPr>
        <w:t>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单位负责人为同一人或者存在直接控股、管理关系的不同供应商，不得参加同一合同项下的政府采购活动。</w:t>
      </w:r>
    </w:p>
    <w:p w14:paraId="05F25646">
      <w:pPr>
        <w:rPr>
          <w:rFonts w:hint="eastAsia" w:ascii="宋体" w:hAnsi="宋体" w:eastAsia="宋体" w:cs="宋体"/>
          <w:color w:val="auto"/>
          <w:highlight w:val="none"/>
        </w:rPr>
      </w:pPr>
      <w:r>
        <w:rPr>
          <w:rFonts w:hint="eastAsia" w:ascii="宋体" w:hAnsi="宋体" w:eastAsia="宋体" w:cs="宋体"/>
          <w:color w:val="auto"/>
          <w:highlight w:val="none"/>
        </w:rPr>
        <w:t>3-2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除单一来源采购项目外，为采购项目提供整体设计、规范编制或者项目管理、监理、检测等服务的供应商，不得再参加该采购项目的其他采购活动。</w:t>
      </w:r>
    </w:p>
    <w:p w14:paraId="646206AC">
      <w:pPr>
        <w:rPr>
          <w:rFonts w:hint="eastAsia" w:ascii="宋体" w:hAnsi="宋体" w:eastAsia="宋体" w:cs="宋体"/>
          <w:color w:val="auto"/>
          <w:highlight w:val="none"/>
        </w:rPr>
      </w:pPr>
      <w:r>
        <w:rPr>
          <w:rFonts w:hint="eastAsia" w:ascii="宋体" w:hAnsi="宋体" w:eastAsia="宋体" w:cs="宋体"/>
          <w:color w:val="auto"/>
          <w:highlight w:val="none"/>
        </w:rPr>
        <w:t>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供应商在参加政府采购活动前3年内因违法经营被禁止在一定期限内参加政府采购活动，期限未满的，不得参加本次政府采购活动。</w:t>
      </w:r>
    </w:p>
    <w:p w14:paraId="0A1E3685">
      <w:pPr>
        <w:rPr>
          <w:rFonts w:hint="eastAsia" w:ascii="宋体" w:hAnsi="宋体" w:eastAsia="宋体" w:cs="宋体"/>
          <w:color w:val="auto"/>
          <w:highlight w:val="none"/>
        </w:rPr>
      </w:pPr>
      <w:r>
        <w:rPr>
          <w:rFonts w:hint="eastAsia" w:ascii="宋体" w:hAnsi="宋体" w:eastAsia="宋体" w:cs="宋体"/>
          <w:color w:val="auto"/>
          <w:highlight w:val="none"/>
        </w:rPr>
        <w:t>4、本项目不接受联合体响应。</w:t>
      </w:r>
    </w:p>
    <w:p w14:paraId="69C24E4B">
      <w:pPr>
        <w:rPr>
          <w:rFonts w:hint="eastAsia" w:ascii="宋体" w:hAnsi="宋体" w:eastAsia="宋体" w:cs="宋体"/>
          <w:color w:val="auto"/>
          <w:highlight w:val="none"/>
        </w:rPr>
      </w:pPr>
      <w:r>
        <w:rPr>
          <w:rFonts w:hint="eastAsia" w:ascii="宋体" w:hAnsi="宋体" w:eastAsia="宋体" w:cs="宋体"/>
          <w:color w:val="auto"/>
          <w:highlight w:val="none"/>
        </w:rPr>
        <w:t>5、本项目不组织现场考察或者答疑会。</w:t>
      </w:r>
    </w:p>
    <w:p w14:paraId="192D5CE9">
      <w:pPr>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rPr>
        <w:t>本项目无履约保证金</w:t>
      </w:r>
      <w:r>
        <w:rPr>
          <w:rFonts w:hint="eastAsia" w:ascii="宋体" w:hAnsi="宋体" w:eastAsia="宋体" w:cs="宋体"/>
          <w:color w:val="auto"/>
          <w:lang w:val="en-US" w:eastAsia="zh-CN"/>
        </w:rPr>
        <w:t>及磋商保证金</w:t>
      </w:r>
      <w:r>
        <w:rPr>
          <w:rFonts w:hint="eastAsia" w:ascii="宋体" w:hAnsi="宋体" w:eastAsia="宋体" w:cs="宋体"/>
          <w:color w:val="auto"/>
          <w:highlight w:val="none"/>
        </w:rPr>
        <w:t>。</w:t>
      </w:r>
    </w:p>
    <w:p w14:paraId="4A603E27">
      <w:pPr>
        <w:pStyle w:val="17"/>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rPr>
        <w:t>本项目不允许</w:t>
      </w:r>
      <w:r>
        <w:rPr>
          <w:rFonts w:hint="eastAsia" w:ascii="宋体" w:hAnsi="宋体" w:eastAsia="宋体" w:cs="宋体"/>
          <w:color w:val="auto"/>
          <w:sz w:val="24"/>
          <w:lang w:val="en-US" w:eastAsia="zh-CN"/>
        </w:rPr>
        <w:t>转包、</w:t>
      </w:r>
      <w:r>
        <w:rPr>
          <w:rFonts w:hint="eastAsia" w:ascii="宋体" w:hAnsi="宋体" w:eastAsia="宋体" w:cs="宋体"/>
          <w:color w:val="auto"/>
          <w:sz w:val="24"/>
        </w:rPr>
        <w:t>分包</w:t>
      </w:r>
      <w:r>
        <w:rPr>
          <w:rFonts w:hint="eastAsia" w:ascii="宋体" w:hAnsi="宋体" w:eastAsia="宋体" w:cs="宋体"/>
          <w:color w:val="auto"/>
          <w:sz w:val="24"/>
          <w:highlight w:val="none"/>
        </w:rPr>
        <w:t>。</w:t>
      </w:r>
    </w:p>
    <w:p w14:paraId="6FAF2CA1">
      <w:pPr>
        <w:rPr>
          <w:rFonts w:hint="eastAsia" w:ascii="宋体" w:hAnsi="宋体" w:eastAsia="宋体" w:cs="宋体"/>
          <w:color w:val="auto"/>
          <w:highlight w:val="none"/>
        </w:rPr>
      </w:pPr>
      <w:r>
        <w:rPr>
          <w:rFonts w:hint="eastAsia" w:ascii="宋体" w:hAnsi="宋体" w:eastAsia="宋体" w:cs="宋体"/>
          <w:color w:val="auto"/>
          <w:highlight w:val="none"/>
        </w:rPr>
        <w:t>8、本项目不接受备选方案。</w:t>
      </w:r>
    </w:p>
    <w:p w14:paraId="174B0E80">
      <w:pPr>
        <w:rPr>
          <w:rFonts w:hint="eastAsia" w:ascii="宋体" w:hAnsi="宋体" w:eastAsia="宋体" w:cs="宋体"/>
          <w:color w:val="auto"/>
          <w:highlight w:val="none"/>
        </w:rPr>
      </w:pPr>
      <w:r>
        <w:rPr>
          <w:rFonts w:hint="eastAsia" w:ascii="宋体" w:hAnsi="宋体" w:eastAsia="宋体" w:cs="宋体"/>
          <w:color w:val="auto"/>
          <w:highlight w:val="none"/>
        </w:rPr>
        <w:t>9、响应文件编制</w:t>
      </w:r>
    </w:p>
    <w:p w14:paraId="76D4DBDC">
      <w:pPr>
        <w:rPr>
          <w:rFonts w:hint="eastAsia" w:ascii="宋体" w:hAnsi="宋体" w:eastAsia="宋体" w:cs="宋体"/>
          <w:color w:val="auto"/>
          <w:highlight w:val="none"/>
        </w:rPr>
      </w:pPr>
      <w:r>
        <w:rPr>
          <w:rFonts w:hint="eastAsia" w:ascii="宋体" w:hAnsi="宋体" w:eastAsia="宋体" w:cs="宋体"/>
          <w:color w:val="auto"/>
          <w:highlight w:val="none"/>
        </w:rPr>
        <w:t>9-1供应商应以采购代理机构提供的响应文件格式编制响应文件，</w:t>
      </w:r>
      <w:r>
        <w:rPr>
          <w:rFonts w:hint="eastAsia" w:ascii="宋体" w:hAnsi="宋体" w:eastAsia="宋体" w:cs="宋体"/>
          <w:b/>
          <w:bCs/>
          <w:color w:val="auto"/>
          <w:highlight w:val="none"/>
        </w:rPr>
        <w:t>正本壹份，副本</w:t>
      </w:r>
      <w:r>
        <w:rPr>
          <w:rFonts w:hint="eastAsia" w:ascii="宋体" w:hAnsi="宋体" w:eastAsia="宋体" w:cs="宋体"/>
          <w:b/>
          <w:bCs/>
          <w:color w:val="auto"/>
          <w:highlight w:val="none"/>
          <w:lang w:val="en-US" w:eastAsia="zh-CN"/>
        </w:rPr>
        <w:t>壹</w:t>
      </w:r>
      <w:r>
        <w:rPr>
          <w:rFonts w:hint="eastAsia" w:ascii="宋体" w:hAnsi="宋体" w:eastAsia="宋体" w:cs="宋体"/>
          <w:b/>
          <w:bCs/>
          <w:color w:val="auto"/>
          <w:highlight w:val="none"/>
        </w:rPr>
        <w:t>份，电子版壹份（</w:t>
      </w:r>
      <w:r>
        <w:rPr>
          <w:rFonts w:hint="eastAsia" w:ascii="宋体" w:hAnsi="宋体" w:eastAsia="宋体" w:cs="宋体"/>
          <w:b/>
          <w:bCs/>
          <w:color w:val="auto"/>
          <w:highlight w:val="none"/>
          <w:lang w:val="en-US" w:eastAsia="zh-CN"/>
        </w:rPr>
        <w:t>Word格式响应文件，用U盘拷贝</w:t>
      </w:r>
      <w:r>
        <w:rPr>
          <w:rFonts w:hint="eastAsia" w:ascii="宋体" w:hAnsi="宋体" w:eastAsia="宋体" w:cs="宋体"/>
          <w:b/>
          <w:bCs/>
          <w:color w:val="auto"/>
          <w:highlight w:val="none"/>
        </w:rPr>
        <w:t>）</w:t>
      </w:r>
      <w:r>
        <w:rPr>
          <w:rFonts w:hint="eastAsia" w:ascii="宋体" w:hAnsi="宋体" w:eastAsia="宋体" w:cs="宋体"/>
          <w:b/>
          <w:bCs/>
          <w:color w:val="auto"/>
          <w:lang w:val="en-US" w:eastAsia="zh-CN"/>
        </w:rPr>
        <w:t>，</w:t>
      </w:r>
      <w:r>
        <w:rPr>
          <w:rFonts w:hint="eastAsia" w:ascii="宋体" w:hAnsi="宋体" w:eastAsia="宋体" w:cs="宋体"/>
          <w:color w:val="auto"/>
          <w:highlight w:val="none"/>
        </w:rPr>
        <w:t>并各自装订成册，每套响应文件须清楚地标明“正本”</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“副本”</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项目编号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，一旦正本与副本不符，以正本为准。响应文件建议采用双面打印。</w:t>
      </w:r>
    </w:p>
    <w:p w14:paraId="26753905">
      <w:pPr>
        <w:rPr>
          <w:rFonts w:hint="eastAsia" w:ascii="宋体" w:hAnsi="宋体" w:eastAsia="宋体" w:cs="宋体"/>
          <w:color w:val="auto"/>
          <w:highlight w:val="none"/>
        </w:rPr>
      </w:pPr>
      <w:r>
        <w:rPr>
          <w:rFonts w:hint="eastAsia" w:ascii="宋体" w:hAnsi="宋体" w:eastAsia="宋体" w:cs="宋体"/>
          <w:color w:val="auto"/>
          <w:highlight w:val="none"/>
        </w:rPr>
        <w:t>9-2供应商在编制响应文件时，应依据磋商文件的要求，对磋商文件作出实质性的响应。响应文件必须按要求加盖供应商公章和法定代表人（或其授权代表）签字。</w:t>
      </w:r>
    </w:p>
    <w:p w14:paraId="2932672E">
      <w:pPr>
        <w:rPr>
          <w:rFonts w:hint="eastAsia" w:ascii="宋体" w:hAnsi="宋体" w:eastAsia="宋体" w:cs="宋体"/>
          <w:color w:val="auto"/>
          <w:highlight w:val="none"/>
        </w:rPr>
      </w:pPr>
      <w:r>
        <w:rPr>
          <w:rFonts w:hint="eastAsia" w:ascii="宋体" w:hAnsi="宋体" w:eastAsia="宋体" w:cs="宋体"/>
          <w:b/>
          <w:bCs/>
          <w:color w:val="auto"/>
          <w:sz w:val="24"/>
          <w:szCs w:val="24"/>
        </w:rPr>
        <w:t>注：凡要求法定代表人签字或盖章之处，非法人单位负责人可参照执行。</w:t>
      </w:r>
    </w:p>
    <w:p w14:paraId="2E882CCE">
      <w:pPr>
        <w:rPr>
          <w:rFonts w:hint="eastAsia" w:ascii="宋体" w:hAnsi="宋体" w:eastAsia="宋体" w:cs="宋体"/>
          <w:color w:val="auto"/>
          <w:highlight w:val="none"/>
        </w:rPr>
      </w:pPr>
      <w:r>
        <w:rPr>
          <w:rFonts w:hint="eastAsia" w:ascii="宋体" w:hAnsi="宋体" w:eastAsia="宋体" w:cs="宋体"/>
          <w:color w:val="auto"/>
          <w:highlight w:val="none"/>
        </w:rPr>
        <w:t>9-3响应文件的正本和所有的副本均需打印或用不褪色蓝（黑）墨水（汁）书写，在每一页的正下方清楚标明第几页、共几页字样，统一胶装成册。响应文件不得行间插字、涂改和增删，如有修改错漏处，必须由供应商法定代表人（或其授权代表）签字并加盖供应商公章。</w:t>
      </w:r>
    </w:p>
    <w:p w14:paraId="134E5FEA">
      <w:pPr>
        <w:rPr>
          <w:rFonts w:hint="eastAsia" w:ascii="宋体" w:hAnsi="宋体" w:eastAsia="宋体" w:cs="宋体"/>
          <w:color w:val="auto"/>
          <w:highlight w:val="none"/>
        </w:rPr>
      </w:pPr>
      <w:r>
        <w:rPr>
          <w:rFonts w:hint="eastAsia" w:ascii="宋体" w:hAnsi="宋体" w:eastAsia="宋体" w:cs="宋体"/>
          <w:color w:val="auto"/>
          <w:highlight w:val="none"/>
        </w:rPr>
        <w:t>9-4响应文件编制要求：包括（但不限于）以下内容</w:t>
      </w:r>
    </w:p>
    <w:p w14:paraId="2915C62A">
      <w:pPr>
        <w:rPr>
          <w:rFonts w:hint="eastAsia" w:ascii="宋体" w:hAnsi="宋体" w:eastAsia="宋体" w:cs="宋体"/>
          <w:color w:val="auto"/>
          <w:highlight w:val="none"/>
        </w:rPr>
      </w:pPr>
      <w:r>
        <w:rPr>
          <w:rFonts w:hint="eastAsia" w:ascii="宋体" w:hAnsi="宋体" w:eastAsia="宋体" w:cs="宋体"/>
          <w:color w:val="auto"/>
          <w:highlight w:val="none"/>
        </w:rPr>
        <w:t xml:space="preserve">9-4-1 </w:t>
      </w:r>
      <w:r>
        <w:rPr>
          <w:rFonts w:hint="eastAsia" w:ascii="宋体" w:hAnsi="宋体" w:eastAsia="宋体" w:cs="宋体"/>
          <w:color w:val="auto"/>
        </w:rPr>
        <w:t>响应函</w:t>
      </w:r>
      <w:r>
        <w:rPr>
          <w:rFonts w:hint="eastAsia" w:ascii="宋体" w:hAnsi="宋体" w:eastAsia="宋体" w:cs="宋体"/>
          <w:color w:val="auto"/>
          <w:highlight w:val="none"/>
        </w:rPr>
        <w:t>；</w:t>
      </w:r>
    </w:p>
    <w:p w14:paraId="043D6E28">
      <w:pPr>
        <w:rPr>
          <w:rFonts w:hint="eastAsia" w:ascii="宋体" w:hAnsi="宋体" w:eastAsia="宋体" w:cs="宋体"/>
          <w:color w:val="auto"/>
          <w:highlight w:val="none"/>
        </w:rPr>
      </w:pPr>
      <w:r>
        <w:rPr>
          <w:rFonts w:hint="eastAsia" w:ascii="宋体" w:hAnsi="宋体" w:eastAsia="宋体" w:cs="宋体"/>
          <w:color w:val="auto"/>
          <w:highlight w:val="none"/>
        </w:rPr>
        <w:t xml:space="preserve">9-4-2 </w:t>
      </w:r>
      <w:r>
        <w:rPr>
          <w:rFonts w:hint="eastAsia" w:ascii="宋体" w:hAnsi="宋体" w:eastAsia="宋体" w:cs="宋体"/>
          <w:color w:val="auto"/>
          <w:lang w:val="zh-CN"/>
        </w:rPr>
        <w:t>磋商报价一览表</w:t>
      </w:r>
      <w:r>
        <w:rPr>
          <w:rFonts w:hint="eastAsia" w:ascii="宋体" w:hAnsi="宋体" w:eastAsia="宋体" w:cs="宋体"/>
          <w:color w:val="auto"/>
          <w:highlight w:val="none"/>
        </w:rPr>
        <w:t>和报价明细表；</w:t>
      </w:r>
    </w:p>
    <w:p w14:paraId="46C9D345">
      <w:pPr>
        <w:rPr>
          <w:rFonts w:hint="eastAsia" w:ascii="宋体" w:hAnsi="宋体" w:eastAsia="宋体" w:cs="宋体"/>
          <w:color w:val="auto"/>
          <w:highlight w:val="none"/>
        </w:rPr>
      </w:pPr>
      <w:r>
        <w:rPr>
          <w:rFonts w:hint="eastAsia" w:ascii="宋体" w:hAnsi="宋体" w:eastAsia="宋体" w:cs="宋体"/>
          <w:color w:val="auto"/>
          <w:highlight w:val="none"/>
        </w:rPr>
        <w:t>9-4-3 供应商承诺书；</w:t>
      </w:r>
    </w:p>
    <w:p w14:paraId="0F03CC1B">
      <w:pPr>
        <w:rPr>
          <w:rFonts w:hint="eastAsia" w:ascii="宋体" w:hAnsi="宋体" w:eastAsia="宋体" w:cs="宋体"/>
          <w:color w:val="auto"/>
          <w:highlight w:val="none"/>
        </w:rPr>
      </w:pPr>
      <w:r>
        <w:rPr>
          <w:rFonts w:hint="eastAsia" w:ascii="宋体" w:hAnsi="宋体" w:eastAsia="宋体" w:cs="宋体"/>
          <w:color w:val="auto"/>
          <w:highlight w:val="none"/>
        </w:rPr>
        <w:t>9-4-4 供应商企业关系关联承诺书；</w:t>
      </w:r>
    </w:p>
    <w:p w14:paraId="33FDEEAC">
      <w:pPr>
        <w:rPr>
          <w:rFonts w:hint="eastAsia" w:ascii="宋体" w:hAnsi="宋体" w:eastAsia="宋体" w:cs="宋体"/>
          <w:color w:val="auto"/>
          <w:highlight w:val="none"/>
        </w:rPr>
      </w:pPr>
      <w:r>
        <w:rPr>
          <w:rFonts w:hint="eastAsia" w:ascii="宋体" w:hAnsi="宋体" w:eastAsia="宋体" w:cs="宋体"/>
          <w:color w:val="auto"/>
          <w:highlight w:val="none"/>
        </w:rPr>
        <w:t>9-4-5资格证明文件；</w:t>
      </w:r>
    </w:p>
    <w:p w14:paraId="564507A7">
      <w:pPr>
        <w:rPr>
          <w:rFonts w:hint="eastAsia" w:ascii="宋体" w:hAnsi="宋体" w:eastAsia="宋体" w:cs="宋体"/>
          <w:color w:val="auto"/>
          <w:highlight w:val="none"/>
        </w:rPr>
      </w:pPr>
      <w:r>
        <w:rPr>
          <w:rFonts w:hint="eastAsia" w:ascii="宋体" w:hAnsi="宋体" w:eastAsia="宋体" w:cs="宋体"/>
          <w:color w:val="auto"/>
          <w:highlight w:val="none"/>
        </w:rPr>
        <w:t>9-4-6 供应商为本次采购活动编制的服务方案，具有履行合同所必须的专业服务能力，配备了相应的商务和技术人员，项目在组织实施、财务保证、人力安排、服务保障等方面具体做法和保障措施，以及为采购活动提供的合理化建议；</w:t>
      </w:r>
    </w:p>
    <w:p w14:paraId="05715B6F">
      <w:pPr>
        <w:rPr>
          <w:rFonts w:hint="eastAsia" w:ascii="宋体" w:hAnsi="宋体" w:eastAsia="宋体" w:cs="宋体"/>
          <w:color w:val="auto"/>
          <w:highlight w:val="none"/>
        </w:rPr>
      </w:pPr>
      <w:r>
        <w:rPr>
          <w:rFonts w:hint="eastAsia" w:ascii="宋体" w:hAnsi="宋体" w:eastAsia="宋体" w:cs="宋体"/>
          <w:color w:val="auto"/>
          <w:highlight w:val="none"/>
        </w:rPr>
        <w:t>9-4-7 供应商提供相应资料或说明，证明其服务经验及能力；</w:t>
      </w:r>
    </w:p>
    <w:p w14:paraId="10116CE6">
      <w:pPr>
        <w:rPr>
          <w:rFonts w:hint="eastAsia" w:ascii="宋体" w:hAnsi="宋体" w:eastAsia="宋体" w:cs="宋体"/>
          <w:color w:val="auto"/>
          <w:highlight w:val="none"/>
        </w:rPr>
      </w:pPr>
      <w:r>
        <w:rPr>
          <w:rFonts w:hint="eastAsia" w:ascii="宋体" w:hAnsi="宋体" w:eastAsia="宋体" w:cs="宋体"/>
          <w:color w:val="auto"/>
          <w:highlight w:val="none"/>
        </w:rPr>
        <w:t>9-4-8 供应商认为有必要说明的其他资料。</w:t>
      </w:r>
    </w:p>
    <w:p w14:paraId="7724E151">
      <w:pPr>
        <w:rPr>
          <w:rFonts w:hint="eastAsia" w:ascii="宋体" w:hAnsi="宋体" w:eastAsia="宋体" w:cs="宋体"/>
          <w:color w:val="auto"/>
          <w:highlight w:val="none"/>
        </w:rPr>
      </w:pPr>
      <w:r>
        <w:rPr>
          <w:rFonts w:hint="eastAsia" w:ascii="宋体" w:hAnsi="宋体" w:eastAsia="宋体" w:cs="宋体"/>
          <w:color w:val="auto"/>
          <w:highlight w:val="none"/>
        </w:rPr>
        <w:t>10、响应文件密封</w:t>
      </w:r>
    </w:p>
    <w:p w14:paraId="7513848C">
      <w:pPr>
        <w:rPr>
          <w:rFonts w:hint="eastAsia" w:ascii="宋体" w:hAnsi="宋体" w:eastAsia="宋体" w:cs="宋体"/>
          <w:color w:val="auto"/>
          <w:highlight w:val="none"/>
        </w:rPr>
      </w:pPr>
      <w:r>
        <w:rPr>
          <w:rFonts w:hint="eastAsia" w:ascii="宋体" w:hAnsi="宋体" w:eastAsia="宋体" w:cs="宋体"/>
          <w:color w:val="auto"/>
          <w:highlight w:val="none"/>
        </w:rPr>
        <w:t>10-1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供应商应将响应文件正本、副本分别密封完好，在封套上标明</w:t>
      </w:r>
      <w:r>
        <w:rPr>
          <w:rFonts w:hint="eastAsia" w:ascii="宋体" w:hAnsi="宋体" w:eastAsia="宋体" w:cs="宋体"/>
          <w:color w:val="auto"/>
          <w:highlight w:val="none"/>
          <w:lang w:val="en-US" w:eastAsia="zh-CN"/>
        </w:rPr>
        <w:t>项目编号、</w:t>
      </w:r>
      <w:r>
        <w:rPr>
          <w:rFonts w:hint="eastAsia" w:ascii="宋体" w:hAnsi="宋体" w:eastAsia="宋体" w:cs="宋体"/>
          <w:color w:val="auto"/>
          <w:highlight w:val="none"/>
        </w:rPr>
        <w:t>项目名称，供应商全称（公章）及“正本”、“副本”</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电子版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等内容。再加封条密封，在封线处加盖供应商公章（骑缝章）和法定代表人（或其授权代表）签字或盖章。</w:t>
      </w:r>
    </w:p>
    <w:p w14:paraId="41741D6B">
      <w:pPr>
        <w:rPr>
          <w:rFonts w:hint="eastAsia" w:ascii="宋体" w:hAnsi="宋体" w:eastAsia="宋体" w:cs="宋体"/>
          <w:color w:val="auto"/>
          <w:highlight w:val="none"/>
        </w:rPr>
      </w:pPr>
      <w:r>
        <w:rPr>
          <w:rFonts w:hint="eastAsia" w:ascii="宋体" w:hAnsi="宋体" w:eastAsia="宋体" w:cs="宋体"/>
          <w:color w:val="auto"/>
          <w:highlight w:val="none"/>
        </w:rPr>
        <w:t>10-2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响应文件</w:t>
      </w:r>
      <w:r>
        <w:rPr>
          <w:rFonts w:hint="eastAsia" w:ascii="宋体" w:hAnsi="宋体" w:eastAsia="宋体" w:cs="宋体"/>
          <w:color w:val="auto"/>
          <w:highlight w:val="none"/>
          <w:lang w:val="en-US" w:eastAsia="zh-CN"/>
        </w:rPr>
        <w:t>应</w:t>
      </w:r>
      <w:r>
        <w:rPr>
          <w:rFonts w:hint="eastAsia" w:ascii="宋体" w:hAnsi="宋体" w:eastAsia="宋体" w:cs="宋体"/>
          <w:color w:val="auto"/>
          <w:highlight w:val="none"/>
        </w:rPr>
        <w:t>按要求密封或加写标记，采购代理机构对误投或过早启封的响应文件概不负责。</w:t>
      </w:r>
    </w:p>
    <w:p w14:paraId="0411D1EF">
      <w:pPr>
        <w:rPr>
          <w:rFonts w:hint="eastAsia" w:ascii="宋体" w:hAnsi="宋体" w:eastAsia="宋体" w:cs="宋体"/>
          <w:color w:val="auto"/>
          <w:highlight w:val="none"/>
        </w:rPr>
      </w:pPr>
      <w:r>
        <w:rPr>
          <w:rFonts w:hint="eastAsia" w:ascii="宋体" w:hAnsi="宋体" w:eastAsia="宋体" w:cs="宋体"/>
          <w:color w:val="auto"/>
          <w:highlight w:val="none"/>
        </w:rPr>
        <w:t>11、响应文件提交</w:t>
      </w:r>
    </w:p>
    <w:p w14:paraId="1C574EC3">
      <w:pPr>
        <w:rPr>
          <w:rFonts w:hint="eastAsia" w:ascii="宋体" w:hAnsi="宋体" w:eastAsia="宋体" w:cs="宋体"/>
          <w:color w:val="auto"/>
          <w:highlight w:val="none"/>
        </w:rPr>
      </w:pPr>
      <w:r>
        <w:rPr>
          <w:rFonts w:hint="eastAsia" w:ascii="宋体" w:hAnsi="宋体" w:eastAsia="宋体" w:cs="宋体"/>
          <w:color w:val="auto"/>
          <w:highlight w:val="none"/>
        </w:rPr>
        <w:t>11-1供应商应当在磋商文件要求提交响应文件的截止时间前，将响应文件密封送达响应地点。未按</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文件要求密封</w:t>
      </w:r>
      <w:r>
        <w:rPr>
          <w:rFonts w:hint="eastAsia" w:ascii="宋体" w:hAnsi="宋体" w:eastAsia="宋体" w:cs="宋体"/>
          <w:color w:val="auto"/>
          <w:highlight w:val="none"/>
          <w:lang w:val="en-US" w:eastAsia="zh-CN"/>
        </w:rPr>
        <w:t>的或</w:t>
      </w:r>
      <w:r>
        <w:rPr>
          <w:rFonts w:hint="eastAsia" w:ascii="宋体" w:hAnsi="宋体" w:eastAsia="宋体" w:cs="宋体"/>
          <w:color w:val="auto"/>
          <w:highlight w:val="none"/>
        </w:rPr>
        <w:t>在截止时间后送达的响应文件，采购人、采购代理机构拒收。</w:t>
      </w:r>
    </w:p>
    <w:p w14:paraId="34C52E3E">
      <w:pPr>
        <w:rPr>
          <w:rFonts w:hint="eastAsia" w:ascii="宋体" w:hAnsi="宋体" w:eastAsia="宋体" w:cs="宋体"/>
          <w:color w:val="auto"/>
          <w:highlight w:val="none"/>
        </w:rPr>
      </w:pPr>
      <w:r>
        <w:rPr>
          <w:rFonts w:hint="eastAsia" w:ascii="宋体" w:hAnsi="宋体" w:eastAsia="宋体" w:cs="宋体"/>
          <w:color w:val="auto"/>
          <w:highlight w:val="none"/>
        </w:rPr>
        <w:t>11-2 供应商在提交响应文件截止时间前，可以对所提交的响应文件进行补充、修改或者撤回，并书面通知采购人、采购代理机构。补充、修改的内容应当按磋商文件要求签署、盖章，并作为响应文件的组成部分。补充、修改的内容与响应文件不一致的，以补充、修改的内容为准。</w:t>
      </w:r>
    </w:p>
    <w:p w14:paraId="70F1A418">
      <w:pPr>
        <w:rPr>
          <w:rFonts w:hint="eastAsia" w:ascii="宋体" w:hAnsi="宋体" w:eastAsia="宋体" w:cs="宋体"/>
          <w:color w:val="auto"/>
          <w:highlight w:val="none"/>
        </w:rPr>
      </w:pPr>
      <w:r>
        <w:rPr>
          <w:rFonts w:hint="eastAsia" w:ascii="宋体" w:hAnsi="宋体" w:eastAsia="宋体" w:cs="宋体"/>
          <w:color w:val="auto"/>
          <w:highlight w:val="none"/>
        </w:rPr>
        <w:t>12、响应活动中，有下列情形之一的，视为供应商串通响应，其响应无效：</w:t>
      </w:r>
    </w:p>
    <w:p w14:paraId="116884CC">
      <w:pPr>
        <w:rPr>
          <w:rFonts w:hint="eastAsia" w:ascii="宋体" w:hAnsi="宋体" w:eastAsia="宋体" w:cs="宋体"/>
          <w:color w:val="auto"/>
          <w:highlight w:val="none"/>
        </w:rPr>
      </w:pPr>
      <w:r>
        <w:rPr>
          <w:rFonts w:hint="eastAsia" w:ascii="宋体" w:hAnsi="宋体" w:eastAsia="宋体" w:cs="宋体"/>
          <w:color w:val="auto"/>
          <w:highlight w:val="none"/>
        </w:rPr>
        <w:t>12-1不同供应商的响应文件由同一单位或者个人编制；</w:t>
      </w:r>
    </w:p>
    <w:p w14:paraId="43605A82">
      <w:pPr>
        <w:rPr>
          <w:rFonts w:hint="eastAsia" w:ascii="宋体" w:hAnsi="宋体" w:eastAsia="宋体" w:cs="宋体"/>
          <w:color w:val="auto"/>
          <w:highlight w:val="none"/>
        </w:rPr>
      </w:pPr>
      <w:r>
        <w:rPr>
          <w:rFonts w:hint="eastAsia" w:ascii="宋体" w:hAnsi="宋体" w:eastAsia="宋体" w:cs="宋体"/>
          <w:color w:val="auto"/>
          <w:highlight w:val="none"/>
        </w:rPr>
        <w:t>12-2不同供应商委托同一单位或者个人办理响应事宜；</w:t>
      </w:r>
    </w:p>
    <w:p w14:paraId="75F316B1">
      <w:pPr>
        <w:rPr>
          <w:rFonts w:hint="eastAsia" w:ascii="宋体" w:hAnsi="宋体" w:eastAsia="宋体" w:cs="宋体"/>
          <w:color w:val="auto"/>
          <w:highlight w:val="none"/>
        </w:rPr>
      </w:pPr>
      <w:r>
        <w:rPr>
          <w:rFonts w:hint="eastAsia" w:ascii="宋体" w:hAnsi="宋体" w:eastAsia="宋体" w:cs="宋体"/>
          <w:color w:val="auto"/>
          <w:highlight w:val="none"/>
        </w:rPr>
        <w:t>12-3不同供应商的响应文件载明的项目管理成员或者联系人员为同一人；</w:t>
      </w:r>
    </w:p>
    <w:p w14:paraId="11AA5DB2">
      <w:pPr>
        <w:rPr>
          <w:rFonts w:hint="eastAsia" w:ascii="宋体" w:hAnsi="宋体" w:eastAsia="宋体" w:cs="宋体"/>
          <w:color w:val="auto"/>
          <w:highlight w:val="none"/>
        </w:rPr>
      </w:pPr>
      <w:r>
        <w:rPr>
          <w:rFonts w:hint="eastAsia" w:ascii="宋体" w:hAnsi="宋体" w:eastAsia="宋体" w:cs="宋体"/>
          <w:color w:val="auto"/>
          <w:highlight w:val="none"/>
        </w:rPr>
        <w:t>12-4不同供应商的响应文件异常一致或者磋商报价呈规律性差异；</w:t>
      </w:r>
    </w:p>
    <w:p w14:paraId="4AA5DA0F">
      <w:pPr>
        <w:rPr>
          <w:rFonts w:hint="eastAsia" w:ascii="宋体" w:hAnsi="宋体" w:eastAsia="宋体" w:cs="宋体"/>
          <w:color w:val="auto"/>
          <w:highlight w:val="none"/>
        </w:rPr>
      </w:pPr>
      <w:r>
        <w:rPr>
          <w:rFonts w:hint="eastAsia" w:ascii="宋体" w:hAnsi="宋体" w:eastAsia="宋体" w:cs="宋体"/>
          <w:color w:val="auto"/>
          <w:highlight w:val="none"/>
        </w:rPr>
        <w:t>12-5不同供应商的响应文件相互混装。</w:t>
      </w:r>
    </w:p>
    <w:p w14:paraId="401A5117">
      <w:pPr>
        <w:rPr>
          <w:rFonts w:hint="eastAsia" w:ascii="宋体" w:hAnsi="宋体" w:eastAsia="宋体" w:cs="宋体"/>
          <w:color w:val="auto"/>
          <w:highlight w:val="none"/>
        </w:rPr>
      </w:pPr>
      <w:r>
        <w:rPr>
          <w:rFonts w:hint="eastAsia" w:ascii="宋体" w:hAnsi="宋体" w:eastAsia="宋体" w:cs="宋体"/>
          <w:color w:val="auto"/>
          <w:highlight w:val="none"/>
        </w:rPr>
        <w:t>13、响应文件中提供虚假证明，开具虚假资质，出现虚假应答或故意隐瞒行为，按无效响应处理。</w:t>
      </w:r>
    </w:p>
    <w:p w14:paraId="5D51EBB7">
      <w:pPr>
        <w:rPr>
          <w:rFonts w:hint="eastAsia" w:ascii="宋体" w:hAnsi="宋体" w:eastAsia="宋体" w:cs="宋体"/>
          <w:color w:val="auto"/>
          <w:highlight w:val="none"/>
        </w:rPr>
      </w:pPr>
      <w:bookmarkStart w:id="10" w:name="_Toc12499_WPSOffice_Level2"/>
      <w:r>
        <w:rPr>
          <w:rFonts w:hint="eastAsia" w:ascii="宋体" w:hAnsi="宋体" w:eastAsia="宋体" w:cs="宋体"/>
          <w:color w:val="auto"/>
          <w:highlight w:val="none"/>
        </w:rPr>
        <w:t>14、磋商报价</w:t>
      </w:r>
    </w:p>
    <w:p w14:paraId="4A63BEB9">
      <w:pPr>
        <w:rPr>
          <w:rFonts w:hint="eastAsia" w:ascii="宋体" w:hAnsi="宋体" w:eastAsia="宋体" w:cs="宋体"/>
          <w:color w:val="auto"/>
          <w:highlight w:val="none"/>
        </w:rPr>
      </w:pPr>
      <w:r>
        <w:rPr>
          <w:rFonts w:hint="eastAsia" w:ascii="宋体" w:hAnsi="宋体" w:eastAsia="宋体" w:cs="宋体"/>
          <w:color w:val="auto"/>
          <w:highlight w:val="none"/>
        </w:rPr>
        <w:t>14-1供应商应按照磋商文件规定的服务要求，责任范围和合同条件进行报价，在响应文件中的磋商报价一览表上按要求标明磋商报价、服务</w:t>
      </w:r>
      <w:r>
        <w:rPr>
          <w:rFonts w:hint="eastAsia" w:ascii="宋体" w:hAnsi="宋体" w:eastAsia="宋体" w:cs="宋体"/>
          <w:color w:val="auto"/>
          <w:highlight w:val="none"/>
          <w:lang w:val="en-US" w:eastAsia="zh-CN"/>
        </w:rPr>
        <w:t>期限</w:t>
      </w:r>
      <w:r>
        <w:rPr>
          <w:rFonts w:hint="eastAsia" w:ascii="宋体" w:hAnsi="宋体" w:eastAsia="宋体" w:cs="宋体"/>
          <w:color w:val="auto"/>
          <w:highlight w:val="none"/>
        </w:rPr>
        <w:t>等项，任何有选择的报价采购代理机构不予接受。</w:t>
      </w:r>
    </w:p>
    <w:p w14:paraId="2C40C57C">
      <w:pPr>
        <w:rPr>
          <w:rFonts w:hint="eastAsia" w:ascii="宋体" w:hAnsi="宋体" w:eastAsia="宋体" w:cs="宋体"/>
          <w:color w:val="auto"/>
          <w:highlight w:val="none"/>
        </w:rPr>
      </w:pPr>
      <w:r>
        <w:rPr>
          <w:rFonts w:hint="eastAsia" w:ascii="宋体" w:hAnsi="宋体" w:eastAsia="宋体" w:cs="宋体"/>
          <w:color w:val="auto"/>
          <w:highlight w:val="none"/>
        </w:rPr>
        <w:t>14-2</w:t>
      </w:r>
      <w:r>
        <w:rPr>
          <w:rFonts w:hint="eastAsia" w:ascii="宋体" w:hAnsi="宋体" w:eastAsia="宋体" w:cs="宋体"/>
          <w:color w:val="auto"/>
          <w:highlight w:val="none"/>
          <w:lang w:val="zh-CN"/>
        </w:rPr>
        <w:t>磋商报价是完成磋商内容所需的全部费用。包括检测费、买样费、</w:t>
      </w:r>
      <w:r>
        <w:rPr>
          <w:rFonts w:hint="eastAsia" w:ascii="宋体" w:hAnsi="宋体" w:eastAsia="宋体" w:cs="宋体"/>
          <w:color w:val="auto"/>
          <w:highlight w:val="none"/>
        </w:rPr>
        <w:t>人工费</w:t>
      </w:r>
      <w:r>
        <w:rPr>
          <w:rFonts w:hint="eastAsia" w:ascii="宋体" w:hAnsi="宋体" w:eastAsia="宋体" w:cs="宋体"/>
          <w:color w:val="auto"/>
          <w:highlight w:val="none"/>
          <w:lang w:val="zh-CN"/>
        </w:rPr>
        <w:t>以及验收合格之前完成该项目检验检测工作所包含的一切费用。若报价时未报或未在“磋商报价一览表”中予以说明，采购人将认为这些费用供应商已</w:t>
      </w:r>
      <w:r>
        <w:rPr>
          <w:rFonts w:hint="eastAsia" w:ascii="宋体" w:hAnsi="宋体" w:eastAsia="宋体" w:cs="宋体"/>
          <w:color w:val="auto"/>
          <w:highlight w:val="none"/>
          <w:lang w:val="en-US" w:eastAsia="zh-CN"/>
        </w:rPr>
        <w:t>计</w:t>
      </w:r>
      <w:r>
        <w:rPr>
          <w:rFonts w:hint="eastAsia" w:ascii="宋体" w:hAnsi="宋体" w:eastAsia="宋体" w:cs="宋体"/>
          <w:color w:val="auto"/>
          <w:highlight w:val="none"/>
          <w:lang w:val="zh-CN"/>
        </w:rPr>
        <w:t>取，并包含在磋商报价中。</w:t>
      </w:r>
    </w:p>
    <w:p w14:paraId="773EAE8B">
      <w:pPr>
        <w:rPr>
          <w:rFonts w:hint="eastAsia" w:ascii="宋体" w:hAnsi="宋体" w:eastAsia="宋体" w:cs="宋体"/>
          <w:color w:val="auto"/>
          <w:highlight w:val="none"/>
        </w:rPr>
      </w:pPr>
      <w:r>
        <w:rPr>
          <w:rFonts w:hint="eastAsia" w:ascii="宋体" w:hAnsi="宋体" w:eastAsia="宋体" w:cs="宋体"/>
          <w:color w:val="auto"/>
          <w:highlight w:val="none"/>
        </w:rPr>
        <w:t>14-3 首次磋商报价随响应文件提交；最后磋商报价在磋商过程中提交，各供应商最后磋商报价表按格式进行填写，由法定代表人或其授权代表人签字。</w:t>
      </w:r>
    </w:p>
    <w:p w14:paraId="4A951EA1">
      <w:pPr>
        <w:rPr>
          <w:rFonts w:hint="eastAsia" w:ascii="宋体" w:hAnsi="宋体" w:eastAsia="宋体" w:cs="宋体"/>
          <w:color w:val="auto"/>
          <w:highlight w:val="none"/>
        </w:rPr>
      </w:pPr>
      <w:r>
        <w:rPr>
          <w:rFonts w:hint="eastAsia" w:ascii="宋体" w:hAnsi="宋体" w:eastAsia="宋体" w:cs="宋体"/>
          <w:color w:val="auto"/>
          <w:highlight w:val="none"/>
        </w:rPr>
        <w:t>14-4 最后磋商报价，在采购内容无实质性变更下，不得高于首次磋商报价。对于差异较大的报价，须作出明确的说明。</w:t>
      </w:r>
    </w:p>
    <w:p w14:paraId="55C42CA1">
      <w:pPr>
        <w:rPr>
          <w:rFonts w:hint="eastAsia" w:ascii="宋体" w:hAnsi="宋体" w:eastAsia="宋体" w:cs="宋体"/>
          <w:color w:val="auto"/>
          <w:highlight w:val="none"/>
        </w:rPr>
      </w:pPr>
      <w:r>
        <w:rPr>
          <w:rFonts w:hint="eastAsia" w:ascii="宋体" w:hAnsi="宋体" w:eastAsia="宋体" w:cs="宋体"/>
          <w:color w:val="auto"/>
          <w:highlight w:val="none"/>
        </w:rPr>
        <w:t>14-5 磋商报价超出采购预算/招标控制价的供应商不进入磋商程序。</w:t>
      </w:r>
    </w:p>
    <w:p w14:paraId="22DEA1EC">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14-6 </w:t>
      </w:r>
      <w:r>
        <w:rPr>
          <w:rFonts w:hint="eastAsia" w:ascii="宋体" w:hAnsi="宋体" w:eastAsia="宋体" w:cs="宋体"/>
          <w:color w:val="auto"/>
        </w:rPr>
        <w:t>磋商最终报价表中标明的价格为最终合同价格。</w:t>
      </w:r>
      <w:r>
        <w:rPr>
          <w:rFonts w:hint="eastAsia" w:ascii="宋体" w:hAnsi="宋体" w:eastAsia="宋体" w:cs="宋体"/>
          <w:color w:val="auto"/>
          <w:lang w:val="en-US" w:eastAsia="zh-CN"/>
        </w:rPr>
        <w:t xml:space="preserve"> </w:t>
      </w:r>
    </w:p>
    <w:p w14:paraId="794E7A99">
      <w:pPr>
        <w:rPr>
          <w:rFonts w:hint="eastAsia" w:ascii="宋体" w:hAnsi="宋体" w:eastAsia="宋体" w:cs="宋体"/>
          <w:color w:val="auto"/>
          <w:highlight w:val="none"/>
        </w:rPr>
      </w:pPr>
      <w:r>
        <w:rPr>
          <w:rFonts w:hint="eastAsia" w:ascii="宋体" w:hAnsi="宋体" w:eastAsia="宋体" w:cs="宋体"/>
          <w:color w:val="auto"/>
          <w:highlight w:val="none"/>
        </w:rPr>
        <w:t>15、磋商过程中所产生的一切费用应由供应商自行承担。</w:t>
      </w:r>
    </w:p>
    <w:p w14:paraId="0B427D57">
      <w:pPr>
        <w:rPr>
          <w:rFonts w:hint="eastAsia" w:ascii="宋体" w:hAnsi="宋体" w:eastAsia="宋体" w:cs="宋体"/>
          <w:color w:val="auto"/>
          <w:highlight w:val="none"/>
        </w:rPr>
      </w:pPr>
      <w:r>
        <w:rPr>
          <w:rFonts w:hint="eastAsia" w:ascii="宋体" w:hAnsi="宋体" w:eastAsia="宋体" w:cs="宋体"/>
          <w:color w:val="auto"/>
          <w:highlight w:val="none"/>
        </w:rPr>
        <w:t>16、凡因供应商对磋商文件阅读不深、理解不透、误解、疏漏、或因市场行情了解不清造成的后果和风险均由供应商自行负责。</w:t>
      </w:r>
    </w:p>
    <w:p w14:paraId="09E9786A">
      <w:pPr>
        <w:rPr>
          <w:rFonts w:hint="eastAsia" w:ascii="宋体" w:hAnsi="宋体" w:eastAsia="宋体" w:cs="宋体"/>
          <w:color w:val="auto"/>
          <w:highlight w:val="none"/>
        </w:rPr>
      </w:pPr>
      <w:r>
        <w:rPr>
          <w:rFonts w:hint="eastAsia" w:ascii="宋体" w:hAnsi="宋体" w:eastAsia="宋体" w:cs="宋体"/>
          <w:color w:val="auto"/>
          <w:highlight w:val="none"/>
        </w:rPr>
        <w:t>17、供应商有下列情形之一的，在项目财政主管部门备案；情节严重的，由财政部门将其列入不良行为记录名单予以通报，在一至三年内禁止参加政府采购活动：</w:t>
      </w:r>
    </w:p>
    <w:p w14:paraId="42701F9D">
      <w:pPr>
        <w:rPr>
          <w:rFonts w:hint="eastAsia" w:ascii="宋体" w:hAnsi="宋体" w:eastAsia="宋体" w:cs="宋体"/>
          <w:color w:val="auto"/>
          <w:highlight w:val="none"/>
        </w:rPr>
      </w:pPr>
      <w:r>
        <w:rPr>
          <w:rFonts w:hint="eastAsia" w:ascii="宋体" w:hAnsi="宋体" w:eastAsia="宋体" w:cs="宋体"/>
          <w:color w:val="auto"/>
          <w:highlight w:val="none"/>
        </w:rPr>
        <w:t>17-1供应商在提交响应文件截止时间后撤销响应文件的；</w:t>
      </w:r>
    </w:p>
    <w:p w14:paraId="7E4AC0EF">
      <w:pPr>
        <w:rPr>
          <w:rFonts w:hint="eastAsia" w:ascii="宋体" w:hAnsi="宋体" w:eastAsia="宋体" w:cs="宋体"/>
          <w:color w:val="auto"/>
          <w:highlight w:val="none"/>
        </w:rPr>
      </w:pPr>
      <w:r>
        <w:rPr>
          <w:rFonts w:hint="eastAsia" w:ascii="宋体" w:hAnsi="宋体" w:eastAsia="宋体" w:cs="宋体"/>
          <w:color w:val="auto"/>
          <w:highlight w:val="none"/>
        </w:rPr>
        <w:t>17-2供应商在响应文件中提供虚假材料的；</w:t>
      </w:r>
    </w:p>
    <w:p w14:paraId="6F5EE2EE">
      <w:pPr>
        <w:rPr>
          <w:rFonts w:hint="eastAsia" w:ascii="宋体" w:hAnsi="宋体" w:eastAsia="宋体" w:cs="宋体"/>
          <w:color w:val="auto"/>
          <w:highlight w:val="none"/>
        </w:rPr>
      </w:pPr>
      <w:r>
        <w:rPr>
          <w:rFonts w:hint="eastAsia" w:ascii="宋体" w:hAnsi="宋体" w:eastAsia="宋体" w:cs="宋体"/>
          <w:color w:val="auto"/>
          <w:highlight w:val="none"/>
        </w:rPr>
        <w:t>17-3供应商与采购人、其他供应商或者采购代理机构恶意串通的；或向磋商小组成员行贿或者提供其他不正当利益；</w:t>
      </w:r>
    </w:p>
    <w:p w14:paraId="38FE42B6">
      <w:pPr>
        <w:rPr>
          <w:rFonts w:hint="eastAsia" w:ascii="宋体" w:hAnsi="宋体" w:eastAsia="宋体" w:cs="宋体"/>
          <w:color w:val="auto"/>
          <w:highlight w:val="none"/>
        </w:rPr>
      </w:pPr>
      <w:r>
        <w:rPr>
          <w:rFonts w:hint="eastAsia" w:ascii="宋体" w:hAnsi="宋体" w:eastAsia="宋体" w:cs="宋体"/>
          <w:color w:val="auto"/>
          <w:highlight w:val="none"/>
        </w:rPr>
        <w:t>17-4除因不可抗力或磋商文件认可的情形以外，成交供应商不与采购人签订合同的；或未按照采购文件确定的事项签订政府采购合同；</w:t>
      </w:r>
    </w:p>
    <w:p w14:paraId="57891424">
      <w:pPr>
        <w:rPr>
          <w:rFonts w:hint="eastAsia" w:ascii="宋体" w:hAnsi="宋体" w:eastAsia="宋体" w:cs="宋体"/>
          <w:color w:val="auto"/>
          <w:highlight w:val="none"/>
        </w:rPr>
      </w:pPr>
      <w:r>
        <w:rPr>
          <w:rFonts w:hint="eastAsia" w:ascii="宋体" w:hAnsi="宋体" w:eastAsia="宋体" w:cs="宋体"/>
          <w:color w:val="auto"/>
          <w:highlight w:val="none"/>
        </w:rPr>
        <w:t>17-5成交供应商将政府采购合同转包、分包给他人的；</w:t>
      </w:r>
    </w:p>
    <w:p w14:paraId="05D9D853">
      <w:pPr>
        <w:rPr>
          <w:rFonts w:hint="eastAsia" w:ascii="宋体" w:hAnsi="宋体" w:eastAsia="宋体" w:cs="宋体"/>
          <w:color w:val="auto"/>
          <w:highlight w:val="none"/>
        </w:rPr>
      </w:pPr>
      <w:r>
        <w:rPr>
          <w:rFonts w:hint="eastAsia" w:ascii="宋体" w:hAnsi="宋体" w:eastAsia="宋体" w:cs="宋体"/>
          <w:color w:val="auto"/>
          <w:highlight w:val="none"/>
        </w:rPr>
        <w:t>17-6成交供应商拒绝履行合同义务的；</w:t>
      </w:r>
    </w:p>
    <w:p w14:paraId="31106090">
      <w:pPr>
        <w:rPr>
          <w:rFonts w:hint="eastAsia" w:ascii="宋体" w:hAnsi="宋体" w:eastAsia="宋体" w:cs="宋体"/>
          <w:color w:val="auto"/>
          <w:highlight w:val="none"/>
        </w:rPr>
      </w:pPr>
      <w:r>
        <w:rPr>
          <w:rFonts w:hint="eastAsia" w:ascii="宋体" w:hAnsi="宋体" w:eastAsia="宋体" w:cs="宋体"/>
          <w:color w:val="auto"/>
          <w:highlight w:val="none"/>
        </w:rPr>
        <w:t>17-7成交供应商擅自变更、中止或者终止政府采购合同。</w:t>
      </w:r>
    </w:p>
    <w:p w14:paraId="0C9AE8EF">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t>18、响应有效期</w:t>
      </w:r>
    </w:p>
    <w:p w14:paraId="1FDB647B">
      <w:pPr>
        <w:rPr>
          <w:rFonts w:hint="eastAsia" w:ascii="宋体" w:hAnsi="宋体" w:eastAsia="宋体" w:cs="宋体"/>
          <w:color w:val="auto"/>
          <w:highlight w:val="none"/>
          <w:lang w:val="zh-CN"/>
        </w:rPr>
      </w:pPr>
      <w:r>
        <w:rPr>
          <w:rFonts w:hint="eastAsia" w:ascii="宋体" w:hAnsi="宋体" w:eastAsia="宋体" w:cs="宋体"/>
          <w:color w:val="auto"/>
          <w:highlight w:val="none"/>
        </w:rPr>
        <w:t>18-1</w:t>
      </w:r>
      <w:r>
        <w:rPr>
          <w:rFonts w:hint="eastAsia" w:ascii="宋体" w:hAnsi="宋体" w:eastAsia="宋体" w:cs="宋体"/>
          <w:color w:val="auto"/>
        </w:rPr>
        <w:t>响应有效期从提交响应文件的截止之日起</w:t>
      </w:r>
      <w:r>
        <w:rPr>
          <w:rFonts w:hint="eastAsia" w:ascii="宋体" w:hAnsi="宋体" w:eastAsia="宋体" w:cs="宋体"/>
          <w:color w:val="auto"/>
          <w:lang w:val="en-US" w:eastAsia="zh-CN"/>
        </w:rPr>
        <w:t>九</w:t>
      </w:r>
      <w:r>
        <w:rPr>
          <w:rFonts w:hint="eastAsia" w:ascii="宋体" w:hAnsi="宋体" w:eastAsia="宋体" w:cs="宋体"/>
          <w:color w:val="auto"/>
        </w:rPr>
        <w:t>十（</w:t>
      </w:r>
      <w:r>
        <w:rPr>
          <w:rFonts w:hint="eastAsia" w:ascii="宋体" w:hAnsi="宋体" w:eastAsia="宋体" w:cs="宋体"/>
          <w:color w:val="auto"/>
          <w:lang w:val="en-US" w:eastAsia="zh-CN"/>
        </w:rPr>
        <w:t>9</w:t>
      </w:r>
      <w:r>
        <w:rPr>
          <w:rFonts w:hint="eastAsia" w:ascii="宋体" w:hAnsi="宋体" w:eastAsia="宋体" w:cs="宋体"/>
          <w:color w:val="auto"/>
        </w:rPr>
        <w:t>0）个日历日。在有效期内，响应文件对供应商具有法律约束力，</w:t>
      </w:r>
      <w:r>
        <w:rPr>
          <w:rFonts w:hint="eastAsia" w:ascii="宋体" w:hAnsi="宋体" w:eastAsia="宋体" w:cs="宋体"/>
          <w:color w:val="auto"/>
          <w:lang w:val="zh-CN"/>
        </w:rPr>
        <w:t>以保证采购人完成评审、确定成交供应商以及合同签订事项。</w:t>
      </w:r>
    </w:p>
    <w:p w14:paraId="6DE7766C">
      <w:pPr>
        <w:rPr>
          <w:rFonts w:hint="eastAsia" w:ascii="宋体" w:hAnsi="宋体" w:eastAsia="宋体" w:cs="宋体"/>
          <w:color w:val="auto"/>
          <w:highlight w:val="none"/>
        </w:rPr>
      </w:pPr>
      <w:r>
        <w:rPr>
          <w:rFonts w:hint="eastAsia" w:ascii="宋体" w:hAnsi="宋体" w:eastAsia="宋体" w:cs="宋体"/>
          <w:color w:val="auto"/>
          <w:highlight w:val="none"/>
        </w:rPr>
        <w:t>18-2</w:t>
      </w:r>
      <w:r>
        <w:rPr>
          <w:rFonts w:hint="eastAsia" w:ascii="宋体" w:hAnsi="宋体" w:eastAsia="宋体" w:cs="宋体"/>
          <w:color w:val="auto"/>
        </w:rPr>
        <w:t>特殊情况需延长响应有效期的，采购代理机构可于响应有效期届满之前，要求供应商同意延长有效期，采购代理机构的要求与供应商的答复均应为书面形式。供应商拒绝延长的，其响应在原响应有效期届满后将不再有效；供应商同意延长的，其</w:t>
      </w:r>
      <w:r>
        <w:rPr>
          <w:rFonts w:hint="eastAsia" w:ascii="宋体" w:hAnsi="宋体" w:eastAsia="宋体" w:cs="宋体"/>
          <w:color w:val="auto"/>
          <w:lang w:val="en-US" w:eastAsia="zh-CN"/>
        </w:rPr>
        <w:t>响应</w:t>
      </w:r>
      <w:r>
        <w:rPr>
          <w:rFonts w:hint="eastAsia" w:ascii="宋体" w:hAnsi="宋体" w:eastAsia="宋体" w:cs="宋体"/>
          <w:color w:val="auto"/>
        </w:rPr>
        <w:t>有效，但不允许修改或</w:t>
      </w:r>
      <w:r>
        <w:rPr>
          <w:rFonts w:hint="eastAsia" w:ascii="宋体" w:hAnsi="宋体" w:eastAsia="宋体" w:cs="宋体"/>
          <w:color w:val="auto"/>
          <w:lang w:val="en-US" w:eastAsia="zh-CN"/>
        </w:rPr>
        <w:t>撤销</w:t>
      </w:r>
      <w:r>
        <w:rPr>
          <w:rFonts w:hint="eastAsia" w:ascii="宋体" w:hAnsi="宋体" w:eastAsia="宋体" w:cs="宋体"/>
          <w:color w:val="auto"/>
        </w:rPr>
        <w:t>响应文件。</w:t>
      </w:r>
    </w:p>
    <w:p w14:paraId="72B7EDF4">
      <w:pPr>
        <w:pStyle w:val="4"/>
        <w:spacing w:line="360" w:lineRule="auto"/>
        <w:ind w:left="573"/>
        <w:rPr>
          <w:rFonts w:hint="eastAsia" w:ascii="宋体" w:hAnsi="宋体" w:eastAsia="宋体" w:cs="宋体"/>
          <w:color w:val="auto"/>
          <w:highlight w:val="none"/>
        </w:rPr>
      </w:pPr>
      <w:r>
        <w:rPr>
          <w:rFonts w:hint="eastAsia" w:ascii="宋体" w:hAnsi="宋体" w:eastAsia="宋体" w:cs="宋体"/>
          <w:color w:val="auto"/>
          <w:highlight w:val="none"/>
        </w:rPr>
        <w:t>磋商小组</w:t>
      </w:r>
      <w:bookmarkEnd w:id="10"/>
    </w:p>
    <w:p w14:paraId="5C4C6025">
      <w:pPr>
        <w:rPr>
          <w:rFonts w:hint="eastAsia" w:ascii="宋体" w:hAnsi="宋体" w:eastAsia="宋体" w:cs="宋体"/>
          <w:color w:val="auto"/>
          <w:highlight w:val="none"/>
        </w:rPr>
      </w:pPr>
      <w:r>
        <w:rPr>
          <w:rFonts w:hint="eastAsia" w:ascii="宋体" w:hAnsi="宋体" w:eastAsia="宋体" w:cs="宋体"/>
          <w:color w:val="auto"/>
          <w:highlight w:val="none"/>
        </w:rPr>
        <w:t>1、采购代理机构负责组织磋商工作。</w:t>
      </w:r>
    </w:p>
    <w:p w14:paraId="42467804">
      <w:pPr>
        <w:rPr>
          <w:rFonts w:hint="eastAsia" w:ascii="宋体" w:hAnsi="宋体" w:eastAsia="宋体" w:cs="宋体"/>
          <w:color w:val="auto"/>
          <w:highlight w:val="none"/>
        </w:rPr>
      </w:pPr>
      <w:r>
        <w:rPr>
          <w:rFonts w:hint="eastAsia" w:ascii="宋体" w:hAnsi="宋体" w:eastAsia="宋体" w:cs="宋体"/>
          <w:color w:val="auto"/>
          <w:highlight w:val="none"/>
        </w:rPr>
        <w:t>2、采购人或采购代理机构依法组建磋商小组，磋商小组由评审专家和采购人代表组成。</w:t>
      </w:r>
    </w:p>
    <w:p w14:paraId="0160286F">
      <w:pPr>
        <w:rPr>
          <w:rFonts w:hint="eastAsia" w:ascii="宋体" w:hAnsi="宋体" w:eastAsia="宋体" w:cs="宋体"/>
          <w:color w:val="auto"/>
          <w:highlight w:val="none"/>
        </w:rPr>
      </w:pPr>
      <w:r>
        <w:rPr>
          <w:rFonts w:hint="eastAsia" w:ascii="宋体" w:hAnsi="宋体" w:eastAsia="宋体" w:cs="宋体"/>
          <w:color w:val="auto"/>
          <w:highlight w:val="none"/>
        </w:rPr>
        <w:t>3、磋商小组负责具体磋商事务，并独立履行下列职责：</w:t>
      </w:r>
    </w:p>
    <w:p w14:paraId="45B3D5A6">
      <w:pPr>
        <w:rPr>
          <w:rFonts w:hint="eastAsia" w:ascii="宋体" w:hAnsi="宋体" w:eastAsia="宋体" w:cs="宋体"/>
          <w:color w:val="auto"/>
          <w:highlight w:val="none"/>
        </w:rPr>
      </w:pPr>
      <w:r>
        <w:rPr>
          <w:rFonts w:hint="eastAsia" w:ascii="宋体" w:hAnsi="宋体" w:eastAsia="宋体" w:cs="宋体"/>
          <w:color w:val="auto"/>
          <w:highlight w:val="none"/>
        </w:rPr>
        <w:t>3-1确认磋商文件；</w:t>
      </w:r>
    </w:p>
    <w:p w14:paraId="27E242C2">
      <w:pPr>
        <w:rPr>
          <w:rFonts w:hint="eastAsia" w:ascii="宋体" w:hAnsi="宋体" w:eastAsia="宋体" w:cs="宋体"/>
          <w:color w:val="auto"/>
          <w:highlight w:val="none"/>
        </w:rPr>
      </w:pPr>
      <w:r>
        <w:rPr>
          <w:rFonts w:hint="eastAsia" w:ascii="宋体" w:hAnsi="宋体" w:eastAsia="宋体" w:cs="宋体"/>
          <w:color w:val="auto"/>
          <w:highlight w:val="none"/>
        </w:rPr>
        <w:t>3-2确定符合资质条件的供应商参加磋商；</w:t>
      </w:r>
    </w:p>
    <w:p w14:paraId="40827955">
      <w:pPr>
        <w:rPr>
          <w:rFonts w:hint="eastAsia" w:ascii="宋体" w:hAnsi="宋体" w:eastAsia="宋体" w:cs="宋体"/>
          <w:color w:val="auto"/>
          <w:highlight w:val="none"/>
        </w:rPr>
      </w:pPr>
      <w:r>
        <w:rPr>
          <w:rFonts w:hint="eastAsia" w:ascii="宋体" w:hAnsi="宋体" w:eastAsia="宋体" w:cs="宋体"/>
          <w:color w:val="auto"/>
          <w:highlight w:val="none"/>
        </w:rPr>
        <w:t>3-3要求供应商解释或者澄清其响应文件；</w:t>
      </w:r>
    </w:p>
    <w:p w14:paraId="4D2D7883">
      <w:pPr>
        <w:rPr>
          <w:rFonts w:hint="eastAsia" w:ascii="宋体" w:hAnsi="宋体" w:eastAsia="宋体" w:cs="宋体"/>
          <w:color w:val="auto"/>
          <w:highlight w:val="none"/>
        </w:rPr>
      </w:pPr>
      <w:r>
        <w:rPr>
          <w:rFonts w:hint="eastAsia" w:ascii="宋体" w:hAnsi="宋体" w:eastAsia="宋体" w:cs="宋体"/>
          <w:color w:val="auto"/>
          <w:highlight w:val="none"/>
        </w:rPr>
        <w:t>3-4集中与单一供应商分别进行磋商；</w:t>
      </w:r>
    </w:p>
    <w:p w14:paraId="689B8307">
      <w:pPr>
        <w:rPr>
          <w:rFonts w:hint="eastAsia" w:ascii="宋体" w:hAnsi="宋体" w:eastAsia="宋体" w:cs="宋体"/>
          <w:color w:val="auto"/>
          <w:highlight w:val="none"/>
        </w:rPr>
      </w:pPr>
      <w:r>
        <w:rPr>
          <w:rFonts w:hint="eastAsia" w:ascii="宋体" w:hAnsi="宋体" w:eastAsia="宋体" w:cs="宋体"/>
          <w:color w:val="auto"/>
          <w:highlight w:val="none"/>
        </w:rPr>
        <w:t>3-5审查供应商的响应文件并做出评价；</w:t>
      </w:r>
    </w:p>
    <w:p w14:paraId="79685BEC">
      <w:pPr>
        <w:rPr>
          <w:rFonts w:hint="eastAsia" w:ascii="宋体" w:hAnsi="宋体" w:eastAsia="宋体" w:cs="宋体"/>
          <w:color w:val="auto"/>
          <w:highlight w:val="none"/>
        </w:rPr>
      </w:pPr>
      <w:r>
        <w:rPr>
          <w:rFonts w:hint="eastAsia" w:ascii="宋体" w:hAnsi="宋体" w:eastAsia="宋体" w:cs="宋体"/>
          <w:color w:val="auto"/>
          <w:highlight w:val="none"/>
        </w:rPr>
        <w:t>3-6告知采购人或采购代理机构在评审过程中发现供应商违法违规行为；</w:t>
      </w:r>
    </w:p>
    <w:p w14:paraId="00FCD4A1">
      <w:pPr>
        <w:rPr>
          <w:rFonts w:hint="eastAsia" w:ascii="宋体" w:hAnsi="宋体" w:eastAsia="宋体" w:cs="宋体"/>
          <w:color w:val="auto"/>
          <w:highlight w:val="none"/>
        </w:rPr>
      </w:pPr>
      <w:r>
        <w:rPr>
          <w:rFonts w:hint="eastAsia" w:ascii="宋体" w:hAnsi="宋体" w:eastAsia="宋体" w:cs="宋体"/>
          <w:color w:val="auto"/>
          <w:highlight w:val="none"/>
        </w:rPr>
        <w:t>3-7编写评审报告。</w:t>
      </w:r>
    </w:p>
    <w:p w14:paraId="105BD5D2">
      <w:pPr>
        <w:pStyle w:val="4"/>
        <w:spacing w:line="360" w:lineRule="auto"/>
        <w:ind w:left="573"/>
        <w:rPr>
          <w:rFonts w:hint="eastAsia" w:ascii="宋体" w:hAnsi="宋体" w:eastAsia="宋体" w:cs="宋体"/>
          <w:color w:val="auto"/>
          <w:highlight w:val="none"/>
        </w:rPr>
      </w:pPr>
      <w:bookmarkStart w:id="11" w:name="_Toc31795_WPSOffice_Level2"/>
      <w:r>
        <w:rPr>
          <w:rFonts w:hint="eastAsia" w:ascii="宋体" w:hAnsi="宋体" w:eastAsia="宋体" w:cs="宋体"/>
          <w:color w:val="auto"/>
          <w:highlight w:val="none"/>
        </w:rPr>
        <w:t>磋商会议</w:t>
      </w:r>
      <w:bookmarkEnd w:id="11"/>
    </w:p>
    <w:p w14:paraId="32C9DDBA">
      <w:pPr>
        <w:numPr>
          <w:ilvl w:val="0"/>
          <w:numId w:val="7"/>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在磋商文件规定的磋商时间和磋商地点，由采购代理机构主持磋商会议，供应商须委派代表参加，签名报到以证明其出席。</w:t>
      </w:r>
    </w:p>
    <w:p w14:paraId="3A14839B">
      <w:pPr>
        <w:numPr>
          <w:ilvl w:val="0"/>
          <w:numId w:val="7"/>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参加磋商会议的供应商的法定代表人或其授权代表应携带本人身份证原件、供应商资格要求相关材料的原件以备审核。</w:t>
      </w:r>
    </w:p>
    <w:p w14:paraId="06D13D01">
      <w:pPr>
        <w:numPr>
          <w:ilvl w:val="0"/>
          <w:numId w:val="7"/>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磋商时，由供应商或其推荐的代表与</w:t>
      </w:r>
      <w:r>
        <w:rPr>
          <w:rFonts w:hint="eastAsia" w:ascii="宋体" w:hAnsi="宋体" w:eastAsia="宋体" w:cs="宋体"/>
          <w:color w:val="auto"/>
          <w:highlight w:val="none"/>
          <w:lang w:eastAsia="zh-CN"/>
        </w:rPr>
        <w:t>监标人</w:t>
      </w:r>
      <w:r>
        <w:rPr>
          <w:rFonts w:hint="eastAsia" w:ascii="宋体" w:hAnsi="宋体" w:eastAsia="宋体" w:cs="宋体"/>
          <w:color w:val="auto"/>
          <w:highlight w:val="none"/>
        </w:rPr>
        <w:t>共同检查响应文件的密封情况。</w:t>
      </w:r>
    </w:p>
    <w:p w14:paraId="19E364CA">
      <w:pPr>
        <w:numPr>
          <w:ilvl w:val="0"/>
          <w:numId w:val="7"/>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经对响应文件的密封情况确认无误后，由供应商法定代表人（或授权代表）和</w:t>
      </w:r>
      <w:r>
        <w:rPr>
          <w:rFonts w:hint="eastAsia" w:ascii="宋体" w:hAnsi="宋体" w:eastAsia="宋体" w:cs="宋体"/>
          <w:color w:val="auto"/>
          <w:highlight w:val="none"/>
          <w:lang w:eastAsia="zh-CN"/>
        </w:rPr>
        <w:t>监标人</w:t>
      </w:r>
      <w:r>
        <w:rPr>
          <w:rFonts w:hint="eastAsia" w:ascii="宋体" w:hAnsi="宋体" w:eastAsia="宋体" w:cs="宋体"/>
          <w:color w:val="auto"/>
          <w:highlight w:val="none"/>
        </w:rPr>
        <w:t>签字确认。</w:t>
      </w:r>
    </w:p>
    <w:p w14:paraId="495EB45F">
      <w:pPr>
        <w:numPr>
          <w:ilvl w:val="0"/>
          <w:numId w:val="7"/>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由采购代理机构工作人员按照签到顺序开启各供应商响应文件，公布文件份数。</w:t>
      </w:r>
    </w:p>
    <w:p w14:paraId="6DAA1EB9">
      <w:pPr>
        <w:numPr>
          <w:ilvl w:val="0"/>
          <w:numId w:val="7"/>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供应商对磋商会议过程若有异议，以及认为采购人、采购代理机构相关工作人员有需要回避的情形的，应当场提出询问或者回避申请。采购人、采购代理机构对供应商代表提出的询问或者回避申请及时处理。</w:t>
      </w:r>
    </w:p>
    <w:p w14:paraId="09DCAB48">
      <w:pPr>
        <w:numPr>
          <w:ilvl w:val="0"/>
          <w:numId w:val="7"/>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供应商未参加磋商会议的，视同认可磋商结果。</w:t>
      </w:r>
    </w:p>
    <w:p w14:paraId="60FFE2EF">
      <w:pPr>
        <w:numPr>
          <w:ilvl w:val="0"/>
          <w:numId w:val="7"/>
        </w:numPr>
        <w:ind w:left="0" w:firstLine="480" w:firstLineChars="0"/>
        <w:rPr>
          <w:rFonts w:hint="eastAsia" w:ascii="宋体" w:hAnsi="宋体" w:eastAsia="宋体" w:cs="宋体"/>
          <w:color w:val="auto"/>
          <w:highlight w:val="none"/>
        </w:rPr>
      </w:pPr>
      <w:r>
        <w:rPr>
          <w:rFonts w:hint="eastAsia" w:ascii="宋体" w:hAnsi="宋体" w:eastAsia="宋体" w:cs="宋体"/>
          <w:color w:val="auto"/>
          <w:highlight w:val="none"/>
        </w:rPr>
        <w:t>采购人依法对供应商的资格进行审查。</w:t>
      </w:r>
    </w:p>
    <w:p w14:paraId="3A96A66A">
      <w:pPr>
        <w:rPr>
          <w:rFonts w:hint="eastAsia" w:ascii="宋体" w:hAnsi="宋体" w:eastAsia="宋体" w:cs="宋体"/>
          <w:color w:val="auto"/>
          <w:highlight w:val="none"/>
        </w:rPr>
      </w:pPr>
      <w:r>
        <w:rPr>
          <w:rFonts w:hint="eastAsia" w:ascii="宋体" w:hAnsi="宋体" w:eastAsia="宋体" w:cs="宋体"/>
          <w:color w:val="auto"/>
          <w:highlight w:val="none"/>
        </w:rPr>
        <w:t>8-1响应文件中的资格证明文件出现下列情况者（但不限于），按无效响应处理：</w:t>
      </w:r>
    </w:p>
    <w:p w14:paraId="680D26CC">
      <w:pPr>
        <w:rPr>
          <w:rFonts w:hint="eastAsia" w:ascii="宋体" w:hAnsi="宋体" w:eastAsia="宋体" w:cs="宋体"/>
          <w:color w:val="auto"/>
          <w:highlight w:val="none"/>
        </w:rPr>
      </w:pPr>
      <w:r>
        <w:rPr>
          <w:rFonts w:hint="eastAsia" w:ascii="宋体" w:hAnsi="宋体" w:eastAsia="宋体" w:cs="宋体"/>
          <w:color w:val="auto"/>
          <w:highlight w:val="none"/>
        </w:rPr>
        <w:t>8-1-1供应商的名称与登记领取磋商文件单位的名称不符;</w:t>
      </w:r>
    </w:p>
    <w:p w14:paraId="11719E98">
      <w:pPr>
        <w:rPr>
          <w:rFonts w:hint="eastAsia" w:ascii="宋体" w:hAnsi="宋体" w:eastAsia="宋体" w:cs="宋体"/>
          <w:color w:val="auto"/>
          <w:highlight w:val="none"/>
        </w:rPr>
      </w:pPr>
      <w:r>
        <w:rPr>
          <w:rFonts w:hint="eastAsia" w:ascii="宋体" w:hAnsi="宋体" w:eastAsia="宋体" w:cs="宋体"/>
          <w:color w:val="auto"/>
          <w:highlight w:val="none"/>
        </w:rPr>
        <w:t>8-1-2供应商承诺书的有效性或符合性不符合要求的;</w:t>
      </w:r>
    </w:p>
    <w:p w14:paraId="72489ABA">
      <w:pPr>
        <w:rPr>
          <w:rFonts w:hint="eastAsia" w:ascii="宋体" w:hAnsi="宋体" w:eastAsia="宋体" w:cs="宋体"/>
          <w:color w:val="auto"/>
          <w:highlight w:val="none"/>
        </w:rPr>
      </w:pPr>
      <w:r>
        <w:rPr>
          <w:rFonts w:hint="eastAsia" w:ascii="宋体" w:hAnsi="宋体" w:eastAsia="宋体" w:cs="宋体"/>
          <w:color w:val="auto"/>
          <w:highlight w:val="none"/>
        </w:rPr>
        <w:t>8-1-3磋商文件要求提交原件，而供应商未按要求提交的;</w:t>
      </w:r>
    </w:p>
    <w:p w14:paraId="3F6F06BF">
      <w:pPr>
        <w:rPr>
          <w:rFonts w:hint="eastAsia" w:ascii="宋体" w:hAnsi="宋体" w:eastAsia="宋体" w:cs="宋体"/>
          <w:color w:val="auto"/>
          <w:highlight w:val="none"/>
        </w:rPr>
      </w:pPr>
      <w:r>
        <w:rPr>
          <w:rFonts w:hint="eastAsia" w:ascii="宋体" w:hAnsi="宋体" w:eastAsia="宋体" w:cs="宋体"/>
          <w:color w:val="auto"/>
          <w:highlight w:val="none"/>
        </w:rPr>
        <w:t>8-1-4供应商资格证明文件的完整性、有效性或符合性不符合要求的。</w:t>
      </w:r>
    </w:p>
    <w:p w14:paraId="3780A635">
      <w:pPr>
        <w:pStyle w:val="4"/>
        <w:spacing w:line="360" w:lineRule="auto"/>
        <w:ind w:left="573"/>
        <w:rPr>
          <w:rFonts w:hint="eastAsia" w:ascii="宋体" w:hAnsi="宋体" w:eastAsia="宋体" w:cs="宋体"/>
          <w:color w:val="auto"/>
          <w:highlight w:val="none"/>
        </w:rPr>
      </w:pPr>
      <w:bookmarkStart w:id="12" w:name="_Toc9784_WPSOffice_Level2"/>
      <w:r>
        <w:rPr>
          <w:rFonts w:hint="eastAsia" w:ascii="宋体" w:hAnsi="宋体" w:eastAsia="宋体" w:cs="宋体"/>
          <w:color w:val="auto"/>
          <w:highlight w:val="none"/>
        </w:rPr>
        <w:t>磋商</w:t>
      </w:r>
      <w:bookmarkEnd w:id="12"/>
    </w:p>
    <w:p w14:paraId="2DA44A8C">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1、响应</w:t>
      </w:r>
      <w:r>
        <w:rPr>
          <w:rFonts w:hint="eastAsia" w:ascii="宋体" w:hAnsi="宋体" w:eastAsia="宋体" w:cs="宋体"/>
          <w:color w:val="auto"/>
          <w:highlight w:val="none"/>
        </w:rPr>
        <w:t xml:space="preserve">文件的符合性审查 </w:t>
      </w:r>
    </w:p>
    <w:p w14:paraId="7F4BAE20">
      <w:pPr>
        <w:rPr>
          <w:rFonts w:hint="eastAsia" w:ascii="宋体" w:hAnsi="宋体" w:eastAsia="宋体" w:cs="宋体"/>
          <w:color w:val="auto"/>
          <w:highlight w:val="none"/>
        </w:rPr>
      </w:pPr>
      <w:r>
        <w:rPr>
          <w:rFonts w:hint="eastAsia" w:ascii="宋体" w:hAnsi="宋体" w:eastAsia="宋体" w:cs="宋体"/>
          <w:color w:val="auto"/>
          <w:highlight w:val="none"/>
        </w:rPr>
        <w:t>磋商小组依据</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文件的规定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对资格审查合格的响应文件的有效性、完整性和对磋商文件的响应程度进行审查，以确定是否对磋商文件的实质性内容作出响应。</w:t>
      </w:r>
    </w:p>
    <w:p w14:paraId="79DEBC7C">
      <w:pPr>
        <w:rPr>
          <w:rFonts w:hint="eastAsia" w:ascii="宋体" w:hAnsi="宋体" w:eastAsia="宋体" w:cs="宋体"/>
          <w:color w:val="auto"/>
          <w:highlight w:val="none"/>
        </w:rPr>
      </w:pPr>
      <w:r>
        <w:rPr>
          <w:rFonts w:hint="eastAsia" w:ascii="宋体" w:hAnsi="宋体" w:eastAsia="宋体" w:cs="宋体"/>
          <w:color w:val="auto"/>
          <w:highlight w:val="none"/>
        </w:rPr>
        <w:t>磋商小组要审查每份</w:t>
      </w:r>
      <w:r>
        <w:rPr>
          <w:rFonts w:hint="eastAsia" w:ascii="宋体" w:hAnsi="宋体" w:eastAsia="宋体" w:cs="宋体"/>
          <w:color w:val="auto"/>
          <w:highlight w:val="none"/>
          <w:lang w:val="en-US" w:eastAsia="zh-CN"/>
        </w:rPr>
        <w:t>响应</w:t>
      </w:r>
      <w:r>
        <w:rPr>
          <w:rFonts w:hint="eastAsia" w:ascii="宋体" w:hAnsi="宋体" w:eastAsia="宋体" w:cs="宋体"/>
          <w:color w:val="auto"/>
          <w:highlight w:val="none"/>
        </w:rPr>
        <w:t>文件是否实质上响应</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文件的要求。 实质上没有响应</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文件要求的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作无效</w:t>
      </w:r>
      <w:r>
        <w:rPr>
          <w:rFonts w:hint="eastAsia" w:ascii="宋体" w:hAnsi="宋体" w:eastAsia="宋体" w:cs="宋体"/>
          <w:color w:val="auto"/>
          <w:highlight w:val="none"/>
          <w:lang w:val="en-US" w:eastAsia="zh-CN"/>
        </w:rPr>
        <w:t>响应</w:t>
      </w:r>
      <w:r>
        <w:rPr>
          <w:rFonts w:hint="eastAsia" w:ascii="宋体" w:hAnsi="宋体" w:eastAsia="宋体" w:cs="宋体"/>
          <w:color w:val="auto"/>
          <w:highlight w:val="none"/>
        </w:rPr>
        <w:t>处理，磋商小组应告知有关</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未通过审查的原因，</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不得通过修正或撤销不符之处而使其成为实质上响应。</w:t>
      </w:r>
    </w:p>
    <w:p w14:paraId="283792E5">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-1响应文件的符合性出现下列情况者（但不限于），按无效响应处理：</w:t>
      </w:r>
    </w:p>
    <w:p w14:paraId="627BB15D">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-1-1响应文件未按磋商文件要求填写、签署、盖章的;</w:t>
      </w:r>
    </w:p>
    <w:p w14:paraId="62C06BA1">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-1-2供应商磋商报价超出采购预算</w:t>
      </w:r>
      <w:r>
        <w:rPr>
          <w:rFonts w:hint="eastAsia" w:ascii="宋体" w:hAnsi="宋体" w:eastAsia="宋体" w:cs="宋体"/>
          <w:color w:val="auto"/>
          <w:highlight w:val="none"/>
          <w:lang w:val="en-US" w:eastAsia="zh-CN"/>
        </w:rPr>
        <w:t>或限价</w:t>
      </w:r>
      <w:r>
        <w:rPr>
          <w:rFonts w:hint="eastAsia" w:ascii="宋体" w:hAnsi="宋体" w:eastAsia="宋体" w:cs="宋体"/>
          <w:color w:val="auto"/>
          <w:highlight w:val="none"/>
        </w:rPr>
        <w:t>的;</w:t>
      </w:r>
    </w:p>
    <w:p w14:paraId="2B00CB98">
      <w:pPr>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-1-3供应商的报价</w:t>
      </w:r>
      <w:r>
        <w:rPr>
          <w:rFonts w:hint="eastAsia" w:ascii="宋体" w:hAnsi="宋体" w:eastAsia="宋体" w:cs="宋体"/>
          <w:color w:val="auto"/>
          <w:highlight w:val="none"/>
          <w:lang w:val="zh-CN"/>
        </w:rPr>
        <w:t>明显低于其他通过符合性审查供应商的报价，有可能影响</w:t>
      </w:r>
      <w:r>
        <w:rPr>
          <w:rFonts w:hint="eastAsia" w:ascii="宋体" w:hAnsi="宋体" w:eastAsia="宋体" w:cs="宋体"/>
          <w:color w:val="auto"/>
          <w:highlight w:val="none"/>
        </w:rPr>
        <w:t>项目</w:t>
      </w:r>
      <w:r>
        <w:rPr>
          <w:rFonts w:hint="eastAsia" w:ascii="宋体" w:hAnsi="宋体" w:eastAsia="宋体" w:cs="宋体"/>
          <w:color w:val="auto"/>
          <w:highlight w:val="none"/>
          <w:lang w:val="zh-CN"/>
        </w:rPr>
        <w:t>质量或者不能诚信履约的，且</w:t>
      </w:r>
      <w:r>
        <w:rPr>
          <w:rFonts w:hint="eastAsia" w:ascii="宋体" w:hAnsi="宋体" w:eastAsia="宋体" w:cs="宋体"/>
          <w:color w:val="auto"/>
          <w:highlight w:val="none"/>
        </w:rPr>
        <w:t>供应商</w:t>
      </w:r>
      <w:r>
        <w:rPr>
          <w:rFonts w:hint="eastAsia" w:ascii="宋体" w:hAnsi="宋体" w:eastAsia="宋体" w:cs="宋体"/>
          <w:color w:val="auto"/>
          <w:highlight w:val="none"/>
          <w:lang w:val="zh-CN"/>
        </w:rPr>
        <w:t>不能证明其报价合理性的。</w:t>
      </w:r>
    </w:p>
    <w:p w14:paraId="21A1EE25">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-1-4无响应有效期或有效期达不到磋商文件的要求；</w:t>
      </w:r>
    </w:p>
    <w:p w14:paraId="3851AB48">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-1-5 响应文件的</w:t>
      </w:r>
      <w:r>
        <w:rPr>
          <w:rFonts w:hint="eastAsia" w:ascii="宋体" w:hAnsi="宋体" w:eastAsia="宋体" w:cs="宋体"/>
          <w:color w:val="auto"/>
          <w:highlight w:val="none"/>
          <w:lang w:val="en-US" w:eastAsia="zh-CN"/>
        </w:rPr>
        <w:t>服务期限</w:t>
      </w:r>
      <w:r>
        <w:rPr>
          <w:rFonts w:hint="eastAsia" w:ascii="宋体" w:hAnsi="宋体" w:eastAsia="宋体" w:cs="宋体"/>
          <w:color w:val="auto"/>
          <w:highlight w:val="none"/>
        </w:rPr>
        <w:t>、付款形式及要求等，没有响应磋商文件；</w:t>
      </w:r>
    </w:p>
    <w:p w14:paraId="6F464D91">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-1-6 响应内容出现漏项或与采购要求不符，出现重大负偏差。</w:t>
      </w:r>
    </w:p>
    <w:p w14:paraId="497FBB74">
      <w:pPr>
        <w:widowControl/>
        <w:ind w:firstLine="480"/>
        <w:jc w:val="left"/>
        <w:rPr>
          <w:rFonts w:hint="eastAsia" w:ascii="宋体" w:hAnsi="宋体" w:eastAsia="宋体" w:cs="宋体"/>
          <w:color w:val="auto"/>
          <w:highlight w:val="none"/>
        </w:rPr>
      </w:pPr>
      <w:r>
        <w:rPr>
          <w:rFonts w:hint="eastAsia" w:ascii="宋体" w:hAnsi="宋体" w:eastAsia="宋体" w:cs="宋体"/>
          <w:color w:val="auto"/>
        </w:rPr>
        <w:t>1-1-7响应文件未按磋商文件要求响应中小企业政策规定的；</w:t>
      </w:r>
    </w:p>
    <w:p w14:paraId="6088E03C">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8存在其它不符合法律法规或磋商文件规定的投标无效条款。</w:t>
      </w:r>
    </w:p>
    <w:p w14:paraId="5C2A4673">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、响应文件的澄清</w:t>
      </w:r>
    </w:p>
    <w:p w14:paraId="6B5E990A">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A38FB68">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-2磋商小组要求供应商澄清、说明或者更正响应文件应当以书面形式作出。供应商的澄清、说明或者更正应当由法定代表人或其授权代表签字或者加盖公章。</w:t>
      </w:r>
    </w:p>
    <w:p w14:paraId="1FF79429">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、磋商小组所有成员应当集中与单一供应商分别进行磋商，并给予所有参加磋商的供应商平等的磋商机会。</w:t>
      </w:r>
    </w:p>
    <w:p w14:paraId="10D31213">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63AA0C50">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、已提交响应文件的供应商，在提交最后报价之前，可以根据磋商情况退出磋商。</w:t>
      </w:r>
    </w:p>
    <w:p w14:paraId="572B1DC2">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磋商结束后磋商小组应当要求所有实质性响应且继续参加磋商的供应商在规定时间内提交最后报价，该报价不予公开，提交最后报价的供应商不得少于3家。采用竞争性磋商采购方式组织实施的市场竞争不充分的科研项目、需要扶持的科技成果转化项目，以及政府购买服务项目(含政府和社会资本合作项目)，符合要求的供应商(社会资本)只有2家的，提交最后报价的供应商可以为2家。</w:t>
      </w:r>
    </w:p>
    <w:p w14:paraId="618765FA">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、经磋商确定最终采购需求和提交最后报价的供应商后，由磋商小组采用综合评分法对提交最后报价的供应商的响应文件和最后报价进行综合评分。</w:t>
      </w:r>
    </w:p>
    <w:p w14:paraId="7DB72637">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、磋商小组在评审过程中，发现响应文件出现下列情况之一者，按以下原则修正，修正后的报价经供应商确认后产生约束力，供应商不确认的，其响应无效。</w:t>
      </w:r>
    </w:p>
    <w:p w14:paraId="5DC53B77">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8-1响应文件中磋商报价一览表内容与响应文件中其他部分相应内容表述不一致的，以磋商报价一览表为准；</w:t>
      </w:r>
    </w:p>
    <w:p w14:paraId="7776E622">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8-2大写金额与小写金额不一致的，以大写金额为准；</w:t>
      </w:r>
    </w:p>
    <w:p w14:paraId="6AC11649">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8-3单价金额小数点或者百分比有明显错位的，以总价为准，并修改单价；</w:t>
      </w:r>
    </w:p>
    <w:p w14:paraId="1E111731">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8-4总价金额与按单价汇总金额不一致的，以单价金额计算结果为准；</w:t>
      </w:r>
    </w:p>
    <w:p w14:paraId="68AAAD47">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8-5对不同文字文本响应文件的解释发生异议的，以中文文本为准；</w:t>
      </w:r>
    </w:p>
    <w:p w14:paraId="33CF5715">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8-6文字与图表不一致的，以文字为准；</w:t>
      </w:r>
    </w:p>
    <w:p w14:paraId="0E1CE1FD">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8-7正本与副本不一致的，以正本为准。</w:t>
      </w:r>
    </w:p>
    <w:p w14:paraId="4BB05D86">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、比较与评价</w:t>
      </w:r>
    </w:p>
    <w:p w14:paraId="5D573801">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-1评审时，按照磋商文件规定的评审方法和标准，对资格性审查和符合性审查合格的文件进行商务和技术评审，综合比较和评价，最低报价不</w:t>
      </w:r>
      <w:r>
        <w:rPr>
          <w:rFonts w:hint="eastAsia" w:ascii="宋体" w:hAnsi="宋体" w:eastAsia="宋体" w:cs="宋体"/>
          <w:color w:val="auto"/>
          <w:highlight w:val="none"/>
          <w:lang w:val="en-US" w:eastAsia="zh-CN"/>
        </w:rPr>
        <w:t>作</w:t>
      </w:r>
      <w:r>
        <w:rPr>
          <w:rFonts w:hint="eastAsia" w:ascii="宋体" w:hAnsi="宋体" w:eastAsia="宋体" w:cs="宋体"/>
          <w:color w:val="auto"/>
          <w:highlight w:val="none"/>
        </w:rPr>
        <w:t>为成交的唯一条件。</w:t>
      </w:r>
    </w:p>
    <w:p w14:paraId="5CDB9209">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-2采取逐项分步评审方式，每一步评审不符合者，不进入下一步评审，全部评审合格的供应商进行最后的综合评审和打分，按最后得分由高向低排序，推荐成交候选供应商。</w:t>
      </w:r>
    </w:p>
    <w:p w14:paraId="42D7F071">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 xml:space="preserve">、评审方法 </w:t>
      </w:r>
    </w:p>
    <w:p w14:paraId="26C74D6B">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10-1</w:t>
      </w:r>
      <w:r>
        <w:rPr>
          <w:rFonts w:hint="eastAsia" w:ascii="宋体" w:hAnsi="宋体" w:eastAsia="宋体" w:cs="宋体"/>
          <w:color w:val="auto"/>
          <w:highlight w:val="none"/>
        </w:rPr>
        <w:t>综合评分法（总计100分）：响应文件满足磋商文件全部实质性要求且按评审因素的量化指标评审得分最高的供应商为第一成交候选供应商。</w:t>
      </w:r>
    </w:p>
    <w:tbl>
      <w:tblPr>
        <w:tblStyle w:val="46"/>
        <w:tblW w:w="87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776"/>
        <w:gridCol w:w="7035"/>
      </w:tblGrid>
      <w:tr w14:paraId="7BBE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899" w:type="dxa"/>
            <w:tcBorders>
              <w:top w:val="single" w:color="auto" w:sz="4" w:space="0"/>
              <w:left w:val="single" w:color="auto" w:sz="4" w:space="0"/>
              <w:bottom w:val="single" w:color="auto" w:sz="4" w:space="0"/>
              <w:right w:val="single" w:color="auto" w:sz="4" w:space="0"/>
            </w:tcBorders>
            <w:noWrap/>
            <w:vAlign w:val="center"/>
          </w:tcPr>
          <w:p w14:paraId="16158EF7">
            <w:pPr>
              <w:spacing w:line="520" w:lineRule="exact"/>
              <w:ind w:firstLine="0" w:firstLineChars="0"/>
              <w:rPr>
                <w:rFonts w:hint="eastAsia" w:ascii="宋体" w:hAnsi="宋体" w:eastAsia="宋体" w:cs="宋体"/>
                <w:bCs/>
                <w:color w:val="auto"/>
                <w:highlight w:val="none"/>
              </w:rPr>
            </w:pPr>
            <w:r>
              <w:rPr>
                <w:rFonts w:hint="eastAsia" w:ascii="宋体" w:hAnsi="宋体" w:eastAsia="宋体" w:cs="宋体"/>
                <w:bCs/>
                <w:color w:val="auto"/>
                <w:highlight w:val="none"/>
              </w:rPr>
              <w:t>评标</w:t>
            </w:r>
          </w:p>
          <w:p w14:paraId="4B53BC62">
            <w:pPr>
              <w:spacing w:line="520" w:lineRule="exact"/>
              <w:ind w:firstLine="0" w:firstLineChars="0"/>
              <w:rPr>
                <w:rFonts w:hint="eastAsia" w:ascii="宋体" w:hAnsi="宋体" w:eastAsia="宋体" w:cs="宋体"/>
                <w:bCs/>
                <w:color w:val="auto"/>
                <w:highlight w:val="none"/>
              </w:rPr>
            </w:pPr>
            <w:r>
              <w:rPr>
                <w:rFonts w:hint="eastAsia" w:ascii="宋体" w:hAnsi="宋体" w:eastAsia="宋体" w:cs="宋体"/>
                <w:bCs/>
                <w:color w:val="auto"/>
                <w:highlight w:val="none"/>
              </w:rPr>
              <w:t>因素</w:t>
            </w:r>
          </w:p>
        </w:tc>
        <w:tc>
          <w:tcPr>
            <w:tcW w:w="776" w:type="dxa"/>
            <w:tcBorders>
              <w:top w:val="single" w:color="auto" w:sz="4" w:space="0"/>
              <w:left w:val="single" w:color="auto" w:sz="4" w:space="0"/>
              <w:bottom w:val="single" w:color="auto" w:sz="4" w:space="0"/>
              <w:right w:val="single" w:color="auto" w:sz="4" w:space="0"/>
            </w:tcBorders>
            <w:noWrap/>
            <w:vAlign w:val="center"/>
          </w:tcPr>
          <w:p w14:paraId="45C71A3D">
            <w:pPr>
              <w:spacing w:line="520" w:lineRule="exact"/>
              <w:ind w:firstLine="0" w:firstLineChars="0"/>
              <w:rPr>
                <w:rFonts w:hint="eastAsia" w:ascii="宋体" w:hAnsi="宋体" w:eastAsia="宋体" w:cs="宋体"/>
                <w:bCs/>
                <w:color w:val="auto"/>
                <w:highlight w:val="none"/>
              </w:rPr>
            </w:pPr>
            <w:r>
              <w:rPr>
                <w:rFonts w:hint="eastAsia" w:ascii="宋体" w:hAnsi="宋体" w:eastAsia="宋体" w:cs="宋体"/>
                <w:bCs/>
                <w:color w:val="auto"/>
                <w:highlight w:val="none"/>
              </w:rPr>
              <w:t>分值</w:t>
            </w:r>
          </w:p>
        </w:tc>
        <w:tc>
          <w:tcPr>
            <w:tcW w:w="7035" w:type="dxa"/>
            <w:tcBorders>
              <w:top w:val="single" w:color="auto" w:sz="4" w:space="0"/>
              <w:left w:val="single" w:color="auto" w:sz="4" w:space="0"/>
              <w:bottom w:val="single" w:color="auto" w:sz="4" w:space="0"/>
              <w:right w:val="single" w:color="auto" w:sz="4" w:space="0"/>
            </w:tcBorders>
            <w:noWrap/>
            <w:vAlign w:val="center"/>
          </w:tcPr>
          <w:p w14:paraId="7B5B5A76">
            <w:pPr>
              <w:spacing w:line="520" w:lineRule="exact"/>
              <w:jc w:val="center"/>
              <w:rPr>
                <w:rFonts w:hint="eastAsia" w:ascii="宋体" w:hAnsi="宋体" w:eastAsia="宋体" w:cs="宋体"/>
                <w:bCs/>
                <w:color w:val="auto"/>
                <w:highlight w:val="none"/>
              </w:rPr>
            </w:pPr>
            <w:r>
              <w:rPr>
                <w:rFonts w:hint="eastAsia" w:ascii="宋体" w:hAnsi="宋体" w:eastAsia="宋体" w:cs="宋体"/>
                <w:bCs/>
                <w:color w:val="auto"/>
                <w:highlight w:val="none"/>
              </w:rPr>
              <w:t>赋分标准</w:t>
            </w:r>
          </w:p>
        </w:tc>
      </w:tr>
      <w:tr w14:paraId="521A0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2" w:hRule="atLeast"/>
          <w:jc w:val="center"/>
        </w:trPr>
        <w:tc>
          <w:tcPr>
            <w:tcW w:w="899" w:type="dxa"/>
            <w:tcBorders>
              <w:top w:val="single" w:color="auto" w:sz="4" w:space="0"/>
              <w:left w:val="single" w:color="auto" w:sz="4" w:space="0"/>
              <w:bottom w:val="single" w:color="auto" w:sz="4" w:space="0"/>
              <w:right w:val="single" w:color="auto" w:sz="4" w:space="0"/>
            </w:tcBorders>
            <w:noWrap/>
            <w:vAlign w:val="center"/>
          </w:tcPr>
          <w:p w14:paraId="3043A269">
            <w:pPr>
              <w:spacing w:line="520" w:lineRule="exact"/>
              <w:ind w:firstLine="0" w:firstLineChars="0"/>
              <w:rPr>
                <w:rFonts w:hint="eastAsia" w:ascii="宋体" w:hAnsi="宋体" w:eastAsia="宋体" w:cs="宋体"/>
                <w:bCs/>
                <w:color w:val="auto"/>
                <w:highlight w:val="none"/>
              </w:rPr>
            </w:pPr>
            <w:r>
              <w:rPr>
                <w:rFonts w:hint="eastAsia" w:ascii="宋体" w:hAnsi="宋体" w:eastAsia="宋体" w:cs="宋体"/>
                <w:bCs/>
                <w:color w:val="auto"/>
                <w:highlight w:val="none"/>
              </w:rPr>
              <w:t>价格</w:t>
            </w:r>
          </w:p>
        </w:tc>
        <w:tc>
          <w:tcPr>
            <w:tcW w:w="776" w:type="dxa"/>
            <w:tcBorders>
              <w:top w:val="single" w:color="auto" w:sz="4" w:space="0"/>
              <w:left w:val="single" w:color="auto" w:sz="4" w:space="0"/>
              <w:bottom w:val="single" w:color="auto" w:sz="4" w:space="0"/>
              <w:right w:val="single" w:color="auto" w:sz="4" w:space="0"/>
            </w:tcBorders>
            <w:noWrap/>
            <w:vAlign w:val="center"/>
          </w:tcPr>
          <w:p w14:paraId="3191F28D">
            <w:pPr>
              <w:spacing w:line="520" w:lineRule="exact"/>
              <w:ind w:firstLine="0" w:firstLineChars="0"/>
              <w:rPr>
                <w:rFonts w:hint="eastAsia" w:ascii="宋体" w:hAnsi="宋体" w:eastAsia="宋体" w:cs="宋体"/>
                <w:bCs/>
                <w:color w:val="auto"/>
                <w:highlight w:val="none"/>
              </w:rPr>
            </w:pPr>
            <w:r>
              <w:rPr>
                <w:rFonts w:hint="eastAsia" w:ascii="宋体" w:hAnsi="宋体" w:eastAsia="宋体" w:cs="宋体"/>
                <w:bCs/>
                <w:color w:val="auto"/>
                <w:highlight w:val="none"/>
              </w:rPr>
              <w:t>1</w:t>
            </w:r>
            <w:r>
              <w:rPr>
                <w:rFonts w:hint="eastAsia" w:ascii="宋体" w:hAnsi="宋体" w:eastAsia="宋体" w:cs="宋体"/>
                <w:bCs/>
                <w:color w:val="auto"/>
                <w:highlight w:val="none"/>
                <w:lang w:val="en-US" w:eastAsia="zh-CN"/>
              </w:rPr>
              <w:t>5</w:t>
            </w:r>
            <w:r>
              <w:rPr>
                <w:rFonts w:hint="eastAsia" w:ascii="宋体" w:hAnsi="宋体" w:eastAsia="宋体" w:cs="宋体"/>
                <w:bCs/>
                <w:color w:val="auto"/>
                <w:highlight w:val="none"/>
              </w:rPr>
              <w:t>分</w:t>
            </w:r>
          </w:p>
        </w:tc>
        <w:tc>
          <w:tcPr>
            <w:tcW w:w="7035" w:type="dxa"/>
            <w:tcBorders>
              <w:top w:val="single" w:color="auto" w:sz="4" w:space="0"/>
              <w:left w:val="single" w:color="auto" w:sz="4" w:space="0"/>
              <w:bottom w:val="single" w:color="auto" w:sz="4" w:space="0"/>
              <w:right w:val="single" w:color="auto" w:sz="4" w:space="0"/>
            </w:tcBorders>
            <w:noWrap/>
            <w:vAlign w:val="center"/>
          </w:tcPr>
          <w:p w14:paraId="439937A3">
            <w:pPr>
              <w:spacing w:line="520" w:lineRule="exact"/>
              <w:rPr>
                <w:rFonts w:hint="eastAsia" w:ascii="宋体" w:hAnsi="宋体" w:eastAsia="宋体" w:cs="宋体"/>
                <w:color w:val="auto"/>
              </w:rPr>
            </w:pPr>
            <w:r>
              <w:rPr>
                <w:rFonts w:hint="eastAsia" w:ascii="宋体" w:hAnsi="宋体" w:eastAsia="宋体" w:cs="宋体"/>
                <w:color w:val="auto"/>
              </w:rPr>
              <w:t>满足磋商文件要求且最后报价最低的供应商的价格为磋商基准价，其价格分为满分。其他供应商的价格分统一按照下列公式计算：</w:t>
            </w:r>
          </w:p>
          <w:p w14:paraId="77C83D22">
            <w:pPr>
              <w:spacing w:line="520" w:lineRule="exact"/>
              <w:rPr>
                <w:rFonts w:hint="eastAsia" w:ascii="宋体" w:hAnsi="宋体" w:eastAsia="宋体" w:cs="宋体"/>
                <w:color w:val="auto"/>
              </w:rPr>
            </w:pPr>
            <w:r>
              <w:rPr>
                <w:rFonts w:hint="eastAsia" w:ascii="宋体" w:hAnsi="宋体" w:eastAsia="宋体" w:cs="宋体"/>
                <w:color w:val="auto"/>
              </w:rPr>
              <w:t>磋商报价得分=（磋商基准价/最后磋商报价）×价格权值×100</w:t>
            </w:r>
          </w:p>
        </w:tc>
      </w:tr>
      <w:tr w14:paraId="3A189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899" w:type="dxa"/>
            <w:vMerge w:val="restart"/>
            <w:tcBorders>
              <w:top w:val="single" w:color="auto" w:sz="4" w:space="0"/>
              <w:left w:val="single" w:color="auto" w:sz="4" w:space="0"/>
              <w:bottom w:val="single" w:color="auto" w:sz="4" w:space="0"/>
              <w:right w:val="single" w:color="auto" w:sz="4" w:space="0"/>
            </w:tcBorders>
            <w:noWrap/>
            <w:vAlign w:val="center"/>
          </w:tcPr>
          <w:p w14:paraId="036E591E">
            <w:pPr>
              <w:spacing w:line="520" w:lineRule="exact"/>
              <w:ind w:firstLine="0" w:firstLineChars="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服务</w:t>
            </w:r>
          </w:p>
          <w:p w14:paraId="15EF9828">
            <w:pPr>
              <w:spacing w:line="520" w:lineRule="exact"/>
              <w:ind w:firstLine="0" w:firstLineChars="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技术</w:t>
            </w:r>
          </w:p>
          <w:p w14:paraId="2F12AA3D">
            <w:pPr>
              <w:spacing w:line="520" w:lineRule="exact"/>
              <w:ind w:firstLine="0" w:firstLineChars="0"/>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能力</w:t>
            </w:r>
          </w:p>
          <w:p w14:paraId="0D729D8D">
            <w:pPr>
              <w:spacing w:line="520" w:lineRule="exact"/>
              <w:ind w:firstLine="0" w:firstLineChars="0"/>
              <w:jc w:val="center"/>
              <w:rPr>
                <w:rFonts w:hint="eastAsia" w:ascii="宋体" w:hAnsi="宋体" w:eastAsia="宋体" w:cs="宋体"/>
                <w:bCs/>
                <w:color w:val="auto"/>
                <w:highlight w:val="none"/>
              </w:rPr>
            </w:pPr>
          </w:p>
        </w:tc>
        <w:tc>
          <w:tcPr>
            <w:tcW w:w="776" w:type="dxa"/>
            <w:tcBorders>
              <w:top w:val="single" w:color="auto" w:sz="4" w:space="0"/>
              <w:left w:val="single" w:color="auto" w:sz="4" w:space="0"/>
              <w:bottom w:val="single" w:color="auto" w:sz="4" w:space="0"/>
              <w:right w:val="single" w:color="auto" w:sz="4" w:space="0"/>
            </w:tcBorders>
            <w:noWrap/>
            <w:vAlign w:val="center"/>
          </w:tcPr>
          <w:p w14:paraId="559BC114">
            <w:pPr>
              <w:keepNext w:val="0"/>
              <w:keepLines w:val="0"/>
              <w:pageBreakBefore w:val="0"/>
              <w:widowControl/>
              <w:kinsoku/>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Cs/>
                <w:color w:val="auto"/>
                <w:highlight w:val="none"/>
              </w:rPr>
            </w:pPr>
            <w:r>
              <w:rPr>
                <w:rFonts w:hint="eastAsia" w:ascii="宋体" w:hAnsi="宋体" w:eastAsia="宋体" w:cs="宋体"/>
                <w:color w:val="auto"/>
                <w:sz w:val="24"/>
                <w:szCs w:val="24"/>
                <w:lang w:val="en-US" w:eastAsia="zh-CN"/>
              </w:rPr>
              <w:t>16分</w:t>
            </w:r>
          </w:p>
        </w:tc>
        <w:tc>
          <w:tcPr>
            <w:tcW w:w="7035" w:type="dxa"/>
            <w:tcBorders>
              <w:top w:val="single" w:color="auto" w:sz="4" w:space="0"/>
              <w:left w:val="single" w:color="auto" w:sz="4" w:space="0"/>
              <w:bottom w:val="single" w:color="auto" w:sz="4" w:space="0"/>
              <w:right w:val="single" w:color="auto" w:sz="4" w:space="0"/>
            </w:tcBorders>
            <w:noWrap/>
            <w:vAlign w:val="center"/>
          </w:tcPr>
          <w:p w14:paraId="393909CC">
            <w:pPr>
              <w:pStyle w:val="3"/>
              <w:ind w:left="0" w:leftChars="0" w:firstLine="480" w:firstLineChars="20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针对本项目制定详细</w:t>
            </w:r>
            <w:r>
              <w:rPr>
                <w:rFonts w:hint="eastAsia" w:ascii="宋体" w:hAnsi="宋体" w:eastAsia="宋体" w:cs="宋体"/>
                <w:color w:val="auto"/>
                <w:highlight w:val="none"/>
                <w:lang w:val="en-US" w:eastAsia="zh-CN"/>
              </w:rPr>
              <w:t>的检测服务方案</w:t>
            </w:r>
            <w:r>
              <w:rPr>
                <w:rFonts w:hint="eastAsia" w:ascii="宋体" w:hAnsi="宋体" w:eastAsia="宋体" w:cs="宋体"/>
                <w:color w:val="auto"/>
                <w:highlight w:val="none"/>
                <w:lang w:val="zh-CN" w:eastAsia="zh-CN"/>
              </w:rPr>
              <w:t>，包括①工作部署</w:t>
            </w:r>
            <w:r>
              <w:rPr>
                <w:rFonts w:hint="eastAsia" w:ascii="宋体" w:hAnsi="宋体" w:eastAsia="宋体" w:cs="宋体"/>
                <w:color w:val="auto"/>
                <w:highlight w:val="none"/>
                <w:lang w:val="en-US" w:eastAsia="zh-CN"/>
              </w:rPr>
              <w:t>及工作方法</w:t>
            </w:r>
            <w:r>
              <w:rPr>
                <w:rFonts w:hint="eastAsia" w:ascii="宋体" w:hAnsi="宋体" w:eastAsia="宋体" w:cs="宋体"/>
                <w:color w:val="auto"/>
                <w:highlight w:val="none"/>
                <w:lang w:val="zh-CN" w:eastAsia="zh-CN"/>
              </w:rPr>
              <w:t>；②样品接收及核查；③预防性管理方法；④</w:t>
            </w:r>
            <w:r>
              <w:rPr>
                <w:rFonts w:hint="eastAsia" w:ascii="宋体" w:hAnsi="宋体" w:eastAsia="宋体" w:cs="宋体"/>
                <w:color w:val="auto"/>
                <w:highlight w:val="none"/>
                <w:lang w:val="en-US" w:eastAsia="zh-CN"/>
              </w:rPr>
              <w:t>报告送达时间及送达方案</w:t>
            </w:r>
            <w:r>
              <w:rPr>
                <w:rFonts w:hint="eastAsia" w:ascii="宋体" w:hAnsi="宋体" w:eastAsia="宋体" w:cs="宋体"/>
                <w:color w:val="auto"/>
                <w:highlight w:val="none"/>
                <w:lang w:val="zh-CN" w:eastAsia="zh-CN"/>
              </w:rPr>
              <w:t>。</w:t>
            </w:r>
          </w:p>
          <w:p w14:paraId="43C00601">
            <w:pPr>
              <w:pStyle w:val="3"/>
              <w:ind w:left="0" w:leftChars="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评审标准：以上内容切合本项目实际情况及实施要求，</w:t>
            </w:r>
            <w:r>
              <w:rPr>
                <w:rFonts w:hint="eastAsia" w:ascii="宋体" w:hAnsi="宋体" w:eastAsia="宋体" w:cs="宋体"/>
                <w:color w:val="auto"/>
                <w:lang w:val="en-US" w:eastAsia="zh-CN"/>
              </w:rPr>
              <w:t>内容准确、全面，技术先进，思路清晰，逻辑严密，符合相关规范及地方法规要求，有较强的指导性及可操作性。</w:t>
            </w:r>
            <w:r>
              <w:rPr>
                <w:rFonts w:hint="eastAsia" w:ascii="宋体" w:hAnsi="宋体" w:eastAsia="宋体" w:cs="宋体"/>
                <w:color w:val="auto"/>
                <w:highlight w:val="none"/>
                <w:lang w:val="en-US" w:eastAsia="zh-CN"/>
              </w:rPr>
              <w:t xml:space="preserve">内容与要点相符、每个要点均有展开详细的阐述且能够适用于本项目的计16分。评审内容任意一项缺项扣4分，评审内容任意一项有缺陷，每个缺陷扣1分，扣完为止。 </w:t>
            </w:r>
          </w:p>
          <w:p w14:paraId="59A72FA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未提供或只有标题没有实质性内容的不得分</w:t>
            </w:r>
            <w:r>
              <w:rPr>
                <w:rFonts w:hint="eastAsia" w:ascii="宋体" w:hAnsi="宋体" w:eastAsia="宋体" w:cs="宋体"/>
                <w:color w:val="auto"/>
              </w:rPr>
              <w:t>。</w:t>
            </w:r>
          </w:p>
        </w:tc>
      </w:tr>
      <w:tr w14:paraId="6220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899" w:type="dxa"/>
            <w:vMerge w:val="continue"/>
            <w:tcBorders>
              <w:top w:val="single" w:color="auto" w:sz="4" w:space="0"/>
              <w:left w:val="single" w:color="auto" w:sz="4" w:space="0"/>
              <w:bottom w:val="single" w:color="auto" w:sz="4" w:space="0"/>
              <w:right w:val="single" w:color="auto" w:sz="4" w:space="0"/>
            </w:tcBorders>
            <w:noWrap/>
            <w:vAlign w:val="center"/>
          </w:tcPr>
          <w:p w14:paraId="64EDEFFA">
            <w:pPr>
              <w:rPr>
                <w:rFonts w:hint="eastAsia" w:ascii="宋体" w:hAnsi="宋体" w:eastAsia="宋体" w:cs="宋体"/>
                <w:color w:val="auto"/>
                <w:highlight w:val="none"/>
              </w:rPr>
            </w:pPr>
          </w:p>
        </w:tc>
        <w:tc>
          <w:tcPr>
            <w:tcW w:w="7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BF8CFD">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6分</w:t>
            </w:r>
          </w:p>
        </w:tc>
        <w:tc>
          <w:tcPr>
            <w:tcW w:w="7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776E9B">
            <w:pPr>
              <w:pStyle w:val="242"/>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供应商建立和实施与实际情况相适应的实验室管理体系，具备完整适用的体系文件，至少包括：①质量手册；②程序文件；③作业指导书。</w:t>
            </w:r>
          </w:p>
          <w:p w14:paraId="1AFB7C37">
            <w:pPr>
              <w:pStyle w:val="3"/>
              <w:ind w:left="0" w:leftChars="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评审标准：以上内容切合本项目实际情况及实施要求，</w:t>
            </w:r>
            <w:r>
              <w:rPr>
                <w:rFonts w:hint="eastAsia" w:ascii="宋体" w:hAnsi="宋体" w:eastAsia="宋体" w:cs="宋体"/>
                <w:color w:val="auto"/>
                <w:lang w:val="en-US" w:eastAsia="zh-CN"/>
              </w:rPr>
              <w:t>内容准确、全面，技术先进，思路清晰，逻辑严密，符合相关规范及地方法规要求，有较强的指导性及可操作性。</w:t>
            </w:r>
            <w:r>
              <w:rPr>
                <w:rFonts w:hint="eastAsia" w:ascii="宋体" w:hAnsi="宋体" w:eastAsia="宋体" w:cs="宋体"/>
                <w:color w:val="auto"/>
                <w:highlight w:val="none"/>
                <w:lang w:val="en-US" w:eastAsia="zh-CN"/>
              </w:rPr>
              <w:t xml:space="preserve">内容与要点相符、每个要点均有展开详细的阐述且能够适用于本项目的计6分。评审内容任意一项缺项扣2分，评审内容任意一项有缺陷，每个缺陷扣1分，扣完为止。 </w:t>
            </w:r>
          </w:p>
          <w:p w14:paraId="5AED6D2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highlight w:val="none"/>
                <w:lang w:val="en-US" w:eastAsia="zh-CN"/>
              </w:rPr>
              <w:t>未提供或只有标题没有实质性内容的不得分</w:t>
            </w:r>
            <w:r>
              <w:rPr>
                <w:rFonts w:hint="eastAsia" w:ascii="宋体" w:hAnsi="宋体" w:eastAsia="宋体" w:cs="宋体"/>
                <w:color w:val="auto"/>
              </w:rPr>
              <w:t>。</w:t>
            </w:r>
          </w:p>
        </w:tc>
      </w:tr>
      <w:tr w14:paraId="7F9B7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899" w:type="dxa"/>
            <w:vMerge w:val="continue"/>
            <w:tcBorders>
              <w:top w:val="single" w:color="auto" w:sz="4" w:space="0"/>
              <w:left w:val="single" w:color="auto" w:sz="4" w:space="0"/>
              <w:bottom w:val="single" w:color="auto" w:sz="4" w:space="0"/>
              <w:right w:val="single" w:color="auto" w:sz="4" w:space="0"/>
            </w:tcBorders>
            <w:noWrap/>
            <w:vAlign w:val="center"/>
          </w:tcPr>
          <w:p w14:paraId="5E6F61CF">
            <w:pPr>
              <w:rPr>
                <w:rFonts w:hint="eastAsia" w:ascii="宋体" w:hAnsi="宋体" w:eastAsia="宋体" w:cs="宋体"/>
                <w:color w:val="auto"/>
                <w:highlight w:val="none"/>
              </w:rPr>
            </w:pPr>
          </w:p>
        </w:tc>
        <w:tc>
          <w:tcPr>
            <w:tcW w:w="7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266058">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6分</w:t>
            </w:r>
          </w:p>
        </w:tc>
        <w:tc>
          <w:tcPr>
            <w:tcW w:w="7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C955B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供应商的项目保障措施，包括①样品检测报告的准确性；②各级抽检系统熟练运用；③</w:t>
            </w:r>
            <w:r>
              <w:rPr>
                <w:rFonts w:hint="eastAsia" w:ascii="宋体" w:hAnsi="宋体" w:eastAsia="宋体" w:cs="宋体"/>
                <w:color w:val="auto"/>
                <w:sz w:val="24"/>
                <w:szCs w:val="24"/>
                <w:lang w:val="zh-CN"/>
              </w:rPr>
              <w:t>保密方案。</w:t>
            </w:r>
          </w:p>
          <w:p w14:paraId="02407FBA">
            <w:pPr>
              <w:pStyle w:val="3"/>
              <w:ind w:left="0" w:leftChars="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评审标准：以上内容切合本项目实际情况及实施要求，</w:t>
            </w:r>
            <w:r>
              <w:rPr>
                <w:rFonts w:hint="eastAsia" w:ascii="宋体" w:hAnsi="宋体" w:eastAsia="宋体" w:cs="宋体"/>
                <w:color w:val="auto"/>
                <w:lang w:val="en-US" w:eastAsia="zh-CN"/>
              </w:rPr>
              <w:t>内容准确、全面，技术先进，思路清晰，逻辑严密，符合相关规范及地方法规要求，有较强的指导性及可操作性。</w:t>
            </w:r>
            <w:r>
              <w:rPr>
                <w:rFonts w:hint="eastAsia" w:ascii="宋体" w:hAnsi="宋体" w:eastAsia="宋体" w:cs="宋体"/>
                <w:color w:val="auto"/>
                <w:highlight w:val="none"/>
                <w:lang w:val="en-US" w:eastAsia="zh-CN"/>
              </w:rPr>
              <w:t xml:space="preserve">内容与要点相符、每个要点均有展开详细的阐述且能够适用于本项目的计6分。评审内容任意一项缺项扣2分，评审内容任意一项有缺陷，每个缺陷扣1分，扣完为止。 </w:t>
            </w:r>
          </w:p>
          <w:p w14:paraId="78AB1F5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highlight w:val="none"/>
                <w:lang w:val="en-US" w:eastAsia="zh-CN"/>
              </w:rPr>
              <w:t>未提供或只有标题没有实质性内容的不得分</w:t>
            </w:r>
            <w:r>
              <w:rPr>
                <w:rFonts w:hint="eastAsia" w:ascii="宋体" w:hAnsi="宋体" w:eastAsia="宋体" w:cs="宋体"/>
                <w:color w:val="auto"/>
              </w:rPr>
              <w:t>。</w:t>
            </w:r>
          </w:p>
        </w:tc>
      </w:tr>
      <w:tr w14:paraId="3672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9" w:hRule="atLeast"/>
          <w:jc w:val="center"/>
        </w:trPr>
        <w:tc>
          <w:tcPr>
            <w:tcW w:w="899" w:type="dxa"/>
            <w:vMerge w:val="continue"/>
            <w:tcBorders>
              <w:top w:val="single" w:color="auto" w:sz="4" w:space="0"/>
              <w:left w:val="single" w:color="auto" w:sz="4" w:space="0"/>
              <w:bottom w:val="single" w:color="auto" w:sz="4" w:space="0"/>
              <w:right w:val="single" w:color="auto" w:sz="4" w:space="0"/>
            </w:tcBorders>
            <w:noWrap/>
            <w:vAlign w:val="center"/>
          </w:tcPr>
          <w:p w14:paraId="1990B85B">
            <w:pPr>
              <w:rPr>
                <w:rFonts w:hint="eastAsia" w:ascii="宋体" w:hAnsi="宋体" w:eastAsia="宋体" w:cs="宋体"/>
                <w:color w:val="auto"/>
                <w:highlight w:val="none"/>
              </w:rPr>
            </w:pPr>
          </w:p>
        </w:tc>
        <w:tc>
          <w:tcPr>
            <w:tcW w:w="776" w:type="dxa"/>
            <w:tcBorders>
              <w:top w:val="single" w:color="auto" w:sz="4" w:space="0"/>
              <w:left w:val="single" w:color="auto" w:sz="4" w:space="0"/>
              <w:bottom w:val="single" w:color="auto" w:sz="4" w:space="0"/>
              <w:right w:val="single" w:color="auto" w:sz="4" w:space="0"/>
            </w:tcBorders>
            <w:noWrap/>
            <w:vAlign w:val="center"/>
          </w:tcPr>
          <w:p w14:paraId="14C6D17E">
            <w:pPr>
              <w:spacing w:line="520" w:lineRule="exact"/>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bCs/>
                <w:color w:val="auto"/>
                <w:highlight w:val="none"/>
                <w:lang w:val="en-US" w:eastAsia="zh-CN"/>
              </w:rPr>
              <w:t>6分</w:t>
            </w:r>
          </w:p>
        </w:tc>
        <w:tc>
          <w:tcPr>
            <w:tcW w:w="7035" w:type="dxa"/>
            <w:tcBorders>
              <w:top w:val="single" w:color="auto" w:sz="4" w:space="0"/>
              <w:left w:val="single" w:color="auto" w:sz="4" w:space="0"/>
              <w:bottom w:val="single" w:color="auto" w:sz="4" w:space="0"/>
              <w:right w:val="single" w:color="auto" w:sz="4" w:space="0"/>
            </w:tcBorders>
            <w:noWrap/>
            <w:vAlign w:val="center"/>
          </w:tcPr>
          <w:p w14:paraId="3209B017">
            <w:pPr>
              <w:spacing w:line="52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供应商有完善的投诉受理机制和应急预案，包括①投诉管理制度、程序及异议处理方案；②应急预案及解决措施。</w:t>
            </w:r>
          </w:p>
          <w:p w14:paraId="5FE37B21">
            <w:pPr>
              <w:spacing w:line="52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评审标准：以上内容切合本项目实际情况及实施要求，内容准确、全面，技术先进，思路清晰，逻辑严密，符合相关规范及地方法规要求，有较强的指导性及可操作性。内容与要点相符、每个要点均有展开详细的阐述且能够适用于本项目的计6分。评审内容任意一项缺项扣3分，评审内容任意一项有缺陷，每个缺陷扣1分，扣完为止。 </w:t>
            </w:r>
          </w:p>
          <w:p w14:paraId="4A87759B">
            <w:pPr>
              <w:spacing w:line="5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未提供或只有标题没有实质性内容的不得分。</w:t>
            </w:r>
          </w:p>
        </w:tc>
      </w:tr>
      <w:tr w14:paraId="58188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99" w:type="dxa"/>
            <w:vMerge w:val="continue"/>
            <w:tcBorders>
              <w:top w:val="single" w:color="auto" w:sz="4" w:space="0"/>
              <w:left w:val="single" w:color="auto" w:sz="4" w:space="0"/>
              <w:bottom w:val="single" w:color="auto" w:sz="4" w:space="0"/>
              <w:right w:val="single" w:color="auto" w:sz="4" w:space="0"/>
            </w:tcBorders>
            <w:noWrap/>
            <w:vAlign w:val="center"/>
          </w:tcPr>
          <w:p w14:paraId="57C551B2">
            <w:pPr>
              <w:rPr>
                <w:rFonts w:hint="eastAsia" w:ascii="宋体" w:hAnsi="宋体" w:eastAsia="宋体" w:cs="宋体"/>
                <w:color w:val="auto"/>
                <w:highlight w:val="none"/>
              </w:rPr>
            </w:pPr>
          </w:p>
        </w:tc>
        <w:tc>
          <w:tcPr>
            <w:tcW w:w="7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22AA53">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6分</w:t>
            </w:r>
          </w:p>
        </w:tc>
        <w:tc>
          <w:tcPr>
            <w:tcW w:w="7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27986A">
            <w:pPr>
              <w:spacing w:line="52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供应商的采样计划，包括①采样车、采样仪器配置及样品存储运输、人员安排；②</w:t>
            </w:r>
            <w:r>
              <w:rPr>
                <w:rFonts w:hint="eastAsia" w:ascii="宋体" w:hAnsi="宋体" w:eastAsia="宋体" w:cs="宋体"/>
                <w:color w:val="auto"/>
                <w:sz w:val="24"/>
                <w:szCs w:val="24"/>
                <w:lang w:val="zh-CN" w:eastAsia="zh-CN"/>
              </w:rPr>
              <w:t>计划外的采样检测需求。</w:t>
            </w:r>
          </w:p>
          <w:p w14:paraId="12A4ECE2">
            <w:pPr>
              <w:spacing w:line="52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评审标准：以上内容切合本项目实际情况及实施要求，内容准确、全面，技术先进，思路清晰，逻辑严密，符合相关规范及地方法规要求，有较强的指导性及可操作性。内容与要点相符、每个要点均有展开详细的阐述且能够适用于本项目的计6分。评审内容任意一项缺项扣3分，评审内容任意一项有缺陷，每个缺陷扣1分，扣完为止。 </w:t>
            </w:r>
          </w:p>
          <w:p w14:paraId="42D1C562">
            <w:pPr>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lang w:val="en-US" w:eastAsia="zh-CN"/>
              </w:rPr>
              <w:t>未提供或只有标题没有实质性内容的不得分。</w:t>
            </w:r>
          </w:p>
        </w:tc>
      </w:tr>
      <w:tr w14:paraId="56B38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99" w:type="dxa"/>
            <w:vMerge w:val="restart"/>
            <w:tcBorders>
              <w:top w:val="single" w:color="auto" w:sz="4" w:space="0"/>
              <w:left w:val="single" w:color="auto" w:sz="4" w:space="0"/>
              <w:right w:val="single" w:color="auto" w:sz="4" w:space="0"/>
            </w:tcBorders>
            <w:noWrap/>
            <w:vAlign w:val="center"/>
          </w:tcPr>
          <w:p w14:paraId="310EBBD1">
            <w:pPr>
              <w:spacing w:line="520" w:lineRule="exact"/>
              <w:ind w:firstLine="0" w:firstLineChars="0"/>
              <w:jc w:val="center"/>
              <w:rPr>
                <w:rFonts w:hint="eastAsia" w:ascii="宋体" w:hAnsi="宋体" w:eastAsia="宋体" w:cs="宋体"/>
                <w:bCs/>
                <w:color w:val="auto"/>
                <w:highlight w:val="none"/>
                <w:lang w:val="en-US" w:eastAsia="zh-CN"/>
              </w:rPr>
            </w:pP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en-US" w:eastAsia="zh-CN"/>
              </w:rPr>
              <w:t>保障能力</w:t>
            </w:r>
          </w:p>
        </w:tc>
        <w:tc>
          <w:tcPr>
            <w:tcW w:w="7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E181F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5分</w:t>
            </w:r>
          </w:p>
        </w:tc>
        <w:tc>
          <w:tcPr>
            <w:tcW w:w="7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3C25DD">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检验项目应当覆盖本次所列参数项目需求</w:t>
            </w:r>
            <w:r>
              <w:rPr>
                <w:rFonts w:hint="eastAsia" w:ascii="宋体" w:hAnsi="宋体" w:eastAsia="宋体" w:cs="宋体"/>
                <w:b w:val="0"/>
                <w:bCs w:val="0"/>
                <w:color w:val="auto"/>
                <w:sz w:val="24"/>
                <w:szCs w:val="24"/>
                <w:lang w:val="zh-CN"/>
              </w:rPr>
              <w:t>（以</w:t>
            </w:r>
            <w:r>
              <w:rPr>
                <w:rFonts w:hint="eastAsia" w:ascii="宋体" w:hAnsi="宋体" w:eastAsia="宋体" w:cs="宋体"/>
                <w:color w:val="auto"/>
                <w:sz w:val="24"/>
                <w:szCs w:val="24"/>
                <w:lang w:val="zh-CN"/>
              </w:rPr>
              <w:t>CMA</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lang w:val="zh-CN"/>
              </w:rPr>
              <w:t>CATL</w:t>
            </w:r>
            <w:r>
              <w:rPr>
                <w:rFonts w:hint="eastAsia" w:ascii="宋体" w:hAnsi="宋体" w:eastAsia="宋体" w:cs="宋体"/>
                <w:b w:val="0"/>
                <w:bCs w:val="0"/>
                <w:color w:val="auto"/>
                <w:sz w:val="24"/>
                <w:szCs w:val="24"/>
                <w:lang w:val="zh-CN"/>
              </w:rPr>
              <w:t>资质证书认定附表为准）</w:t>
            </w:r>
            <w:r>
              <w:rPr>
                <w:rFonts w:hint="eastAsia" w:ascii="宋体" w:hAnsi="宋体" w:eastAsia="宋体" w:cs="宋体"/>
                <w:color w:val="auto"/>
                <w:sz w:val="24"/>
                <w:szCs w:val="24"/>
                <w:lang w:val="zh-CN"/>
              </w:rPr>
              <w:t>，涵盖率</w:t>
            </w:r>
            <w:r>
              <w:rPr>
                <w:rFonts w:hint="eastAsia" w:ascii="宋体" w:hAnsi="宋体" w:eastAsia="宋体" w:cs="宋体"/>
                <w:color w:val="auto"/>
                <w:sz w:val="24"/>
                <w:szCs w:val="24"/>
                <w:lang w:val="en-US" w:eastAsia="zh-CN"/>
              </w:rPr>
              <w:t>100%</w:t>
            </w:r>
            <w:r>
              <w:rPr>
                <w:rFonts w:hint="eastAsia" w:ascii="宋体" w:hAnsi="宋体" w:eastAsia="宋体" w:cs="宋体"/>
                <w:color w:val="auto"/>
                <w:sz w:val="24"/>
                <w:szCs w:val="24"/>
                <w:lang w:val="zh-CN"/>
              </w:rPr>
              <w:t>的，得5分</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zh-CN"/>
              </w:rPr>
              <w:t>涵盖率</w:t>
            </w:r>
            <w:r>
              <w:rPr>
                <w:rFonts w:hint="eastAsia" w:ascii="宋体" w:hAnsi="宋体" w:eastAsia="宋体" w:cs="宋体"/>
                <w:color w:val="auto"/>
                <w:sz w:val="24"/>
                <w:szCs w:val="24"/>
                <w:lang w:val="en-US" w:eastAsia="zh-CN"/>
              </w:rPr>
              <w:t>&lt;100%且≧98%得3分；涵盖率&lt;98%且≧95%得1分；低于95%不得分。</w:t>
            </w:r>
          </w:p>
        </w:tc>
      </w:tr>
      <w:tr w14:paraId="0709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99" w:type="dxa"/>
            <w:vMerge w:val="continue"/>
            <w:tcBorders>
              <w:left w:val="single" w:color="auto" w:sz="4" w:space="0"/>
              <w:right w:val="single" w:color="auto" w:sz="4" w:space="0"/>
            </w:tcBorders>
            <w:noWrap/>
            <w:vAlign w:val="center"/>
          </w:tcPr>
          <w:p w14:paraId="2C791871">
            <w:pPr>
              <w:spacing w:line="520" w:lineRule="exact"/>
              <w:ind w:firstLine="0" w:firstLineChars="0"/>
              <w:jc w:val="center"/>
              <w:rPr>
                <w:rFonts w:hint="eastAsia" w:ascii="宋体" w:hAnsi="宋体" w:eastAsia="宋体" w:cs="宋体"/>
                <w:color w:val="auto"/>
                <w:sz w:val="24"/>
                <w:szCs w:val="24"/>
                <w:highlight w:val="none"/>
              </w:rPr>
            </w:pPr>
          </w:p>
        </w:tc>
        <w:tc>
          <w:tcPr>
            <w:tcW w:w="7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43E24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3分</w:t>
            </w:r>
          </w:p>
        </w:tc>
        <w:tc>
          <w:tcPr>
            <w:tcW w:w="7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705BC4">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供应商具有撰写风险分析报告经验（需提交两年内撰写的食品安全监督抽检风险分析报告），分析报告符合规范要求，计3分，未提供或不符合要求不计分</w:t>
            </w:r>
            <w:r>
              <w:rPr>
                <w:rFonts w:hint="eastAsia" w:ascii="宋体" w:hAnsi="宋体" w:eastAsia="宋体" w:cs="宋体"/>
                <w:color w:val="auto"/>
                <w:sz w:val="24"/>
                <w:szCs w:val="24"/>
                <w:lang w:val="zh-CN"/>
              </w:rPr>
              <w:t>。</w:t>
            </w:r>
          </w:p>
        </w:tc>
      </w:tr>
      <w:tr w14:paraId="29E60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899" w:type="dxa"/>
            <w:vMerge w:val="continue"/>
            <w:tcBorders>
              <w:left w:val="single" w:color="auto" w:sz="4" w:space="0"/>
              <w:right w:val="single" w:color="auto" w:sz="4" w:space="0"/>
            </w:tcBorders>
            <w:noWrap/>
            <w:vAlign w:val="center"/>
          </w:tcPr>
          <w:p w14:paraId="4CF363A2">
            <w:pPr>
              <w:rPr>
                <w:rFonts w:hint="eastAsia" w:ascii="宋体" w:hAnsi="宋体" w:eastAsia="宋体" w:cs="宋体"/>
                <w:color w:val="auto"/>
                <w:highlight w:val="none"/>
              </w:rPr>
            </w:pPr>
          </w:p>
        </w:tc>
        <w:tc>
          <w:tcPr>
            <w:tcW w:w="7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D4B047">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lang w:val="en-US" w:eastAsia="zh-CN"/>
              </w:rPr>
              <w:t>8分</w:t>
            </w:r>
          </w:p>
        </w:tc>
        <w:tc>
          <w:tcPr>
            <w:tcW w:w="7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550DF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检测仪器的技术指标、配置、功能、质量标准、检测标准符合或高于国家标准，具有本次检验要求的检测仪器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至少包括高效液相色谱仪、气相色谱仪、气相色谱质普联用仪、液相色谱质普联用仪、紫外分光光度计、原子吸收分光光度计、液相色谱-原子荧光联用仪</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离子色谱仪，</w:t>
            </w:r>
            <w:r>
              <w:rPr>
                <w:rFonts w:hint="eastAsia" w:ascii="宋体" w:hAnsi="宋体" w:eastAsia="宋体" w:cs="宋体"/>
                <w:color w:val="auto"/>
                <w:sz w:val="24"/>
                <w:szCs w:val="24"/>
                <w:highlight w:val="none"/>
              </w:rPr>
              <w:t>提供仪器设备照片、购买发票</w:t>
            </w:r>
            <w:r>
              <w:rPr>
                <w:rFonts w:hint="eastAsia" w:ascii="宋体" w:hAnsi="宋体" w:eastAsia="宋体" w:cs="宋体"/>
                <w:color w:val="auto"/>
                <w:sz w:val="24"/>
                <w:szCs w:val="24"/>
                <w:highlight w:val="none"/>
                <w:lang w:val="en-US" w:eastAsia="zh-CN"/>
              </w:rPr>
              <w:t>或检</w:t>
            </w:r>
            <w:r>
              <w:rPr>
                <w:rFonts w:hint="eastAsia" w:ascii="宋体" w:hAnsi="宋体" w:eastAsia="宋体" w:cs="宋体"/>
                <w:color w:val="auto"/>
                <w:sz w:val="24"/>
                <w:szCs w:val="24"/>
                <w:highlight w:val="none"/>
              </w:rPr>
              <w:t>定/校准报告（复印件加盖</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公章），同一类型算一个，全部提供计8分，每少一个，扣1分，扣完为止</w:t>
            </w:r>
            <w:r>
              <w:rPr>
                <w:rFonts w:hint="eastAsia" w:ascii="宋体" w:hAnsi="宋体" w:eastAsia="宋体" w:cs="宋体"/>
                <w:color w:val="auto"/>
                <w:sz w:val="24"/>
                <w:szCs w:val="24"/>
                <w:highlight w:val="none"/>
                <w:lang w:eastAsia="zh-CN"/>
              </w:rPr>
              <w:t>。</w:t>
            </w:r>
          </w:p>
        </w:tc>
      </w:tr>
      <w:tr w14:paraId="73EA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899" w:type="dxa"/>
            <w:vMerge w:val="continue"/>
            <w:tcBorders>
              <w:left w:val="single" w:color="auto" w:sz="4" w:space="0"/>
              <w:right w:val="single" w:color="auto" w:sz="4" w:space="0"/>
            </w:tcBorders>
            <w:noWrap/>
            <w:vAlign w:val="center"/>
          </w:tcPr>
          <w:p w14:paraId="67940665">
            <w:pPr>
              <w:rPr>
                <w:rFonts w:hint="eastAsia" w:ascii="宋体" w:hAnsi="宋体" w:eastAsia="宋体" w:cs="宋体"/>
                <w:color w:val="auto"/>
                <w:highlight w:val="none"/>
              </w:rPr>
            </w:pPr>
          </w:p>
        </w:tc>
        <w:tc>
          <w:tcPr>
            <w:tcW w:w="7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2F276D">
            <w:pPr>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lang w:val="en-US" w:eastAsia="zh-CN"/>
              </w:rPr>
              <w:t>6分</w:t>
            </w:r>
          </w:p>
        </w:tc>
        <w:tc>
          <w:tcPr>
            <w:tcW w:w="7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370F4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lang w:val="zh-CN" w:eastAsia="zh-CN"/>
              </w:rPr>
              <w:t>具有</w:t>
            </w:r>
            <w:r>
              <w:rPr>
                <w:rFonts w:hint="eastAsia" w:ascii="宋体" w:hAnsi="宋体" w:eastAsia="宋体" w:cs="宋体"/>
                <w:color w:val="auto"/>
                <w:sz w:val="24"/>
                <w:szCs w:val="24"/>
                <w:lang w:val="en-US" w:eastAsia="zh-CN"/>
              </w:rPr>
              <w:t>质量管理体系认证（IS09001或GB/T19001）、职业健康安全管理体系认证（OHSAS18001 或GB/T45001或IS045001）、环境管理体系认证（IS014001或GB/T24001），有一项有效的认证证书计2分，满分6分，提供证明材料复印件加盖公章。</w:t>
            </w:r>
          </w:p>
        </w:tc>
      </w:tr>
      <w:tr w14:paraId="2B7F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899" w:type="dxa"/>
            <w:vMerge w:val="continue"/>
            <w:tcBorders>
              <w:left w:val="single" w:color="auto" w:sz="4" w:space="0"/>
              <w:right w:val="single" w:color="auto" w:sz="4" w:space="0"/>
            </w:tcBorders>
            <w:noWrap/>
            <w:vAlign w:val="center"/>
          </w:tcPr>
          <w:p w14:paraId="1985BA2D">
            <w:pPr>
              <w:rPr>
                <w:rFonts w:hint="eastAsia" w:ascii="宋体" w:hAnsi="宋体" w:eastAsia="宋体" w:cs="宋体"/>
                <w:color w:val="auto"/>
                <w:highlight w:val="none"/>
              </w:rPr>
            </w:pPr>
          </w:p>
        </w:tc>
        <w:tc>
          <w:tcPr>
            <w:tcW w:w="7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F09616">
            <w:pPr>
              <w:spacing w:line="520" w:lineRule="exact"/>
              <w:ind w:firstLine="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highlight w:val="none"/>
                <w:lang w:val="en-US" w:eastAsia="zh-CN"/>
              </w:rPr>
              <w:t>3分</w:t>
            </w:r>
          </w:p>
        </w:tc>
        <w:tc>
          <w:tcPr>
            <w:tcW w:w="7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4D7CAC">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highlight w:val="none"/>
                <w:lang w:val="en-US" w:eastAsia="zh-CN"/>
              </w:rPr>
              <w:t>供应商参加2025年省或市级市场监督管理局组织的食品检验机构能力验证，以2025年市场监督管理局检查结果文件为准，结果须全部为满意或合格 (检查结果中有一处不满意或不合格的不得分）计3分。</w:t>
            </w:r>
          </w:p>
        </w:tc>
      </w:tr>
      <w:tr w14:paraId="081F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899" w:type="dxa"/>
            <w:vMerge w:val="continue"/>
            <w:tcBorders>
              <w:left w:val="single" w:color="auto" w:sz="4" w:space="0"/>
              <w:right w:val="single" w:color="auto" w:sz="4" w:space="0"/>
            </w:tcBorders>
            <w:noWrap/>
            <w:vAlign w:val="center"/>
          </w:tcPr>
          <w:p w14:paraId="1B2C40D3">
            <w:pPr>
              <w:rPr>
                <w:rFonts w:hint="eastAsia" w:ascii="宋体" w:hAnsi="宋体" w:eastAsia="宋体" w:cs="宋体"/>
                <w:color w:val="auto"/>
                <w:highlight w:val="none"/>
              </w:rPr>
            </w:pPr>
          </w:p>
        </w:tc>
        <w:tc>
          <w:tcPr>
            <w:tcW w:w="7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F61E2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10分</w:t>
            </w:r>
          </w:p>
        </w:tc>
        <w:tc>
          <w:tcPr>
            <w:tcW w:w="70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56AEC2">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sz w:val="24"/>
                <w:szCs w:val="24"/>
                <w:highlight w:val="none"/>
              </w:rPr>
              <w:t>项目人员中具备中级及以上技术职称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每提供1人计1分，</w:t>
            </w:r>
            <w:r>
              <w:rPr>
                <w:rFonts w:hint="eastAsia" w:ascii="宋体" w:hAnsi="宋体" w:eastAsia="宋体" w:cs="宋体"/>
                <w:color w:val="auto"/>
                <w:sz w:val="24"/>
                <w:szCs w:val="24"/>
                <w:highlight w:val="none"/>
                <w:lang w:val="en-US" w:eastAsia="zh-CN"/>
              </w:rPr>
              <w:t>满分10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需提供人员身份证、职称证以及在本单位所缴纳</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社会保险凭证证明材料</w:t>
            </w:r>
            <w:r>
              <w:rPr>
                <w:rFonts w:hint="eastAsia" w:ascii="宋体" w:hAnsi="宋体" w:eastAsia="宋体" w:cs="宋体"/>
                <w:color w:val="auto"/>
                <w:sz w:val="24"/>
                <w:szCs w:val="24"/>
                <w:highlight w:val="none"/>
                <w:lang w:val="en-US" w:eastAsia="zh-CN"/>
              </w:rPr>
              <w:t>复印件，退休人员提供返聘协议及退休证明材料复印件，未提供证明材料不计分。</w:t>
            </w:r>
          </w:p>
        </w:tc>
      </w:tr>
      <w:tr w14:paraId="310DF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899" w:type="dxa"/>
            <w:tcBorders>
              <w:top w:val="single" w:color="auto" w:sz="4" w:space="0"/>
              <w:left w:val="single" w:color="auto" w:sz="4" w:space="0"/>
              <w:bottom w:val="single" w:color="auto" w:sz="4" w:space="0"/>
              <w:right w:val="single" w:color="auto" w:sz="4" w:space="0"/>
            </w:tcBorders>
            <w:noWrap/>
            <w:vAlign w:val="center"/>
          </w:tcPr>
          <w:p w14:paraId="06BBBC31">
            <w:pPr>
              <w:pStyle w:val="44"/>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业绩</w:t>
            </w:r>
          </w:p>
        </w:tc>
        <w:tc>
          <w:tcPr>
            <w:tcW w:w="776" w:type="dxa"/>
            <w:tcBorders>
              <w:top w:val="single" w:color="auto" w:sz="4" w:space="0"/>
              <w:left w:val="single" w:color="auto" w:sz="4" w:space="0"/>
              <w:bottom w:val="single" w:color="auto" w:sz="4" w:space="0"/>
              <w:right w:val="single" w:color="auto" w:sz="4" w:space="0"/>
            </w:tcBorders>
            <w:noWrap/>
            <w:vAlign w:val="center"/>
          </w:tcPr>
          <w:p w14:paraId="2721E424">
            <w:pPr>
              <w:pStyle w:val="44"/>
              <w:keepNext w:val="0"/>
              <w:keepLines w:val="0"/>
              <w:pageBreakBefore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c>
          <w:tcPr>
            <w:tcW w:w="7035" w:type="dxa"/>
            <w:tcBorders>
              <w:top w:val="single" w:color="auto" w:sz="4" w:space="0"/>
              <w:left w:val="single" w:color="auto" w:sz="4" w:space="0"/>
              <w:bottom w:val="single" w:color="auto" w:sz="4" w:space="0"/>
              <w:right w:val="single" w:color="auto" w:sz="4" w:space="0"/>
            </w:tcBorders>
            <w:noWrap/>
            <w:vAlign w:val="center"/>
          </w:tcPr>
          <w:p w14:paraId="54099F8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提供自20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val="zh-CN" w:eastAsia="zh-CN"/>
              </w:rPr>
              <w:t>年1月1日至今同类（</w:t>
            </w:r>
            <w:r>
              <w:rPr>
                <w:rFonts w:hint="eastAsia" w:ascii="宋体" w:hAnsi="宋体" w:eastAsia="宋体" w:cs="宋体"/>
                <w:color w:val="auto"/>
                <w:sz w:val="24"/>
                <w:szCs w:val="24"/>
                <w:highlight w:val="none"/>
                <w:lang w:val="en-US" w:eastAsia="zh-CN"/>
              </w:rPr>
              <w:t>抽检类</w:t>
            </w:r>
            <w:r>
              <w:rPr>
                <w:rFonts w:hint="eastAsia" w:ascii="宋体" w:hAnsi="宋体" w:eastAsia="宋体" w:cs="宋体"/>
                <w:color w:val="auto"/>
                <w:sz w:val="24"/>
                <w:szCs w:val="24"/>
                <w:highlight w:val="none"/>
                <w:lang w:val="zh-CN" w:eastAsia="zh-CN"/>
              </w:rPr>
              <w:t>）项目业绩（要求不同的甲方），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文件中附有其业绩证明材料，业绩以合同为依据，每提供一个计</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分，满分</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分。</w:t>
            </w:r>
          </w:p>
          <w:p w14:paraId="672AF7AA">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eastAsia="zh-CN"/>
              </w:rPr>
              <w:t>（注：</w:t>
            </w:r>
            <w:r>
              <w:rPr>
                <w:rFonts w:hint="eastAsia" w:ascii="宋体" w:hAnsi="宋体" w:eastAsia="宋体" w:cs="宋体"/>
                <w:color w:val="auto"/>
                <w:sz w:val="24"/>
                <w:szCs w:val="24"/>
                <w:highlight w:val="none"/>
                <w:lang w:val="en-US" w:eastAsia="zh-CN"/>
              </w:rPr>
              <w:t>1、响应</w:t>
            </w:r>
            <w:r>
              <w:rPr>
                <w:rFonts w:hint="eastAsia" w:ascii="宋体" w:hAnsi="宋体" w:eastAsia="宋体" w:cs="宋体"/>
                <w:color w:val="auto"/>
                <w:sz w:val="24"/>
                <w:szCs w:val="24"/>
                <w:highlight w:val="none"/>
                <w:lang w:val="zh-CN" w:eastAsia="zh-CN"/>
              </w:rPr>
              <w:t>文件中提供复印件加盖</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公章；</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业绩以合同签订时间为准）</w:t>
            </w:r>
          </w:p>
        </w:tc>
      </w:tr>
      <w:tr w14:paraId="496F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8710" w:type="dxa"/>
            <w:gridSpan w:val="3"/>
            <w:tcBorders>
              <w:top w:val="single" w:color="auto" w:sz="4" w:space="0"/>
              <w:left w:val="single" w:color="auto" w:sz="4" w:space="0"/>
              <w:bottom w:val="single" w:color="auto" w:sz="4" w:space="0"/>
              <w:right w:val="single" w:color="auto" w:sz="4" w:space="0"/>
            </w:tcBorders>
            <w:noWrap/>
            <w:vAlign w:val="center"/>
          </w:tcPr>
          <w:p w14:paraId="78CBED6C">
            <w:pPr>
              <w:pStyle w:val="44"/>
              <w:keepNext w:val="0"/>
              <w:keepLines w:val="0"/>
              <w:pageBreakBefore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w:t>
            </w:r>
          </w:p>
          <w:p w14:paraId="27B2A941">
            <w:pPr>
              <w:pStyle w:val="44"/>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1）各磋商小组成员独立打分。</w:t>
            </w:r>
          </w:p>
          <w:p w14:paraId="07E2B23E">
            <w:pPr>
              <w:pStyle w:val="44"/>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2）响应文件如缺项，所缺相应项不得分。</w:t>
            </w:r>
          </w:p>
          <w:p w14:paraId="7F8B05C4">
            <w:pPr>
              <w:pStyle w:val="44"/>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若出现综合得分并列时，比较价格得分，此分项得分高者排序在前；若价格得分仍相同，比较技术得分，此分项得分高者排序在前；若技术得分仍相同，则由全体磋商小组成员无记名投票，得票高者排序在前。</w:t>
            </w:r>
          </w:p>
          <w:p w14:paraId="4523A045">
            <w:pPr>
              <w:pStyle w:val="44"/>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4）评审过程中，若出现特殊情况时，由磋商小组决定暂停评审，并提出具体处理意见。</w:t>
            </w:r>
          </w:p>
        </w:tc>
      </w:tr>
    </w:tbl>
    <w:p w14:paraId="2D97F005">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10-2</w:t>
      </w:r>
      <w:r>
        <w:rPr>
          <w:rFonts w:hint="eastAsia" w:ascii="宋体" w:hAnsi="宋体" w:eastAsia="宋体" w:cs="宋体"/>
          <w:color w:val="auto"/>
          <w:highlight w:val="none"/>
        </w:rPr>
        <w:t>评审时，磋商小组根据评审内容进行综合比较，独立打分，得分四舍五入保留两位小数。</w:t>
      </w:r>
    </w:p>
    <w:p w14:paraId="5F642F41">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10-3</w:t>
      </w:r>
      <w:r>
        <w:rPr>
          <w:rFonts w:hint="eastAsia" w:ascii="宋体" w:hAnsi="宋体" w:eastAsia="宋体" w:cs="宋体"/>
          <w:color w:val="auto"/>
          <w:highlight w:val="none"/>
        </w:rPr>
        <w:t>推荐成交候选供应商名单：磋商小组应当根据综合评分情况，按照评审后得分由高到低顺序排列，推荐3名成交候选供应商。市场竞争不充分的科研项目、需要扶持的科技成果转化项目，以及政府购买服务项目，可以推荐2家成交候选供应商。评审得分相同的，按照最后报价由</w:t>
      </w:r>
      <w:r>
        <w:rPr>
          <w:rFonts w:hint="eastAsia" w:ascii="宋体" w:hAnsi="宋体" w:eastAsia="宋体" w:cs="宋体"/>
          <w:color w:val="auto"/>
          <w:highlight w:val="none"/>
          <w:lang w:val="en-US" w:eastAsia="zh-CN"/>
        </w:rPr>
        <w:t>低</w:t>
      </w:r>
      <w:r>
        <w:rPr>
          <w:rFonts w:hint="eastAsia" w:ascii="宋体" w:hAnsi="宋体" w:eastAsia="宋体" w:cs="宋体"/>
          <w:color w:val="auto"/>
          <w:highlight w:val="none"/>
        </w:rPr>
        <w:t>到</w:t>
      </w:r>
      <w:r>
        <w:rPr>
          <w:rFonts w:hint="eastAsia" w:ascii="宋体" w:hAnsi="宋体" w:eastAsia="宋体" w:cs="宋体"/>
          <w:color w:val="auto"/>
          <w:highlight w:val="none"/>
          <w:lang w:val="en-US" w:eastAsia="zh-CN"/>
        </w:rPr>
        <w:t>高</w:t>
      </w:r>
      <w:r>
        <w:rPr>
          <w:rFonts w:hint="eastAsia" w:ascii="宋体" w:hAnsi="宋体" w:eastAsia="宋体" w:cs="宋体"/>
          <w:color w:val="auto"/>
          <w:highlight w:val="none"/>
        </w:rPr>
        <w:t>的顺序推荐。评审得分且最后报价相同的，按照技术指标优劣顺序推荐。</w:t>
      </w:r>
    </w:p>
    <w:p w14:paraId="3DB926F1">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10-4编写评审报告</w:t>
      </w:r>
    </w:p>
    <w:p w14:paraId="24919D76">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w:t>
      </w:r>
    </w:p>
    <w:p w14:paraId="2BBF1AD2">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评标结果汇总完成后，除下列情形外，任何人不得修改评标结果：</w:t>
      </w:r>
    </w:p>
    <w:p w14:paraId="33B08972">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（1）分值汇总计算错误的；</w:t>
      </w:r>
    </w:p>
    <w:p w14:paraId="032D616B">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（2）分项评分超出评分标准范围的；</w:t>
      </w:r>
    </w:p>
    <w:p w14:paraId="72ED46DC">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（3）磋商小组成员对客观评审因素评分不一致的；</w:t>
      </w:r>
    </w:p>
    <w:p w14:paraId="698995D3">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（4）经磋商小组认定评分畸高、畸低的。</w:t>
      </w:r>
    </w:p>
    <w:p w14:paraId="6CE1E2CC">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、需要落实的政府采购政策</w:t>
      </w:r>
    </w:p>
    <w:p w14:paraId="581E3ABF">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-1响应企业政府采购政策</w:t>
      </w:r>
    </w:p>
    <w:p w14:paraId="2C0BF134">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-1-1中小企业落实政府采购政策</w:t>
      </w:r>
    </w:p>
    <w:p w14:paraId="3C47FE79">
      <w:pPr>
        <w:rPr>
          <w:rFonts w:hint="eastAsia" w:ascii="宋体" w:hAnsi="宋体" w:eastAsia="宋体" w:cs="宋体"/>
          <w:color w:val="auto"/>
          <w:highlight w:val="none"/>
        </w:rPr>
      </w:pPr>
      <w:r>
        <w:rPr>
          <w:rFonts w:hint="eastAsia" w:ascii="宋体" w:hAnsi="宋体" w:eastAsia="宋体" w:cs="宋体"/>
          <w:color w:val="auto"/>
          <w:highlight w:val="none"/>
        </w:rPr>
        <w:t>（1）中小企业应符合</w:t>
      </w:r>
      <w:bookmarkStart w:id="13" w:name="OLE_LINK6"/>
      <w:r>
        <w:rPr>
          <w:rFonts w:hint="eastAsia" w:ascii="宋体" w:hAnsi="宋体" w:eastAsia="宋体" w:cs="宋体"/>
          <w:color w:val="auto"/>
          <w:highlight w:val="none"/>
        </w:rPr>
        <w:t>工信部联企业[2011]300号</w:t>
      </w:r>
      <w:bookmarkEnd w:id="13"/>
      <w:r>
        <w:rPr>
          <w:rFonts w:hint="eastAsia" w:ascii="宋体" w:hAnsi="宋体" w:eastAsia="宋体" w:cs="宋体"/>
          <w:color w:val="auto"/>
          <w:highlight w:val="none"/>
        </w:rPr>
        <w:t>文件规定，采购活动执行《政府采购促进中小企业发展管理办法》（财库〔2020〕46 号）的规定。</w:t>
      </w:r>
    </w:p>
    <w:p w14:paraId="3D7FF836">
      <w:pPr>
        <w:rPr>
          <w:rFonts w:hint="eastAsia" w:ascii="宋体" w:hAnsi="宋体" w:eastAsia="宋体" w:cs="宋体"/>
          <w:color w:val="auto"/>
          <w:highlight w:val="none"/>
        </w:rPr>
      </w:pPr>
      <w:r>
        <w:rPr>
          <w:rFonts w:hint="eastAsia" w:ascii="宋体" w:hAnsi="宋体" w:eastAsia="宋体" w:cs="宋体"/>
          <w:color w:val="auto"/>
          <w:highlight w:val="none"/>
        </w:rPr>
        <w:t>（2）中小企业应提供《政府采购促进中小企业发展管理办法》（财库〔2020〕46 号）文件规定的《中小企业声明函》（详见附件1），以此为依据享受政府采购政策。</w:t>
      </w:r>
    </w:p>
    <w:p w14:paraId="69802628">
      <w:pPr>
        <w:rPr>
          <w:rFonts w:hint="eastAsia" w:ascii="宋体" w:hAnsi="宋体" w:eastAsia="宋体" w:cs="宋体"/>
          <w:b/>
          <w:bCs/>
          <w:color w:val="auto"/>
          <w:highlight w:val="none"/>
        </w:rPr>
      </w:pPr>
      <w:r>
        <w:rPr>
          <w:rFonts w:hint="eastAsia" w:ascii="宋体" w:hAnsi="宋体" w:eastAsia="宋体" w:cs="宋体"/>
          <w:b/>
          <w:bCs/>
          <w:color w:val="auto"/>
          <w:highlight w:val="none"/>
        </w:rPr>
        <w:t>本项目采购标的对应的中小企业划分标准所属行业为</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lang w:val="en-US" w:eastAsia="zh-CN"/>
        </w:rPr>
        <w:t>其他未列明行业。</w:t>
      </w:r>
    </w:p>
    <w:p w14:paraId="0DF8E931">
      <w:pPr>
        <w:rPr>
          <w:rFonts w:hint="eastAsia" w:ascii="宋体" w:hAnsi="宋体" w:eastAsia="宋体" w:cs="宋体"/>
          <w:color w:val="auto"/>
          <w:highlight w:val="none"/>
        </w:rPr>
      </w:pPr>
      <w:r>
        <w:rPr>
          <w:rFonts w:hint="eastAsia" w:ascii="宋体" w:hAnsi="宋体" w:eastAsia="宋体" w:cs="宋体"/>
          <w:color w:val="auto"/>
          <w:highlight w:val="none"/>
        </w:rPr>
        <w:t>（3）在享受支持政策而中标或成交后，小微企业不得将合同分包给大中型企业，中型企业不得将合同分包给大型企业。</w:t>
      </w:r>
    </w:p>
    <w:p w14:paraId="66C7433F">
      <w:pPr>
        <w:rPr>
          <w:rFonts w:hint="eastAsia" w:ascii="宋体" w:hAnsi="宋体" w:eastAsia="宋体" w:cs="宋体"/>
          <w:color w:val="auto"/>
          <w:highlight w:val="none"/>
        </w:rPr>
      </w:pPr>
      <w:r>
        <w:rPr>
          <w:rFonts w:hint="eastAsia" w:ascii="宋体" w:hAnsi="宋体" w:eastAsia="宋体" w:cs="宋体"/>
          <w:color w:val="auto"/>
          <w:highlight w:val="none"/>
        </w:rPr>
        <w:t>（4）供应商须提供本企业制造的货物、承担的工程或者服务，或者提供其他中小企业制造的货物。本项所称货物是指由中小企业制造，即货物由中小企业生产且使用该中小企业商号或者注册商标；供应商提供的货物既有中小企业制造货物，也有大型企业制造货物的，不享受中小企业扶持政策。</w:t>
      </w:r>
    </w:p>
    <w:p w14:paraId="60B983E5">
      <w:pPr>
        <w:rPr>
          <w:rFonts w:hint="eastAsia" w:ascii="宋体" w:hAnsi="宋体" w:eastAsia="宋体" w:cs="宋体"/>
          <w:color w:val="auto"/>
          <w:highlight w:val="none"/>
        </w:rPr>
      </w:pPr>
      <w:r>
        <w:rPr>
          <w:rFonts w:hint="eastAsia" w:ascii="宋体" w:hAnsi="宋体" w:eastAsia="宋体" w:cs="宋体"/>
          <w:color w:val="auto"/>
          <w:highlight w:val="none"/>
        </w:rPr>
        <w:t>以上要求由磋商小组审定，符合条件的供应商享受政府采购政策。</w:t>
      </w:r>
    </w:p>
    <w:p w14:paraId="20EF7F8A">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-1-2残疾人福利性单位应符合《财政部、民政部、中国残疾人联合会关于促进残疾人就业政府采购政策的通知》（财库[2017]141号）文件规定，并提供《残疾人福利性单位声明函》（详见附件2）。</w:t>
      </w:r>
    </w:p>
    <w:p w14:paraId="2EA1C214">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-1-3监狱和戒毒企业应符合《财政部 司法部关于政府采购支持监狱企业发展有关问题的通知》--财库[2014]68号文件规定，并提供由省级以上监狱管理局、戒毒管理局(含新疆生产建设兵团)出具的属于监狱企业的证明（详见附件</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w:t>
      </w:r>
    </w:p>
    <w:p w14:paraId="762EA71C">
      <w:pPr>
        <w:rPr>
          <w:rFonts w:hint="eastAsia" w:ascii="宋体" w:hAnsi="宋体" w:eastAsia="宋体" w:cs="宋体"/>
          <w:color w:val="auto"/>
          <w:highlight w:val="lightGray"/>
          <w:lang w:eastAsia="zh-CN"/>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-1-4符合磋商文件规定的小微企业、监狱企业、残疾人企业优惠条件的供应商，价格给予</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 xml:space="preserve">%的扣除，用扣除后的价格参与评审。残疾人福利性单位属于小型、微型企业的，不重复享受政策。 </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本项目专门面向中小企业采购，不享受优惠政策</w:t>
      </w:r>
      <w:r>
        <w:rPr>
          <w:rFonts w:hint="eastAsia" w:ascii="宋体" w:hAnsi="宋体" w:eastAsia="宋体" w:cs="宋体"/>
          <w:color w:val="auto"/>
          <w:highlight w:val="none"/>
          <w:lang w:eastAsia="zh-CN"/>
        </w:rPr>
        <w:t>）</w:t>
      </w:r>
    </w:p>
    <w:p w14:paraId="7EDD0B3D">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-2响应产品政府采购政策</w:t>
      </w:r>
    </w:p>
    <w:p w14:paraId="53016FA8">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-2-1节能产品根据《国务院办公厅关于建立政府强制采购节能产品制度的通知》（国办发[2007]51号）的规定，环境标志产品根据《环境标志产品政府采购实施的意见》（财库[2006]90号）的规定。</w:t>
      </w:r>
    </w:p>
    <w:p w14:paraId="78EB7C57">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-2采购人拟采购的产品属于节能产品政府采购品目清单（财库〔2019〕19号）、环境标志产品政府采购品目清单的（财库〔2019〕18号）号，采购人及其委托的采购代理机构应当依据国家确定的认证机构出具的、处于有效期之内的节能产品、环境标志产品认证证书，对获得证书的产品实施政府优先采购或强制采购。《财政部 发展改革委 生态环境部 市场监管总局 关于调整优化节能产品、环境标志产品政府采购执行机制的通知》--财库〔2019〕9号</w:t>
      </w:r>
    </w:p>
    <w:p w14:paraId="543DC9E9">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-3《关于运用政府采购政策支持乡村产业振兴的通知》（财库[2021]19号）</w:t>
      </w:r>
    </w:p>
    <w:p w14:paraId="003A73EE">
      <w:pPr>
        <w:rPr>
          <w:rFonts w:hint="eastAsia" w:ascii="宋体" w:hAnsi="宋体" w:eastAsia="宋体" w:cs="宋体"/>
          <w:color w:val="auto"/>
          <w:highlight w:val="none"/>
          <w:lang w:val="zh-CN" w:eastAsia="zh-CN"/>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《关于印发《商品包装政府采购需求标准（试行）》、 《快递包装政府采购需求标准（试行）》的通知</w:t>
      </w:r>
      <w:r>
        <w:rPr>
          <w:rFonts w:hint="eastAsia" w:ascii="宋体" w:hAnsi="宋体" w:eastAsia="宋体" w:cs="宋体"/>
          <w:color w:val="auto"/>
          <w:highlight w:val="none"/>
          <w:lang w:val="zh-CN" w:eastAsia="zh-CN"/>
        </w:rPr>
        <w:t>--财办库〔2020〕123号</w:t>
      </w:r>
    </w:p>
    <w:p w14:paraId="152D0738">
      <w:pPr>
        <w:rPr>
          <w:rFonts w:hint="eastAsia" w:ascii="宋体" w:hAnsi="宋体" w:eastAsia="宋体" w:cs="宋体"/>
          <w:color w:val="auto"/>
          <w:highlight w:val="none"/>
        </w:rPr>
      </w:pPr>
      <w:r>
        <w:rPr>
          <w:rFonts w:hint="eastAsia" w:ascii="宋体" w:hAnsi="宋体" w:eastAsia="宋体" w:cs="宋体"/>
          <w:color w:val="auto"/>
          <w:highlight w:val="none"/>
          <w:lang w:val="zh-CN" w:eastAsia="zh-CN"/>
        </w:rPr>
        <w:t>政府采购货物、工程和服务项目中涉及商品包装和快递包装的，要参考包装需求标准，在采购文件中明确政府采购供应商提供产品及相关快递服务的具体包装要求。</w:t>
      </w:r>
    </w:p>
    <w:p w14:paraId="747A5EE3">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11-5《关于进一步加强政府绿色采购有关问题的通知》（陕财办采〔2021〕29号）</w:t>
      </w:r>
    </w:p>
    <w:p w14:paraId="06D012DC">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在</w:t>
      </w:r>
      <w:r>
        <w:rPr>
          <w:rFonts w:hint="eastAsia" w:ascii="宋体" w:hAnsi="宋体" w:eastAsia="宋体" w:cs="宋体"/>
          <w:color w:val="auto"/>
          <w:highlight w:val="none"/>
          <w:lang w:val="zh-CN"/>
        </w:rPr>
        <w:t>政府采购货物、工程和服务项目中，</w:t>
      </w:r>
      <w:r>
        <w:rPr>
          <w:rFonts w:hint="eastAsia" w:ascii="宋体" w:hAnsi="宋体" w:eastAsia="宋体" w:cs="宋体"/>
          <w:color w:val="auto"/>
          <w:highlight w:val="none"/>
          <w:lang w:val="en-US" w:eastAsia="zh-CN"/>
        </w:rPr>
        <w:t>优先采购绿色产品和服务，落实政府绿色采购政策的执行。</w:t>
      </w:r>
    </w:p>
    <w:p w14:paraId="158B10BE">
      <w:pPr>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 xml:space="preserve"> 陕西省财政厅关于印发《陕西省中小企业政府采购信用融资办法》（陕财办采〔2018〕23号）。</w:t>
      </w:r>
    </w:p>
    <w:p w14:paraId="3003BDE4">
      <w:pPr>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 xml:space="preserve"> 供应商应如实提供以上证明文件，如存在虚假响应，将取消其响应资格。</w:t>
      </w:r>
    </w:p>
    <w:p w14:paraId="765DF5FB">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12、关于信用记录的查询和使用</w:t>
      </w:r>
    </w:p>
    <w:p w14:paraId="26E09C3E">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12-1 采购代理机构将在资格审查阶段通过【信用中国（www.creditchina.gov.cn）】、【中国政府采购网（www.ccgp.gov.cn）】网站对各供应商的信用情况进行查询。对列入失信被执行人、重大税收违法失信主体、政府采购严重违法失信行为记录名单及其他不符合《中华人民共和国政府采购法》第二十二条规定条件的供应商，根据《关于在政府采购活动中查询及使用信用记录有关问题的通知》（财库〔2016〕125 号）的第二条第（三）款规定，其磋商或成交资格将被取消。</w:t>
      </w:r>
    </w:p>
    <w:p w14:paraId="064CF143">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-2供应商信用记录及企业基本信息查询的时间段为“磋商公告发布之日（含当日）至提交响应文件截止之日（含当日）”。信用记录查询的结果，可以纸质截图或将截图保存至电子介质的形式留存。如查询网站无供应商信息的，供应商须提供相关证明材料或书面声明。</w:t>
      </w:r>
    </w:p>
    <w:p w14:paraId="44D641E4">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-3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F2B7BAF">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13、关于同一品牌产品的处理</w:t>
      </w:r>
    </w:p>
    <w:p w14:paraId="35313AE7">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-1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响应报价最低的方式确定一个获得成交供应商推荐资格，其他同品牌供应商不作为成交候选人。 </w:t>
      </w:r>
    </w:p>
    <w:p w14:paraId="29A222A7">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-2非单一产品采购项目，采购人将根据采购项目技术构成、产品价格比重等因素确定核心产品（可能不止一种），并在磋商文件中载明。提供相同品牌的核心产品且通过资格审查、符合性审查的不同供应商参加同一合同项下投标的，按一家供应商计算，评审后得分最高的同品牌供应商获得成交供应商推荐资格；评审得分相同的，由磋商小组按照响应报价最低的方式确定一个获得成交供应商推荐资格，其他同品牌供应商不作为成交候选人。 </w:t>
      </w:r>
    </w:p>
    <w:p w14:paraId="61399FF3">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13-3核心产品为两个以上时，多家供应商提供的核心产品有部分采用或全部采用相同品牌的，按一家供应商计算。</w:t>
      </w:r>
    </w:p>
    <w:p w14:paraId="0EE1BE2D">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14、知识产权与保密事项</w:t>
      </w:r>
    </w:p>
    <w:p w14:paraId="5A42D758">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14-1所有涉及知识产权的产品及设计，供应商必须确保委托人、采购人拥有其合法的、不受限制的无偿使用权，并免受任何侵权诉讼或索偿，否则，由此产生的一切经济损失和法律责任由供应商承担。 </w:t>
      </w:r>
    </w:p>
    <w:p w14:paraId="160941FE">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14-2由采购人向供应商提供的用户需求书、图纸、样品、模型、模件和所有资料，供应商获得后，应对其保密。除非采购人同意，供应商不得向第三方透露或将其用于本次磋商以外的任何用途。响应文件开启后，若采购人有要求，供应商须归还采购人认为需保密的文件和资料，并销毁所有相应的备份文件及资料。</w:t>
      </w:r>
    </w:p>
    <w:p w14:paraId="475CD959">
      <w:pPr>
        <w:pStyle w:val="4"/>
        <w:spacing w:line="360" w:lineRule="auto"/>
        <w:ind w:left="573"/>
        <w:rPr>
          <w:rFonts w:hint="eastAsia" w:ascii="宋体" w:hAnsi="宋体" w:eastAsia="宋体" w:cs="宋体"/>
          <w:color w:val="auto"/>
          <w:highlight w:val="none"/>
        </w:rPr>
      </w:pPr>
      <w:bookmarkStart w:id="14" w:name="_Toc3752_WPSOffice_Level2"/>
      <w:r>
        <w:rPr>
          <w:rFonts w:hint="eastAsia" w:ascii="宋体" w:hAnsi="宋体" w:eastAsia="宋体" w:cs="宋体"/>
          <w:color w:val="auto"/>
          <w:highlight w:val="none"/>
        </w:rPr>
        <w:t>确定候选供应商</w:t>
      </w:r>
      <w:bookmarkEnd w:id="14"/>
    </w:p>
    <w:p w14:paraId="527015FE">
      <w:pPr>
        <w:ind w:firstLine="480"/>
        <w:rPr>
          <w:rFonts w:hint="eastAsia" w:ascii="宋体" w:hAnsi="宋体" w:eastAsia="宋体" w:cs="宋体"/>
          <w:color w:val="auto"/>
        </w:rPr>
      </w:pPr>
      <w:r>
        <w:rPr>
          <w:rFonts w:hint="eastAsia" w:ascii="宋体" w:hAnsi="宋体" w:eastAsia="宋体" w:cs="宋体"/>
          <w:color w:val="auto"/>
        </w:rPr>
        <w:t>1、采购代理机构应在评审结束后</w:t>
      </w:r>
      <w:r>
        <w:rPr>
          <w:rFonts w:hint="eastAsia" w:ascii="宋体" w:hAnsi="宋体" w:eastAsia="宋体" w:cs="宋体"/>
          <w:color w:val="auto"/>
          <w:lang w:val="en-US" w:eastAsia="zh-CN"/>
        </w:rPr>
        <w:t>2</w:t>
      </w:r>
      <w:r>
        <w:rPr>
          <w:rFonts w:hint="eastAsia" w:ascii="宋体" w:hAnsi="宋体" w:eastAsia="宋体" w:cs="宋体"/>
          <w:color w:val="auto"/>
        </w:rPr>
        <w:t>个工作日内，将评审报告送采购人确认。</w:t>
      </w:r>
    </w:p>
    <w:p w14:paraId="7CFBA0B2">
      <w:pPr>
        <w:ind w:firstLine="480"/>
        <w:rPr>
          <w:rFonts w:hint="eastAsia" w:ascii="宋体" w:hAnsi="宋体" w:eastAsia="宋体" w:cs="宋体"/>
          <w:color w:val="auto"/>
        </w:rPr>
      </w:pPr>
      <w:r>
        <w:rPr>
          <w:rFonts w:hint="eastAsia" w:ascii="宋体" w:hAnsi="宋体" w:eastAsia="宋体" w:cs="宋体"/>
          <w:color w:val="auto"/>
        </w:rPr>
        <w:t>2、采购人在收到评审报告后</w:t>
      </w:r>
      <w:r>
        <w:rPr>
          <w:rFonts w:hint="eastAsia" w:ascii="宋体" w:hAnsi="宋体" w:eastAsia="宋体" w:cs="宋体"/>
          <w:color w:val="auto"/>
          <w:lang w:val="en-US" w:eastAsia="zh-CN"/>
        </w:rPr>
        <w:t>5</w:t>
      </w:r>
      <w:r>
        <w:rPr>
          <w:rFonts w:hint="eastAsia" w:ascii="宋体" w:hAnsi="宋体" w:eastAsia="宋体" w:cs="宋体"/>
          <w:color w:val="auto"/>
        </w:rPr>
        <w:t>个工作日内，根据评审报告对评审过程及结果进行严格审核后确定成交供应商，复函采购代理机构。</w:t>
      </w:r>
    </w:p>
    <w:p w14:paraId="70EA1BD3">
      <w:pPr>
        <w:rPr>
          <w:rFonts w:hint="eastAsia" w:ascii="宋体" w:hAnsi="宋体" w:eastAsia="宋体" w:cs="宋体"/>
          <w:color w:val="auto"/>
          <w:highlight w:val="none"/>
        </w:rPr>
      </w:pPr>
      <w:r>
        <w:rPr>
          <w:rFonts w:hint="eastAsia" w:ascii="宋体" w:hAnsi="宋体" w:eastAsia="宋体" w:cs="宋体"/>
          <w:color w:val="auto"/>
        </w:rPr>
        <w:t>3、采购代理机构在接到采购人的《成交复函》后</w:t>
      </w:r>
      <w:r>
        <w:rPr>
          <w:rFonts w:hint="eastAsia" w:ascii="宋体" w:hAnsi="宋体" w:eastAsia="宋体" w:cs="宋体"/>
          <w:color w:val="auto"/>
          <w:lang w:val="en-US" w:eastAsia="zh-CN"/>
        </w:rPr>
        <w:t>2</w:t>
      </w:r>
      <w:r>
        <w:rPr>
          <w:rFonts w:hint="eastAsia" w:ascii="宋体" w:hAnsi="宋体" w:eastAsia="宋体" w:cs="宋体"/>
          <w:color w:val="auto"/>
        </w:rPr>
        <w:t>个工作日内，指定的媒体上公告成交结果，成交公告期限为1个工作日，同时向成交供应商发出成交通知书。</w:t>
      </w:r>
    </w:p>
    <w:p w14:paraId="111A337A">
      <w:pPr>
        <w:pStyle w:val="4"/>
        <w:spacing w:line="360" w:lineRule="auto"/>
        <w:ind w:left="573"/>
        <w:rPr>
          <w:rFonts w:hint="eastAsia" w:ascii="宋体" w:hAnsi="宋体" w:eastAsia="宋体" w:cs="宋体"/>
          <w:color w:val="auto"/>
          <w:highlight w:val="none"/>
        </w:rPr>
      </w:pPr>
      <w:bookmarkStart w:id="15" w:name="_Toc18697_WPSOffice_Level2"/>
      <w:bookmarkStart w:id="16" w:name="_Toc16653_WPSOffice_Level2"/>
      <w:r>
        <w:rPr>
          <w:rFonts w:hint="eastAsia" w:ascii="宋体" w:hAnsi="宋体" w:eastAsia="宋体" w:cs="宋体"/>
          <w:color w:val="auto"/>
          <w:highlight w:val="none"/>
        </w:rPr>
        <w:t>质疑</w:t>
      </w:r>
      <w:bookmarkEnd w:id="15"/>
      <w:bookmarkEnd w:id="16"/>
    </w:p>
    <w:p w14:paraId="4303988A">
      <w:pPr>
        <w:ind w:firstLine="480"/>
        <w:rPr>
          <w:rFonts w:hint="eastAsia" w:ascii="宋体" w:hAnsi="宋体" w:eastAsia="宋体" w:cs="宋体"/>
          <w:color w:val="auto"/>
          <w:highlight w:val="none"/>
        </w:rPr>
      </w:pPr>
      <w:bookmarkStart w:id="17" w:name="_Toc18733_WPSOffice_Level2"/>
      <w:bookmarkStart w:id="18" w:name="_Toc10289_WPSOffice_Level2"/>
      <w:r>
        <w:rPr>
          <w:rFonts w:hint="eastAsia" w:ascii="宋体" w:hAnsi="宋体" w:eastAsia="宋体" w:cs="宋体"/>
          <w:color w:val="auto"/>
          <w:highlight w:val="none"/>
        </w:rPr>
        <w:t>1、提出质疑的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应是参与所质疑项目采购活动的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w:t>
      </w:r>
    </w:p>
    <w:p w14:paraId="30CA27F9">
      <w:pPr>
        <w:ind w:firstLine="48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认为采购文件、采购过程、中标或者成交结果使自己的权益受到损害的，可以在知道或者应知其权益受到损害之日起七个工作日内，以书面形式向采购代理机构提出质疑。</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须在法定质疑期内一次性提出针对同一采购程序环节的质疑。</w:t>
      </w:r>
    </w:p>
    <w:p w14:paraId="055FD81B">
      <w:pPr>
        <w:ind w:firstLine="48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提出质疑时须提交质疑函和必要的证明材料。质疑函应当包括下列内容：</w:t>
      </w:r>
    </w:p>
    <w:p w14:paraId="3F881A01">
      <w:pPr>
        <w:ind w:firstLine="480"/>
        <w:rPr>
          <w:rFonts w:hint="eastAsia" w:ascii="宋体" w:hAnsi="宋体" w:eastAsia="宋体" w:cs="宋体"/>
          <w:color w:val="auto"/>
          <w:highlight w:val="none"/>
        </w:rPr>
      </w:pPr>
      <w:r>
        <w:rPr>
          <w:rFonts w:hint="eastAsia" w:ascii="宋体" w:hAnsi="宋体" w:eastAsia="宋体" w:cs="宋体"/>
          <w:color w:val="auto"/>
          <w:highlight w:val="none"/>
        </w:rPr>
        <w:t>　（1）供应商的姓名或者名称、地址、邮编、联系人及联系电话；</w:t>
      </w:r>
    </w:p>
    <w:p w14:paraId="28EFBCBE">
      <w:pPr>
        <w:ind w:firstLine="480"/>
        <w:rPr>
          <w:rFonts w:hint="eastAsia" w:ascii="宋体" w:hAnsi="宋体" w:eastAsia="宋体" w:cs="宋体"/>
          <w:color w:val="auto"/>
          <w:highlight w:val="none"/>
        </w:rPr>
      </w:pPr>
      <w:r>
        <w:rPr>
          <w:rFonts w:hint="eastAsia" w:ascii="宋体" w:hAnsi="宋体" w:eastAsia="宋体" w:cs="宋体"/>
          <w:color w:val="auto"/>
          <w:highlight w:val="none"/>
        </w:rPr>
        <w:t>　（2）质疑项目的名称、编号；</w:t>
      </w:r>
    </w:p>
    <w:p w14:paraId="5438B1D1">
      <w:pPr>
        <w:ind w:firstLine="480"/>
        <w:rPr>
          <w:rFonts w:hint="eastAsia" w:ascii="宋体" w:hAnsi="宋体" w:eastAsia="宋体" w:cs="宋体"/>
          <w:color w:val="auto"/>
          <w:highlight w:val="none"/>
        </w:rPr>
      </w:pPr>
      <w:r>
        <w:rPr>
          <w:rFonts w:hint="eastAsia" w:ascii="宋体" w:hAnsi="宋体" w:eastAsia="宋体" w:cs="宋体"/>
          <w:color w:val="auto"/>
          <w:highlight w:val="none"/>
        </w:rPr>
        <w:t>　（3）具体、明确的质疑事项和与质疑事项相关的请求；</w:t>
      </w:r>
    </w:p>
    <w:p w14:paraId="0843B470">
      <w:pPr>
        <w:ind w:firstLine="480"/>
        <w:rPr>
          <w:rFonts w:hint="eastAsia" w:ascii="宋体" w:hAnsi="宋体" w:eastAsia="宋体" w:cs="宋体"/>
          <w:color w:val="auto"/>
          <w:highlight w:val="none"/>
        </w:rPr>
      </w:pPr>
      <w:r>
        <w:rPr>
          <w:rFonts w:hint="eastAsia" w:ascii="宋体" w:hAnsi="宋体" w:eastAsia="宋体" w:cs="宋体"/>
          <w:color w:val="auto"/>
          <w:highlight w:val="none"/>
        </w:rPr>
        <w:t>　（4）事实依据；</w:t>
      </w:r>
    </w:p>
    <w:p w14:paraId="312700DF">
      <w:pPr>
        <w:ind w:firstLine="480"/>
        <w:rPr>
          <w:rFonts w:hint="eastAsia" w:ascii="宋体" w:hAnsi="宋体" w:eastAsia="宋体" w:cs="宋体"/>
          <w:color w:val="auto"/>
          <w:highlight w:val="none"/>
        </w:rPr>
      </w:pPr>
      <w:r>
        <w:rPr>
          <w:rFonts w:hint="eastAsia" w:ascii="宋体" w:hAnsi="宋体" w:eastAsia="宋体" w:cs="宋体"/>
          <w:color w:val="auto"/>
          <w:highlight w:val="none"/>
        </w:rPr>
        <w:t>　（5）必要的法律依据；</w:t>
      </w:r>
    </w:p>
    <w:p w14:paraId="6EB8AB33">
      <w:pPr>
        <w:ind w:firstLine="480"/>
        <w:rPr>
          <w:rFonts w:hint="eastAsia" w:ascii="宋体" w:hAnsi="宋体" w:eastAsia="宋体" w:cs="宋体"/>
          <w:color w:val="auto"/>
          <w:highlight w:val="none"/>
        </w:rPr>
      </w:pPr>
      <w:r>
        <w:rPr>
          <w:rFonts w:hint="eastAsia" w:ascii="宋体" w:hAnsi="宋体" w:eastAsia="宋体" w:cs="宋体"/>
          <w:color w:val="auto"/>
          <w:highlight w:val="none"/>
        </w:rPr>
        <w:t>　（6）提出质疑的日期。</w:t>
      </w:r>
    </w:p>
    <w:p w14:paraId="748AF8C6">
      <w:pPr>
        <w:ind w:firstLine="480"/>
        <w:rPr>
          <w:rFonts w:hint="eastAsia" w:ascii="宋体" w:hAnsi="宋体" w:eastAsia="宋体" w:cs="宋体"/>
          <w:color w:val="auto"/>
          <w:highlight w:val="none"/>
          <w:lang w:val="zh-CN"/>
        </w:rPr>
      </w:pPr>
      <w:r>
        <w:rPr>
          <w:rFonts w:hint="eastAsia" w:ascii="宋体" w:hAnsi="宋体" w:eastAsia="宋体" w:cs="宋体"/>
          <w:color w:val="auto"/>
          <w:highlight w:val="none"/>
        </w:rPr>
        <w:t>　</w:t>
      </w:r>
      <w:r>
        <w:rPr>
          <w:rFonts w:hint="eastAsia" w:ascii="宋体" w:hAnsi="宋体" w:eastAsia="宋体" w:cs="宋体"/>
          <w:color w:val="auto"/>
          <w:highlight w:val="none"/>
          <w:lang w:val="zh-CN"/>
        </w:rPr>
        <w:t>供应商为自然人的，应当由本人签字；供应商为法人或者其他组织的，应当由法定代表人、主要负责人，或者授权委托代理人签字或者盖章，并加盖公章。供应商可以委托代理人进行质疑，委托代理人质疑的，应当提交供应商签署的授权委托书，其授权委托书应当载明代理人的姓名或者名称、代理事项、具体权限、期限和相关事项。</w:t>
      </w:r>
    </w:p>
    <w:p w14:paraId="00D9B655">
      <w:pPr>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质疑函应采用财政部颁布的《政府采购供应商质疑函范本》。</w:t>
      </w:r>
    </w:p>
    <w:p w14:paraId="727E90BA">
      <w:pPr>
        <w:ind w:firstLine="48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捏造事实、提供虚假材料或者以非法手段取得证明材料进行质疑的，采购代理机构将提供相关资料报监督机构，按其情况进行相应处理。</w:t>
      </w:r>
    </w:p>
    <w:p w14:paraId="6A9CC6D0">
      <w:pPr>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在法定质疑期内提交的符合要求的质疑，采购代理机构将予以受理并答复，联系电话：</w:t>
      </w:r>
      <w:r>
        <w:rPr>
          <w:rFonts w:hint="eastAsia" w:ascii="宋体" w:hAnsi="宋体" w:eastAsia="宋体" w:cs="宋体"/>
          <w:color w:val="auto"/>
        </w:rPr>
        <w:t>029-89284433，联系人：</w:t>
      </w:r>
      <w:r>
        <w:rPr>
          <w:rFonts w:hint="eastAsia" w:ascii="宋体" w:hAnsi="宋体" w:eastAsia="宋体" w:cs="宋体"/>
          <w:color w:val="auto"/>
          <w:lang w:val="en-US" w:eastAsia="zh-CN"/>
        </w:rPr>
        <w:t>李亚容</w:t>
      </w:r>
      <w:r>
        <w:rPr>
          <w:rFonts w:hint="eastAsia" w:ascii="宋体" w:hAnsi="宋体" w:eastAsia="宋体" w:cs="宋体"/>
          <w:color w:val="auto"/>
          <w:highlight w:val="none"/>
        </w:rPr>
        <w:t xml:space="preserve">。 </w:t>
      </w:r>
    </w:p>
    <w:p w14:paraId="041FC968">
      <w:pPr>
        <w:pStyle w:val="4"/>
        <w:spacing w:line="360" w:lineRule="auto"/>
        <w:ind w:left="573"/>
        <w:rPr>
          <w:rFonts w:hint="eastAsia" w:ascii="宋体" w:hAnsi="宋体" w:eastAsia="宋体" w:cs="宋体"/>
          <w:color w:val="auto"/>
          <w:highlight w:val="none"/>
        </w:rPr>
      </w:pPr>
      <w:r>
        <w:rPr>
          <w:rFonts w:hint="eastAsia" w:ascii="宋体" w:hAnsi="宋体" w:eastAsia="宋体" w:cs="宋体"/>
          <w:color w:val="auto"/>
          <w:highlight w:val="none"/>
        </w:rPr>
        <w:t>签订合同</w:t>
      </w:r>
      <w:bookmarkEnd w:id="17"/>
      <w:bookmarkEnd w:id="18"/>
    </w:p>
    <w:p w14:paraId="686ABB6C">
      <w:pPr>
        <w:ind w:firstLine="480"/>
        <w:rPr>
          <w:rFonts w:hint="eastAsia" w:ascii="宋体" w:hAnsi="宋体" w:eastAsia="宋体" w:cs="宋体"/>
          <w:color w:val="auto"/>
        </w:rPr>
      </w:pPr>
      <w:bookmarkStart w:id="19" w:name="_Toc27538_WPSOffice_Level2"/>
      <w:bookmarkStart w:id="20" w:name="_Toc6155_WPSOffice_Level2"/>
      <w:r>
        <w:rPr>
          <w:rFonts w:hint="eastAsia" w:ascii="宋体" w:hAnsi="宋体" w:eastAsia="宋体" w:cs="宋体"/>
          <w:color w:val="auto"/>
        </w:rPr>
        <w:t>1、自成交通知书发出之日起</w:t>
      </w:r>
      <w:r>
        <w:rPr>
          <w:rFonts w:hint="eastAsia" w:ascii="宋体" w:hAnsi="宋体" w:eastAsia="宋体" w:cs="宋体"/>
          <w:color w:val="auto"/>
          <w:lang w:val="en-US" w:eastAsia="zh-CN"/>
        </w:rPr>
        <w:t>三十</w:t>
      </w:r>
      <w:r>
        <w:rPr>
          <w:rFonts w:hint="eastAsia" w:ascii="宋体" w:hAnsi="宋体" w:eastAsia="宋体" w:cs="宋体"/>
          <w:color w:val="auto"/>
        </w:rPr>
        <w:t>日内，根据磋商文件的规定和成交供应商响应文件，采购人与成交供应商签订政府采购合同。磋商文件及成交供应商的响应文件均作为合同的组成部分。</w:t>
      </w:r>
    </w:p>
    <w:p w14:paraId="6082B719">
      <w:pPr>
        <w:rPr>
          <w:rFonts w:hint="eastAsia" w:ascii="宋体" w:hAnsi="宋体" w:eastAsia="宋体" w:cs="宋体"/>
          <w:color w:val="auto"/>
          <w:highlight w:val="none"/>
        </w:rPr>
      </w:pPr>
      <w:r>
        <w:rPr>
          <w:rFonts w:hint="eastAsia" w:ascii="宋体" w:hAnsi="宋体" w:eastAsia="宋体" w:cs="宋体"/>
          <w:color w:val="auto"/>
        </w:rPr>
        <w:t>2、成交后，成交供应商因自身原因未按程序与采购人签订合同的，采购人可以按照评审报告推荐的成交候选供应商名单排序，确定下一候选供应商为成交供应商或重新磋商。采购人将取消其成交资格，同时报请监督机构备案。</w:t>
      </w:r>
    </w:p>
    <w:p w14:paraId="6C5DA2A0">
      <w:pPr>
        <w:pStyle w:val="4"/>
        <w:spacing w:line="360" w:lineRule="auto"/>
        <w:ind w:left="573"/>
        <w:rPr>
          <w:rFonts w:hint="eastAsia" w:ascii="宋体" w:hAnsi="宋体" w:eastAsia="宋体" w:cs="宋体"/>
          <w:color w:val="auto"/>
          <w:highlight w:val="none"/>
        </w:rPr>
      </w:pPr>
      <w:r>
        <w:rPr>
          <w:rFonts w:hint="eastAsia" w:ascii="宋体" w:hAnsi="宋体" w:eastAsia="宋体" w:cs="宋体"/>
          <w:color w:val="auto"/>
          <w:highlight w:val="none"/>
        </w:rPr>
        <w:t>采购代理服务费</w:t>
      </w:r>
      <w:bookmarkEnd w:id="19"/>
      <w:bookmarkEnd w:id="20"/>
    </w:p>
    <w:p w14:paraId="72EA881C">
      <w:pPr>
        <w:ind w:firstLine="480"/>
        <w:rPr>
          <w:rFonts w:hint="eastAsia" w:ascii="宋体" w:hAnsi="宋体" w:eastAsia="宋体" w:cs="宋体"/>
          <w:color w:val="auto"/>
        </w:rPr>
      </w:pPr>
      <w:r>
        <w:rPr>
          <w:rFonts w:hint="eastAsia" w:ascii="宋体" w:hAnsi="宋体" w:eastAsia="宋体" w:cs="宋体"/>
          <w:color w:val="auto"/>
        </w:rPr>
        <w:t>1、成交供应商在领取成交通知书前，须向采购代理机构支付采购代理服务费，采购代理服务费计入磋商报价但不单独列明。</w:t>
      </w:r>
    </w:p>
    <w:p w14:paraId="08FA1BC5">
      <w:pPr>
        <w:ind w:firstLine="480"/>
        <w:rPr>
          <w:rFonts w:hint="eastAsia" w:ascii="宋体" w:hAnsi="宋体" w:eastAsia="宋体" w:cs="宋体"/>
          <w:color w:val="auto"/>
        </w:rPr>
      </w:pPr>
      <w:r>
        <w:rPr>
          <w:rFonts w:hint="eastAsia" w:ascii="宋体" w:hAnsi="宋体" w:eastAsia="宋体" w:cs="宋体"/>
          <w:color w:val="auto"/>
        </w:rPr>
        <w:t>银行户名：陕西四方衡裕项目管理有限公司</w:t>
      </w:r>
    </w:p>
    <w:p w14:paraId="7B040219">
      <w:pPr>
        <w:ind w:firstLine="480"/>
        <w:rPr>
          <w:rFonts w:hint="eastAsia" w:ascii="宋体" w:hAnsi="宋体" w:eastAsia="宋体" w:cs="宋体"/>
          <w:color w:val="auto"/>
        </w:rPr>
      </w:pPr>
      <w:r>
        <w:rPr>
          <w:rFonts w:hint="eastAsia" w:ascii="宋体" w:hAnsi="宋体" w:eastAsia="宋体" w:cs="宋体"/>
          <w:color w:val="auto"/>
        </w:rPr>
        <w:t xml:space="preserve">开户银行：兴业银行股份有限公司西安锦业路支行 </w:t>
      </w:r>
    </w:p>
    <w:p w14:paraId="4F41F816">
      <w:pPr>
        <w:ind w:firstLine="480"/>
        <w:rPr>
          <w:rFonts w:hint="eastAsia" w:ascii="宋体" w:hAnsi="宋体" w:eastAsia="宋体" w:cs="宋体"/>
          <w:color w:val="auto"/>
        </w:rPr>
      </w:pPr>
      <w:r>
        <w:rPr>
          <w:rFonts w:hint="eastAsia" w:ascii="宋体" w:hAnsi="宋体" w:eastAsia="宋体" w:cs="宋体"/>
          <w:color w:val="auto"/>
        </w:rPr>
        <w:t xml:space="preserve">账号：456700100100008334  </w:t>
      </w:r>
    </w:p>
    <w:p w14:paraId="5AC4AC01">
      <w:pPr>
        <w:ind w:firstLine="480"/>
        <w:rPr>
          <w:rFonts w:hint="eastAsia" w:ascii="宋体" w:hAnsi="宋体" w:eastAsia="宋体" w:cs="宋体"/>
          <w:color w:val="auto"/>
        </w:rPr>
      </w:pPr>
      <w:r>
        <w:rPr>
          <w:rFonts w:hint="eastAsia" w:ascii="宋体" w:hAnsi="宋体" w:eastAsia="宋体" w:cs="宋体"/>
          <w:color w:val="auto"/>
        </w:rPr>
        <w:t xml:space="preserve">联系人：方淑丽 </w:t>
      </w:r>
      <w:r>
        <w:rPr>
          <w:rFonts w:hint="eastAsia" w:ascii="宋体" w:hAnsi="宋体" w:eastAsia="宋体" w:cs="宋体"/>
          <w:color w:val="auto"/>
          <w:lang w:val="en-US" w:eastAsia="zh-CN"/>
        </w:rPr>
        <w:t>蔡月茹</w:t>
      </w:r>
      <w:r>
        <w:rPr>
          <w:rFonts w:hint="eastAsia" w:ascii="宋体" w:hAnsi="宋体" w:eastAsia="宋体" w:cs="宋体"/>
          <w:color w:val="auto"/>
        </w:rPr>
        <w:t xml:space="preserve">    </w:t>
      </w:r>
    </w:p>
    <w:p w14:paraId="264737BF">
      <w:pPr>
        <w:ind w:firstLine="480"/>
        <w:rPr>
          <w:rFonts w:hint="eastAsia" w:ascii="宋体" w:hAnsi="宋体" w:eastAsia="宋体" w:cs="宋体"/>
          <w:color w:val="auto"/>
        </w:rPr>
      </w:pPr>
      <w:r>
        <w:rPr>
          <w:rFonts w:hint="eastAsia" w:ascii="宋体" w:hAnsi="宋体" w:eastAsia="宋体" w:cs="宋体"/>
          <w:color w:val="auto"/>
        </w:rPr>
        <w:t xml:space="preserve">联系电话：029-89284433 </w:t>
      </w:r>
    </w:p>
    <w:p w14:paraId="41AED4D5">
      <w:pPr>
        <w:ind w:firstLine="480" w:firstLineChars="200"/>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zh-CN"/>
        </w:rPr>
        <w:t>2、</w:t>
      </w:r>
      <w:r>
        <w:rPr>
          <w:rFonts w:hint="eastAsia" w:ascii="宋体" w:hAnsi="宋体" w:eastAsia="宋体" w:cs="宋体"/>
          <w:color w:val="auto"/>
        </w:rPr>
        <w:t>采购代理服务费</w:t>
      </w:r>
      <w:r>
        <w:rPr>
          <w:rFonts w:hint="eastAsia" w:ascii="宋体" w:hAnsi="宋体" w:eastAsia="宋体" w:cs="宋体"/>
          <w:color w:val="auto"/>
          <w:lang w:val="en-US" w:eastAsia="zh-CN"/>
        </w:rPr>
        <w:t>参</w:t>
      </w:r>
      <w:r>
        <w:rPr>
          <w:rFonts w:hint="eastAsia" w:ascii="宋体" w:hAnsi="宋体" w:eastAsia="宋体" w:cs="宋体"/>
          <w:color w:val="auto"/>
        </w:rPr>
        <w:t>照《国家计委关于印发&lt;招标代理服务收费管理暂行办法&gt;的通知》（计价格[2002]1980号）和（发改办价格[2011]534号）</w:t>
      </w:r>
      <w:r>
        <w:rPr>
          <w:rFonts w:hint="eastAsia" w:ascii="宋体" w:hAnsi="宋体" w:eastAsia="宋体" w:cs="宋体"/>
          <w:color w:val="auto"/>
          <w:highlight w:val="none"/>
          <w:lang w:val="en-US" w:eastAsia="zh-CN"/>
        </w:rPr>
        <w:t>规定标准收取。</w:t>
      </w:r>
    </w:p>
    <w:p w14:paraId="7308C227">
      <w:pPr>
        <w:pStyle w:val="4"/>
        <w:spacing w:line="360" w:lineRule="auto"/>
        <w:ind w:left="573"/>
        <w:rPr>
          <w:rFonts w:hint="eastAsia" w:ascii="宋体" w:hAnsi="宋体" w:eastAsia="宋体" w:cs="宋体"/>
          <w:color w:val="auto"/>
          <w:highlight w:val="none"/>
        </w:rPr>
      </w:pPr>
      <w:r>
        <w:rPr>
          <w:rFonts w:hint="eastAsia" w:ascii="宋体" w:hAnsi="宋体" w:eastAsia="宋体" w:cs="宋体"/>
          <w:color w:val="auto"/>
          <w:highlight w:val="none"/>
        </w:rPr>
        <w:t>成交合同的履约验收</w:t>
      </w:r>
    </w:p>
    <w:p w14:paraId="79D912E9">
      <w:pPr>
        <w:rPr>
          <w:rFonts w:hint="eastAsia" w:ascii="宋体" w:hAnsi="宋体" w:eastAsia="宋体" w:cs="宋体"/>
          <w:color w:val="auto"/>
          <w:highlight w:val="none"/>
        </w:rPr>
      </w:pPr>
      <w:r>
        <w:rPr>
          <w:rFonts w:hint="eastAsia" w:ascii="宋体" w:hAnsi="宋体" w:eastAsia="宋体" w:cs="宋体"/>
          <w:color w:val="auto"/>
        </w:rPr>
        <w:t>政府采购合同的履行、违约责任和解决争议的方法等适用《中华人民共和国民法典》。政府采购合同订立后，合同各方不得擅自变更或者中止或者终止合同。采购人按照政府采购合同规定的技术、服务、安全标准组织对供应商履约情况进行验收，并出具验收书。</w:t>
      </w:r>
    </w:p>
    <w:p w14:paraId="5530965F">
      <w:pPr>
        <w:pStyle w:val="4"/>
        <w:spacing w:line="360" w:lineRule="auto"/>
        <w:ind w:left="573"/>
        <w:rPr>
          <w:rFonts w:hint="eastAsia" w:ascii="宋体" w:hAnsi="宋体" w:eastAsia="宋体" w:cs="宋体"/>
          <w:color w:val="auto"/>
          <w:highlight w:val="none"/>
        </w:rPr>
      </w:pPr>
      <w:bookmarkStart w:id="21" w:name="_Toc15348_WPSOffice_Level2"/>
      <w:bookmarkStart w:id="22" w:name="_Toc23917_WPSOffice_Level2"/>
      <w:r>
        <w:rPr>
          <w:rFonts w:hint="eastAsia" w:ascii="宋体" w:hAnsi="宋体" w:eastAsia="宋体" w:cs="宋体"/>
          <w:color w:val="auto"/>
          <w:highlight w:val="none"/>
        </w:rPr>
        <w:t>其他</w:t>
      </w:r>
      <w:bookmarkEnd w:id="21"/>
      <w:bookmarkEnd w:id="22"/>
    </w:p>
    <w:p w14:paraId="5EDF7F19">
      <w:pPr>
        <w:rPr>
          <w:rFonts w:hint="eastAsia" w:ascii="宋体" w:hAnsi="宋体" w:eastAsia="宋体" w:cs="宋体"/>
          <w:color w:val="auto"/>
          <w:highlight w:val="none"/>
        </w:rPr>
      </w:pPr>
      <w:r>
        <w:rPr>
          <w:rFonts w:hint="eastAsia" w:ascii="宋体" w:hAnsi="宋体" w:eastAsia="宋体" w:cs="宋体"/>
          <w:color w:val="auto"/>
          <w:highlight w:val="none"/>
          <w:lang w:val="zh-CN"/>
        </w:rPr>
        <w:t>磋商截止时间结束后，递交响应文件或者经评审的实质性响应磋商文件的供应商不足三家，采购代理机构请示监督机构后，终止竞争性磋商活动或继续磋商。</w:t>
      </w:r>
    </w:p>
    <w:p w14:paraId="337C5600">
      <w:pPr>
        <w:rPr>
          <w:rFonts w:hint="eastAsia" w:ascii="宋体" w:hAnsi="宋体" w:eastAsia="宋体" w:cs="宋体"/>
          <w:color w:val="auto"/>
          <w:highlight w:val="none"/>
        </w:rPr>
      </w:pPr>
    </w:p>
    <w:p w14:paraId="6A99EEC8">
      <w:pPr>
        <w:pStyle w:val="4"/>
        <w:spacing w:line="360" w:lineRule="auto"/>
        <w:ind w:left="573"/>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融资</w:t>
      </w:r>
      <w:r>
        <w:rPr>
          <w:rFonts w:hint="eastAsia" w:ascii="宋体" w:hAnsi="宋体" w:eastAsia="宋体" w:cs="宋体"/>
          <w:color w:val="auto"/>
          <w:highlight w:val="none"/>
          <w:lang w:val="zh-CN"/>
        </w:rPr>
        <w:t>担保</w:t>
      </w:r>
    </w:p>
    <w:p w14:paraId="22F59A4B">
      <w:pPr>
        <w:rPr>
          <w:rFonts w:hint="eastAsia" w:ascii="宋体" w:hAnsi="宋体" w:eastAsia="宋体" w:cs="宋体"/>
          <w:color w:val="auto"/>
          <w:highlight w:val="none"/>
          <w:lang w:val="en-US" w:eastAsia="zh-CN"/>
        </w:rPr>
        <w:sectPr>
          <w:footerReference r:id="rId7" w:type="default"/>
          <w:pgSz w:w="11906" w:h="16838"/>
          <w:pgMar w:top="1418" w:right="1259" w:bottom="1418" w:left="1264" w:header="851" w:footer="992" w:gutter="0"/>
          <w:pgBorders>
            <w:top w:val="none" w:sz="0" w:space="0"/>
            <w:left w:val="none" w:sz="0" w:space="0"/>
            <w:bottom w:val="none" w:sz="0" w:space="0"/>
            <w:right w:val="none" w:sz="0" w:space="0"/>
          </w:pgBorders>
          <w:pgNumType w:fmt="decimal" w:start="1"/>
          <w:cols w:space="720" w:num="1"/>
          <w:docGrid w:linePitch="312" w:charSpace="0"/>
        </w:sectPr>
      </w:pPr>
      <w:r>
        <w:rPr>
          <w:rFonts w:hint="eastAsia" w:ascii="宋体" w:hAnsi="宋体" w:eastAsia="宋体" w:cs="宋体"/>
          <w:color w:val="auto"/>
          <w:highlight w:val="none"/>
          <w:lang w:val="zh-CN"/>
        </w:rPr>
        <w:t>详见西安市财政局关于印发《西安市政府采购信用担保及信用融资工作实施方案（试行）》的通知（市财发〔2014〕167号）及西安市财政局关于贯彻落实《西安市政府采购信用担保及信用融资工作实施方案（试行）》有关事宜的通知（市财发〔2015〕4号）。</w:t>
      </w:r>
      <w:r>
        <w:rPr>
          <w:rFonts w:hint="eastAsia" w:ascii="宋体" w:hAnsi="宋体" w:eastAsia="宋体" w:cs="宋体"/>
          <w:color w:val="auto"/>
          <w:highlight w:val="none"/>
          <w:lang w:val="en-US" w:eastAsia="zh-CN"/>
        </w:rPr>
        <w:t>可登陆西安政府采购网（www.xazfcg.gov.cn）重要通知专栏和西安市财政局网站（www.xaczj.gov.cn）政府采购专栏中查询了解。</w:t>
      </w:r>
    </w:p>
    <w:p w14:paraId="275F23F7">
      <w:pPr>
        <w:pStyle w:val="2"/>
        <w:spacing w:line="360" w:lineRule="auto"/>
        <w:rPr>
          <w:rFonts w:hint="eastAsia" w:ascii="宋体" w:hAnsi="宋体" w:eastAsia="宋体" w:cs="宋体"/>
          <w:color w:val="auto"/>
          <w:highlight w:val="none"/>
        </w:rPr>
      </w:pPr>
      <w:bookmarkStart w:id="23" w:name="_Toc10696"/>
      <w:bookmarkStart w:id="24" w:name="_Toc21697_WPSOffice_Level1"/>
      <w:bookmarkStart w:id="25" w:name="_Toc26586"/>
      <w:r>
        <w:rPr>
          <w:rFonts w:hint="eastAsia" w:ascii="宋体" w:hAnsi="宋体" w:eastAsia="宋体" w:cs="宋体"/>
          <w:color w:val="auto"/>
          <w:highlight w:val="none"/>
        </w:rPr>
        <w:t>采购</w:t>
      </w:r>
      <w:bookmarkEnd w:id="23"/>
      <w:bookmarkEnd w:id="24"/>
      <w:bookmarkEnd w:id="25"/>
      <w:r>
        <w:rPr>
          <w:rFonts w:hint="eastAsia" w:ascii="宋体" w:hAnsi="宋体" w:eastAsia="宋体" w:cs="宋体"/>
          <w:color w:val="auto"/>
          <w:highlight w:val="none"/>
        </w:rPr>
        <w:t>内容及需求</w:t>
      </w:r>
      <w:bookmarkStart w:id="26" w:name="_Toc11310"/>
      <w:bookmarkStart w:id="27" w:name="_Toc5907_WPSOffice_Level1"/>
    </w:p>
    <w:p w14:paraId="68BD7928">
      <w:pPr>
        <w:pStyle w:val="3"/>
        <w:numPr>
          <w:ilvl w:val="0"/>
          <w:numId w:val="8"/>
        </w:numPr>
        <w:ind w:left="0" w:leftChars="0" w:firstLine="0" w:firstLineChars="0"/>
        <w:rPr>
          <w:rFonts w:hint="eastAsia" w:ascii="宋体" w:hAnsi="宋体" w:eastAsia="宋体" w:cs="宋体"/>
          <w:b/>
          <w:bCs/>
          <w:strike w:val="0"/>
          <w:dstrike w:val="0"/>
          <w:color w:val="auto"/>
          <w:highlight w:val="none"/>
          <w:lang w:val="en-US" w:eastAsia="zh-CN"/>
        </w:rPr>
      </w:pPr>
      <w:r>
        <w:rPr>
          <w:rFonts w:hint="eastAsia" w:ascii="宋体" w:hAnsi="宋体" w:eastAsia="宋体" w:cs="宋体"/>
          <w:b/>
          <w:bCs/>
          <w:color w:val="auto"/>
          <w:highlight w:val="none"/>
          <w:lang w:val="en-US" w:eastAsia="zh-CN"/>
        </w:rPr>
        <w:t>项</w:t>
      </w:r>
      <w:r>
        <w:rPr>
          <w:rFonts w:hint="eastAsia" w:ascii="宋体" w:hAnsi="宋体" w:eastAsia="宋体" w:cs="宋体"/>
          <w:b/>
          <w:bCs/>
          <w:strike w:val="0"/>
          <w:dstrike w:val="0"/>
          <w:color w:val="auto"/>
          <w:highlight w:val="none"/>
          <w:lang w:val="en-US" w:eastAsia="zh-CN"/>
        </w:rPr>
        <w:t>目概况</w:t>
      </w:r>
    </w:p>
    <w:p w14:paraId="00C58283">
      <w:pPr>
        <w:numPr>
          <w:ilvl w:val="0"/>
          <w:numId w:val="0"/>
        </w:numPr>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县级抽检任务不少于402批次。食品抽检356批次、食用农产品抽检46批次。</w:t>
      </w:r>
    </w:p>
    <w:p w14:paraId="55E1889E">
      <w:pPr>
        <w:numPr>
          <w:ilvl w:val="0"/>
          <w:numId w:val="0"/>
        </w:numPr>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（一）食用农产品抽检要求</w:t>
      </w:r>
    </w:p>
    <w:p w14:paraId="3C04749D">
      <w:pPr>
        <w:numPr>
          <w:ilvl w:val="0"/>
          <w:numId w:val="0"/>
        </w:numPr>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应结合季节供应特点和当地食用习惯，合理确定各类食用农产品的抽检比例和批次。</w:t>
      </w:r>
    </w:p>
    <w:p w14:paraId="0A019BCF">
      <w:pPr>
        <w:numPr>
          <w:ilvl w:val="0"/>
          <w:numId w:val="0"/>
        </w:numPr>
        <w:spacing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抽检要求。一要以“三小”食品、餐饮食品、食用农产品中风险较高品种为重点开展抽检;二要对辖区内校园/托幼食堂及周边、养老机构、乡镇(含农村和城乡结合部)的农贸市场、超市等重点场所开展抽检;三要以外卖餐饮、无堂食送餐、生鲜配送等为重点开展网络抽检，网络抽检比例不低于全年任务的8%。</w:t>
      </w:r>
    </w:p>
    <w:p w14:paraId="27D640E9">
      <w:pPr>
        <w:numPr>
          <w:ilvl w:val="0"/>
          <w:numId w:val="0"/>
        </w:numPr>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(三)抽检时间。在本年度10月底前完成抽样任务。原则上食用农产品经营市场全覆盖。</w:t>
      </w:r>
    </w:p>
    <w:p w14:paraId="2D95C885">
      <w:pPr>
        <w:numPr>
          <w:ilvl w:val="0"/>
          <w:numId w:val="0"/>
        </w:numPr>
        <w:tabs>
          <w:tab w:val="left" w:pos="0"/>
        </w:tabs>
        <w:spacing w:before="48" w:beforeLines="20" w:after="48" w:afterLines="2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二、服务要求 </w:t>
      </w:r>
    </w:p>
    <w:p w14:paraId="4C636B64">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能提供高效抽检服务，全天提供24小时服务，能接受抽样工作委托，有专门团队负责配合采样；</w:t>
      </w:r>
    </w:p>
    <w:p w14:paraId="5FA04185">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抽检样品必须在当天进入食品检测实验室，以确保样品检测报告的准确性、报告复检维持率高；</w:t>
      </w:r>
    </w:p>
    <w:p w14:paraId="10D62548">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能够熟练运用各级抽检系统，及时准确地录入抽检、检验信息，辅助采购人完成统计报表、信息公示等工作；</w:t>
      </w:r>
    </w:p>
    <w:p w14:paraId="7C5DE707">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有能满足采样、运输、检验等工作的车辆、设备等硬件；</w:t>
      </w:r>
    </w:p>
    <w:p w14:paraId="3046EA25">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不得将检验任务外包或分包给其他检测机构检验；</w:t>
      </w:r>
    </w:p>
    <w:p w14:paraId="41A34425">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若投标人出具虚假、错误检验数据和结论，一经发现，立即取消合作资格；</w:t>
      </w:r>
    </w:p>
    <w:p w14:paraId="11EAA0DA">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须提供相关的业务咨询、报告分析等服务；</w:t>
      </w:r>
    </w:p>
    <w:p w14:paraId="11E907A0">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时限要求：检验机构收到检品后20个工作日出具检验报告。对于特殊、涉案样品的检验，3天出结果，7天出报告；</w:t>
      </w:r>
    </w:p>
    <w:p w14:paraId="1BBED794">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有完善的投诉受理机制，能够对委托检验人提出的异议做出有效回应；</w:t>
      </w:r>
    </w:p>
    <w:p w14:paraId="6041DD1E">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供应商检验检测项目未达到100%时，应承诺其余项目在服务合同签订后 2 个月内完成扩项，若成交后未能及时完成扩项，采购人有权终止合同；</w:t>
      </w:r>
    </w:p>
    <w:p w14:paraId="3A2547C5">
      <w:pPr>
        <w:numPr>
          <w:ilvl w:val="0"/>
          <w:numId w:val="9"/>
        </w:numPr>
        <w:spacing w:before="48" w:beforeLines="20" w:after="48" w:afterLines="20"/>
        <w:ind w:left="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供应商成交后，承担对应项目的检测任务，应逐月完成当月任务，并当月汇总本月的抽检清单；</w:t>
      </w:r>
    </w:p>
    <w:p w14:paraId="18E62A8C">
      <w:pPr>
        <w:pStyle w:val="45"/>
        <w:numPr>
          <w:ilvl w:val="0"/>
          <w:numId w:val="0"/>
        </w:numPr>
        <w:tabs>
          <w:tab w:val="left" w:pos="0"/>
        </w:tabs>
        <w:ind w:left="0" w:leftChars="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承检机构要提高抽样靶向性，实施必要的质量控制措施，提高问题食品发现率（问题食品发现率不低于市级要求）。因承检机构严重影响采购人阶段性监督抽检不合格率考核任务的，承检机构要立即整改，采取扩大抽样批次等切实有效的方法达采购人的不合格率要求。若经过整改后还无法满足要求，甲方应根据实际情况扣除相应费用（不合格率每低0.1%，扣除成交项目总金额的1%）。</w:t>
      </w:r>
    </w:p>
    <w:p w14:paraId="1887B8EB">
      <w:pPr>
        <w:spacing w:before="48" w:beforeLines="20" w:after="48" w:afterLines="20"/>
        <w:ind w:left="0" w:firstLine="0" w:firstLineChars="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（备注：未涉及的抽检品种，检验项目可根据采购人实际情况予以增补）</w:t>
      </w:r>
    </w:p>
    <w:p w14:paraId="349C17D4">
      <w:pPr>
        <w:pStyle w:val="45"/>
        <w:numPr>
          <w:ilvl w:val="0"/>
          <w:numId w:val="0"/>
        </w:numPr>
        <w:tabs>
          <w:tab w:val="left" w:pos="0"/>
        </w:tabs>
        <w:ind w:leftChars="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三、其他要求</w:t>
      </w:r>
    </w:p>
    <w:p w14:paraId="1D98530E">
      <w:pPr>
        <w:pStyle w:val="45"/>
        <w:numPr>
          <w:ilvl w:val="0"/>
          <w:numId w:val="0"/>
        </w:numPr>
        <w:tabs>
          <w:tab w:val="left" w:pos="0"/>
        </w:tabs>
        <w:ind w:leftChars="0" w:firstLine="48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1、服务期限：自合同签订之日起至2026年12月31日。</w:t>
      </w:r>
    </w:p>
    <w:p w14:paraId="0FC770AF">
      <w:pPr>
        <w:pStyle w:val="45"/>
        <w:numPr>
          <w:ilvl w:val="0"/>
          <w:numId w:val="0"/>
        </w:numPr>
        <w:tabs>
          <w:tab w:val="left" w:pos="0"/>
        </w:tabs>
        <w:ind w:leftChars="0" w:firstLine="48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2、工作安排：</w:t>
      </w:r>
    </w:p>
    <w:p w14:paraId="4C0F07A6">
      <w:pPr>
        <w:pStyle w:val="45"/>
        <w:numPr>
          <w:ilvl w:val="0"/>
          <w:numId w:val="0"/>
        </w:numPr>
        <w:tabs>
          <w:tab w:val="left" w:pos="0"/>
        </w:tabs>
        <w:ind w:leftChars="0" w:firstLine="48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(一)采样工作:自合同签订之日起-2026年10日底完成所有样品采集。</w:t>
      </w:r>
    </w:p>
    <w:p w14:paraId="13DE0486">
      <w:pPr>
        <w:pStyle w:val="45"/>
        <w:numPr>
          <w:ilvl w:val="0"/>
          <w:numId w:val="0"/>
        </w:numPr>
        <w:tabs>
          <w:tab w:val="left" w:pos="0"/>
        </w:tabs>
        <w:ind w:leftChars="0" w:firstLine="48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(二)检测工作:2026年11月10日前完成样品检验工作。</w:t>
      </w:r>
    </w:p>
    <w:p w14:paraId="027B79AE">
      <w:pPr>
        <w:pStyle w:val="45"/>
        <w:numPr>
          <w:ilvl w:val="0"/>
          <w:numId w:val="0"/>
        </w:numPr>
        <w:tabs>
          <w:tab w:val="left" w:pos="0"/>
        </w:tabs>
        <w:ind w:leftChars="0" w:firstLine="48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(三)总结上报:2026年12月20日前完成并上报监督抽检任务出具分析报告，并将抽检情况录入食品安全抽检信息管理系统。</w:t>
      </w:r>
    </w:p>
    <w:p w14:paraId="3E6AD40D">
      <w:pPr>
        <w:pStyle w:val="45"/>
        <w:numPr>
          <w:ilvl w:val="0"/>
          <w:numId w:val="0"/>
        </w:numPr>
        <w:tabs>
          <w:tab w:val="left" w:pos="0"/>
        </w:tabs>
        <w:ind w:leftChars="0" w:firstLine="480" w:firstLineChars="20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3、付款方式：依实际抽检的批次和检验的项目及中标供应商的最终磋商报价据实结算。即按照有效期内实际发生检测次数、检测的项目分类统计，以供应商响应文件中提供的各项目报价为单价，计算总价。</w:t>
      </w:r>
    </w:p>
    <w:p w14:paraId="408A7AAD">
      <w:pPr>
        <w:rPr>
          <w:rFonts w:hint="eastAsia" w:ascii="宋体" w:hAnsi="宋体" w:eastAsia="宋体" w:cs="宋体"/>
          <w:b w:val="0"/>
          <w:bCs w:val="0"/>
          <w:color w:val="auto"/>
          <w:highlight w:val="none"/>
          <w:lang w:val="en-US" w:eastAsia="zh-CN"/>
        </w:rPr>
        <w:sectPr>
          <w:headerReference r:id="rId8" w:type="default"/>
          <w:headerReference r:id="rId9" w:type="even"/>
          <w:footerReference r:id="rId10" w:type="even"/>
          <w:pgSz w:w="11906" w:h="16838"/>
          <w:pgMar w:top="1984" w:right="1587" w:bottom="1984" w:left="1587" w:header="851" w:footer="992" w:gutter="0"/>
          <w:pgNumType w:fmt="decimal"/>
          <w:cols w:space="720" w:num="1"/>
          <w:docGrid w:type="lines" w:linePitch="319" w:charSpace="0"/>
        </w:sectPr>
      </w:pPr>
      <w:r>
        <w:rPr>
          <w:rFonts w:hint="eastAsia" w:ascii="宋体" w:hAnsi="宋体" w:eastAsia="宋体" w:cs="宋体"/>
          <w:b w:val="0"/>
          <w:bCs w:val="0"/>
          <w:color w:val="auto"/>
          <w:highlight w:val="none"/>
          <w:lang w:val="en-US" w:eastAsia="zh-CN"/>
        </w:rPr>
        <w:br w:type="page"/>
      </w:r>
    </w:p>
    <w:p w14:paraId="2180156A">
      <w:pPr>
        <w:spacing w:line="240" w:lineRule="auto"/>
        <w:ind w:firstLine="0" w:firstLineChars="0"/>
        <w:jc w:val="center"/>
        <w:rPr>
          <w:rFonts w:hint="eastAsia" w:ascii="Times New Roman" w:hAnsi="Times New Roman" w:eastAsia="宋体" w:cs="Times New Roman"/>
          <w:b/>
          <w:sz w:val="36"/>
          <w:szCs w:val="36"/>
        </w:rPr>
      </w:pPr>
      <w:r>
        <w:rPr>
          <w:rFonts w:hint="eastAsia" w:ascii="Times New Roman" w:hAnsi="Times New Roman" w:eastAsia="宋体" w:cs="Times New Roman"/>
          <w:b/>
          <w:sz w:val="36"/>
          <w:szCs w:val="36"/>
        </w:rPr>
        <w:t>202</w:t>
      </w:r>
      <w:r>
        <w:rPr>
          <w:rFonts w:hint="eastAsia" w:ascii="Times New Roman" w:hAnsi="Times New Roman" w:eastAsia="宋体" w:cs="Times New Roman"/>
          <w:b/>
          <w:sz w:val="36"/>
          <w:szCs w:val="36"/>
          <w:lang w:val="en-US" w:eastAsia="zh-CN"/>
        </w:rPr>
        <w:t>6</w:t>
      </w:r>
      <w:r>
        <w:rPr>
          <w:rFonts w:hint="eastAsia" w:ascii="Times New Roman" w:hAnsi="Times New Roman" w:eastAsia="宋体" w:cs="Times New Roman"/>
          <w:b/>
          <w:sz w:val="36"/>
          <w:szCs w:val="36"/>
        </w:rPr>
        <w:t>年食品安全监督抽检方案（城乡结合部、农村流通环节及“三小”）</w:t>
      </w:r>
    </w:p>
    <w:tbl>
      <w:tblPr>
        <w:tblStyle w:val="46"/>
        <w:tblpPr w:leftFromText="180" w:rightFromText="180" w:vertAnchor="text" w:horzAnchor="page" w:tblpX="1221" w:tblpY="362"/>
        <w:tblOverlap w:val="never"/>
        <w:tblW w:w="14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095"/>
        <w:gridCol w:w="1140"/>
        <w:gridCol w:w="1011"/>
        <w:gridCol w:w="1701"/>
        <w:gridCol w:w="4819"/>
        <w:gridCol w:w="669"/>
        <w:gridCol w:w="1316"/>
        <w:gridCol w:w="1914"/>
      </w:tblGrid>
      <w:tr w14:paraId="3492C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690" w:type="dxa"/>
            <w:noWrap w:val="0"/>
            <w:vAlign w:val="center"/>
          </w:tcPr>
          <w:p w14:paraId="0DBA0D48">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095" w:type="dxa"/>
            <w:noWrap w:val="0"/>
            <w:vAlign w:val="center"/>
          </w:tcPr>
          <w:p w14:paraId="4362D8A3">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食品大类（一级）</w:t>
            </w:r>
          </w:p>
        </w:tc>
        <w:tc>
          <w:tcPr>
            <w:tcW w:w="1140" w:type="dxa"/>
            <w:noWrap w:val="0"/>
            <w:vAlign w:val="center"/>
          </w:tcPr>
          <w:p w14:paraId="5001EB0D">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食品亚类（二级）</w:t>
            </w:r>
          </w:p>
        </w:tc>
        <w:tc>
          <w:tcPr>
            <w:tcW w:w="1011" w:type="dxa"/>
            <w:noWrap w:val="0"/>
            <w:vAlign w:val="center"/>
          </w:tcPr>
          <w:p w14:paraId="24832548">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食品系类</w:t>
            </w:r>
          </w:p>
          <w:p w14:paraId="2C630164">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（三级）</w:t>
            </w:r>
          </w:p>
        </w:tc>
        <w:tc>
          <w:tcPr>
            <w:tcW w:w="1701" w:type="dxa"/>
            <w:noWrap w:val="0"/>
            <w:vAlign w:val="center"/>
          </w:tcPr>
          <w:p w14:paraId="3A99C4F4">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食品系类（四类）及抽检范围</w:t>
            </w:r>
          </w:p>
        </w:tc>
        <w:tc>
          <w:tcPr>
            <w:tcW w:w="4819" w:type="dxa"/>
            <w:noWrap w:val="0"/>
            <w:vAlign w:val="center"/>
          </w:tcPr>
          <w:p w14:paraId="2B385324">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检测项目</w:t>
            </w:r>
          </w:p>
        </w:tc>
        <w:tc>
          <w:tcPr>
            <w:tcW w:w="669" w:type="dxa"/>
            <w:noWrap w:val="0"/>
            <w:vAlign w:val="center"/>
          </w:tcPr>
          <w:p w14:paraId="19B4F2AB">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抽检总量</w:t>
            </w:r>
          </w:p>
        </w:tc>
        <w:tc>
          <w:tcPr>
            <w:tcW w:w="1316" w:type="dxa"/>
            <w:noWrap w:val="0"/>
            <w:vAlign w:val="center"/>
          </w:tcPr>
          <w:p w14:paraId="6131533B">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抽样时间安排</w:t>
            </w:r>
          </w:p>
        </w:tc>
        <w:tc>
          <w:tcPr>
            <w:tcW w:w="1914" w:type="dxa"/>
            <w:noWrap w:val="0"/>
            <w:vAlign w:val="center"/>
          </w:tcPr>
          <w:p w14:paraId="57FBDDBB">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备  注</w:t>
            </w:r>
          </w:p>
          <w:p w14:paraId="10142D87">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18"/>
                <w:szCs w:val="18"/>
              </w:rPr>
              <w:t>（以城乡结合部、农村食品抽检为主）</w:t>
            </w:r>
          </w:p>
        </w:tc>
      </w:tr>
      <w:tr w14:paraId="7FD0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90" w:type="dxa"/>
            <w:vMerge w:val="restart"/>
            <w:noWrap w:val="0"/>
            <w:vAlign w:val="center"/>
          </w:tcPr>
          <w:p w14:paraId="384478C8">
            <w:pPr>
              <w:spacing w:line="240" w:lineRule="auto"/>
              <w:ind w:firstLine="0" w:firstLineChars="0"/>
              <w:jc w:val="center"/>
              <w:rPr>
                <w:rFonts w:ascii="宋体" w:hAnsi="宋体" w:eastAsia="宋体" w:cs="宋体"/>
                <w:b/>
                <w:sz w:val="21"/>
                <w:szCs w:val="21"/>
              </w:rPr>
            </w:pPr>
            <w:r>
              <w:rPr>
                <w:rFonts w:hint="eastAsia" w:ascii="宋体" w:hAnsi="宋体" w:eastAsia="宋体" w:cs="宋体"/>
                <w:b/>
                <w:sz w:val="21"/>
                <w:szCs w:val="21"/>
              </w:rPr>
              <w:t>1</w:t>
            </w:r>
          </w:p>
        </w:tc>
        <w:tc>
          <w:tcPr>
            <w:tcW w:w="1095" w:type="dxa"/>
            <w:vMerge w:val="restart"/>
            <w:noWrap w:val="0"/>
            <w:vAlign w:val="center"/>
          </w:tcPr>
          <w:p w14:paraId="1A8FACE0">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粮食加工品</w:t>
            </w:r>
          </w:p>
        </w:tc>
        <w:tc>
          <w:tcPr>
            <w:tcW w:w="1140" w:type="dxa"/>
            <w:noWrap w:val="0"/>
            <w:vAlign w:val="center"/>
          </w:tcPr>
          <w:p w14:paraId="090FBD4C">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小麦粉</w:t>
            </w:r>
          </w:p>
        </w:tc>
        <w:tc>
          <w:tcPr>
            <w:tcW w:w="1011" w:type="dxa"/>
            <w:noWrap w:val="0"/>
            <w:vAlign w:val="center"/>
          </w:tcPr>
          <w:p w14:paraId="3CA9354A">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小麦粉</w:t>
            </w:r>
          </w:p>
        </w:tc>
        <w:tc>
          <w:tcPr>
            <w:tcW w:w="1701" w:type="dxa"/>
            <w:noWrap w:val="0"/>
            <w:vAlign w:val="center"/>
          </w:tcPr>
          <w:p w14:paraId="470F0D5C">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小麦粉</w:t>
            </w:r>
          </w:p>
        </w:tc>
        <w:tc>
          <w:tcPr>
            <w:tcW w:w="4819" w:type="dxa"/>
            <w:noWrap w:val="0"/>
            <w:vAlign w:val="center"/>
          </w:tcPr>
          <w:p w14:paraId="1F2D1DCC">
            <w:pPr>
              <w:spacing w:line="240" w:lineRule="auto"/>
              <w:ind w:firstLine="0" w:firstLineChars="0"/>
              <w:jc w:val="left"/>
              <w:textAlignment w:val="center"/>
              <w:rPr>
                <w:rFonts w:hint="eastAsia" w:ascii="宋体" w:hAnsi="宋体" w:eastAsia="宋体" w:cs="宋体"/>
                <w:sz w:val="18"/>
                <w:szCs w:val="18"/>
                <w:lang w:eastAsia="zh-CN"/>
              </w:rPr>
            </w:pPr>
            <w:r>
              <w:rPr>
                <w:rFonts w:hint="eastAsia" w:ascii="宋体" w:hAnsi="宋体" w:eastAsia="宋体" w:cs="宋体"/>
                <w:sz w:val="18"/>
                <w:szCs w:val="18"/>
              </w:rPr>
              <w:t>铅（以Pb计）、镉（以Cd计）、过氧化苯甲酰、苯并〔a〕芘、玉米赤霉烯酮、脱氧雪腐镰刀菌烯醇、赭曲霉毒素A、黄曲霉毒素B</w:t>
            </w:r>
            <w:r>
              <w:rPr>
                <w:rFonts w:hint="eastAsia" w:ascii="宋体" w:hAnsi="宋体" w:eastAsia="宋体" w:cs="宋体"/>
                <w:sz w:val="18"/>
                <w:szCs w:val="18"/>
                <w:vertAlign w:val="subscript"/>
              </w:rPr>
              <w:t>1</w:t>
            </w:r>
            <w:r>
              <w:rPr>
                <w:rFonts w:hint="eastAsia" w:ascii="宋体" w:hAnsi="宋体" w:eastAsia="宋体" w:cs="宋体"/>
                <w:sz w:val="18"/>
                <w:szCs w:val="18"/>
                <w:lang w:eastAsia="zh-CN"/>
              </w:rPr>
              <w:t>、偶氮甲酰胺</w:t>
            </w:r>
          </w:p>
        </w:tc>
        <w:tc>
          <w:tcPr>
            <w:tcW w:w="669" w:type="dxa"/>
            <w:noWrap w:val="0"/>
            <w:vAlign w:val="center"/>
          </w:tcPr>
          <w:p w14:paraId="2CC12647">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8</w:t>
            </w:r>
          </w:p>
        </w:tc>
        <w:tc>
          <w:tcPr>
            <w:tcW w:w="1316" w:type="dxa"/>
            <w:noWrap w:val="0"/>
            <w:vAlign w:val="center"/>
          </w:tcPr>
          <w:p w14:paraId="44F7BF11">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4C654312">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校园</w:t>
            </w:r>
            <w:r>
              <w:rPr>
                <w:rFonts w:hint="eastAsia" w:ascii="宋体" w:hAnsi="宋体" w:eastAsia="宋体" w:cs="宋体"/>
                <w:sz w:val="18"/>
                <w:szCs w:val="18"/>
                <w:lang w:eastAsia="zh-CN"/>
              </w:rPr>
              <w:t>专项</w:t>
            </w:r>
            <w:r>
              <w:rPr>
                <w:rFonts w:hint="eastAsia" w:ascii="宋体" w:hAnsi="宋体" w:eastAsia="宋体" w:cs="宋体"/>
                <w:sz w:val="18"/>
                <w:szCs w:val="18"/>
              </w:rPr>
              <w:t>、</w:t>
            </w:r>
            <w:r>
              <w:rPr>
                <w:rFonts w:hint="eastAsia" w:ascii="宋体" w:hAnsi="宋体" w:eastAsia="宋体" w:cs="宋体"/>
                <w:sz w:val="18"/>
                <w:szCs w:val="18"/>
                <w:lang w:eastAsia="zh-CN"/>
              </w:rPr>
              <w:t>餐饮</w:t>
            </w:r>
            <w:r>
              <w:rPr>
                <w:rFonts w:hint="eastAsia" w:ascii="宋体" w:hAnsi="宋体" w:eastAsia="宋体" w:cs="宋体"/>
                <w:sz w:val="18"/>
                <w:szCs w:val="18"/>
              </w:rPr>
              <w:t>环节抽取</w:t>
            </w:r>
          </w:p>
        </w:tc>
      </w:tr>
      <w:tr w14:paraId="367D1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690" w:type="dxa"/>
            <w:vMerge w:val="continue"/>
            <w:noWrap w:val="0"/>
            <w:vAlign w:val="center"/>
          </w:tcPr>
          <w:p w14:paraId="2B137F7F">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7DA78085">
            <w:pPr>
              <w:widowControl/>
              <w:spacing w:line="240" w:lineRule="auto"/>
              <w:ind w:firstLine="0" w:firstLineChars="0"/>
              <w:jc w:val="center"/>
              <w:textAlignment w:val="center"/>
              <w:rPr>
                <w:rFonts w:hint="eastAsia" w:ascii="宋体" w:hAnsi="宋体" w:eastAsia="宋体" w:cs="宋体"/>
                <w:sz w:val="18"/>
                <w:szCs w:val="18"/>
              </w:rPr>
            </w:pPr>
          </w:p>
        </w:tc>
        <w:tc>
          <w:tcPr>
            <w:tcW w:w="1140" w:type="dxa"/>
            <w:noWrap w:val="0"/>
            <w:vAlign w:val="center"/>
          </w:tcPr>
          <w:p w14:paraId="47775596">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大米</w:t>
            </w:r>
          </w:p>
        </w:tc>
        <w:tc>
          <w:tcPr>
            <w:tcW w:w="1011" w:type="dxa"/>
            <w:noWrap w:val="0"/>
            <w:vAlign w:val="center"/>
          </w:tcPr>
          <w:p w14:paraId="602085B9">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大米</w:t>
            </w:r>
          </w:p>
        </w:tc>
        <w:tc>
          <w:tcPr>
            <w:tcW w:w="1701" w:type="dxa"/>
            <w:noWrap w:val="0"/>
            <w:vAlign w:val="center"/>
          </w:tcPr>
          <w:p w14:paraId="3D4B8F2F">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大米</w:t>
            </w:r>
          </w:p>
        </w:tc>
        <w:tc>
          <w:tcPr>
            <w:tcW w:w="4819" w:type="dxa"/>
            <w:noWrap w:val="0"/>
            <w:vAlign w:val="center"/>
          </w:tcPr>
          <w:p w14:paraId="40412869">
            <w:pPr>
              <w:spacing w:line="240" w:lineRule="auto"/>
              <w:ind w:firstLine="0" w:firstLineChars="0"/>
              <w:jc w:val="left"/>
              <w:textAlignment w:val="center"/>
              <w:rPr>
                <w:rFonts w:hint="eastAsia" w:ascii="宋体" w:hAnsi="宋体" w:eastAsia="宋体" w:cs="宋体"/>
                <w:sz w:val="18"/>
                <w:szCs w:val="18"/>
                <w:lang w:eastAsia="zh-CN"/>
              </w:rPr>
            </w:pPr>
            <w:r>
              <w:rPr>
                <w:rFonts w:hint="eastAsia" w:ascii="宋体" w:hAnsi="宋体" w:eastAsia="宋体" w:cs="宋体"/>
                <w:sz w:val="18"/>
                <w:szCs w:val="18"/>
              </w:rPr>
              <w:t>铅（以Pb计）、镉（以Cd计）、无机砷（以AS）、黄曲霉毒素B</w:t>
            </w:r>
            <w:r>
              <w:rPr>
                <w:rFonts w:hint="eastAsia" w:ascii="宋体" w:hAnsi="宋体" w:eastAsia="宋体" w:cs="宋体"/>
                <w:sz w:val="18"/>
                <w:szCs w:val="18"/>
                <w:vertAlign w:val="subscript"/>
              </w:rPr>
              <w:t>1</w:t>
            </w:r>
            <w:r>
              <w:rPr>
                <w:rFonts w:hint="eastAsia" w:ascii="宋体" w:hAnsi="宋体" w:eastAsia="宋体" w:cs="宋体"/>
                <w:sz w:val="18"/>
                <w:szCs w:val="18"/>
              </w:rPr>
              <w:t>、</w:t>
            </w:r>
            <w:bookmarkStart w:id="28" w:name="OLE_LINK1"/>
            <w:bookmarkStart w:id="29" w:name="OLE_LINK2"/>
            <w:r>
              <w:rPr>
                <w:rFonts w:hint="eastAsia" w:ascii="宋体" w:hAnsi="宋体" w:eastAsia="宋体" w:cs="宋体"/>
                <w:sz w:val="18"/>
                <w:szCs w:val="18"/>
              </w:rPr>
              <w:t>苯并〔a〕芘</w:t>
            </w:r>
            <w:bookmarkEnd w:id="28"/>
            <w:bookmarkEnd w:id="29"/>
            <w:r>
              <w:rPr>
                <w:rFonts w:hint="eastAsia" w:ascii="宋体" w:hAnsi="宋体" w:eastAsia="宋体" w:cs="宋体"/>
                <w:sz w:val="18"/>
                <w:szCs w:val="18"/>
              </w:rPr>
              <w:t>、赭曲霉毒素A</w:t>
            </w:r>
          </w:p>
        </w:tc>
        <w:tc>
          <w:tcPr>
            <w:tcW w:w="669" w:type="dxa"/>
            <w:noWrap w:val="0"/>
            <w:vAlign w:val="center"/>
          </w:tcPr>
          <w:p w14:paraId="5D434A53">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8</w:t>
            </w:r>
          </w:p>
        </w:tc>
        <w:tc>
          <w:tcPr>
            <w:tcW w:w="1316" w:type="dxa"/>
            <w:noWrap w:val="0"/>
            <w:vAlign w:val="center"/>
          </w:tcPr>
          <w:p w14:paraId="50796E1B">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76AA9A1C">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校园</w:t>
            </w:r>
            <w:r>
              <w:rPr>
                <w:rFonts w:hint="eastAsia" w:ascii="宋体" w:hAnsi="宋体" w:eastAsia="宋体" w:cs="宋体"/>
                <w:sz w:val="18"/>
                <w:szCs w:val="18"/>
                <w:lang w:eastAsia="zh-CN"/>
              </w:rPr>
              <w:t>专项</w:t>
            </w:r>
            <w:r>
              <w:rPr>
                <w:rFonts w:hint="eastAsia" w:ascii="宋体" w:hAnsi="宋体" w:eastAsia="宋体" w:cs="宋体"/>
                <w:sz w:val="18"/>
                <w:szCs w:val="18"/>
              </w:rPr>
              <w:t>、</w:t>
            </w:r>
            <w:r>
              <w:rPr>
                <w:rFonts w:hint="eastAsia" w:ascii="宋体" w:hAnsi="宋体" w:eastAsia="宋体" w:cs="宋体"/>
                <w:sz w:val="18"/>
                <w:szCs w:val="18"/>
                <w:lang w:eastAsia="zh-CN"/>
              </w:rPr>
              <w:t>餐饮</w:t>
            </w:r>
            <w:r>
              <w:rPr>
                <w:rFonts w:hint="eastAsia" w:ascii="宋体" w:hAnsi="宋体" w:eastAsia="宋体" w:cs="宋体"/>
                <w:sz w:val="18"/>
                <w:szCs w:val="18"/>
              </w:rPr>
              <w:t>环节抽取</w:t>
            </w:r>
          </w:p>
        </w:tc>
      </w:tr>
      <w:tr w14:paraId="45747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trPr>
        <w:tc>
          <w:tcPr>
            <w:tcW w:w="690" w:type="dxa"/>
            <w:vMerge w:val="continue"/>
            <w:noWrap w:val="0"/>
            <w:vAlign w:val="center"/>
          </w:tcPr>
          <w:p w14:paraId="012B88F9">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170771A7">
            <w:pPr>
              <w:widowControl/>
              <w:spacing w:line="240" w:lineRule="auto"/>
              <w:ind w:firstLine="0" w:firstLineChars="0"/>
              <w:jc w:val="center"/>
              <w:textAlignment w:val="center"/>
              <w:rPr>
                <w:rFonts w:hint="eastAsia" w:ascii="宋体" w:hAnsi="宋体" w:eastAsia="宋体" w:cs="宋体"/>
                <w:sz w:val="18"/>
                <w:szCs w:val="18"/>
              </w:rPr>
            </w:pPr>
          </w:p>
        </w:tc>
        <w:tc>
          <w:tcPr>
            <w:tcW w:w="1140" w:type="dxa"/>
            <w:vMerge w:val="restart"/>
            <w:noWrap w:val="0"/>
            <w:vAlign w:val="center"/>
          </w:tcPr>
          <w:p w14:paraId="4902DD0A">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color w:val="000000"/>
                <w:sz w:val="20"/>
                <w:szCs w:val="21"/>
                <w:u w:val="none"/>
              </w:rPr>
              <w:t>其他粮食加工品</w:t>
            </w:r>
          </w:p>
        </w:tc>
        <w:tc>
          <w:tcPr>
            <w:tcW w:w="1011" w:type="dxa"/>
            <w:vMerge w:val="restart"/>
            <w:noWrap w:val="0"/>
            <w:vAlign w:val="center"/>
          </w:tcPr>
          <w:p w14:paraId="1659EBB5">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color w:val="000000"/>
                <w:sz w:val="20"/>
                <w:szCs w:val="21"/>
                <w:u w:val="none"/>
              </w:rPr>
              <w:t>谷物粉类制成品</w:t>
            </w:r>
          </w:p>
        </w:tc>
        <w:tc>
          <w:tcPr>
            <w:tcW w:w="1701" w:type="dxa"/>
            <w:noWrap w:val="0"/>
            <w:vAlign w:val="center"/>
          </w:tcPr>
          <w:p w14:paraId="50A3D54B">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color w:val="000000"/>
                <w:sz w:val="18"/>
                <w:szCs w:val="18"/>
                <w:u w:val="none"/>
              </w:rPr>
              <w:t>发酵面制品</w:t>
            </w:r>
          </w:p>
        </w:tc>
        <w:tc>
          <w:tcPr>
            <w:tcW w:w="4819" w:type="dxa"/>
            <w:noWrap w:val="0"/>
            <w:vAlign w:val="center"/>
          </w:tcPr>
          <w:p w14:paraId="54B1FE24">
            <w:pPr>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铅（以Pb计）、</w:t>
            </w:r>
            <w:r>
              <w:rPr>
                <w:rFonts w:hint="eastAsia" w:ascii="宋体" w:hAnsi="宋体" w:eastAsia="宋体" w:cs="宋体"/>
                <w:kern w:val="0"/>
                <w:sz w:val="18"/>
                <w:szCs w:val="18"/>
              </w:rPr>
              <w:t>苯甲酸及其钠盐（以苯甲酸计）、山梨酸及其钾盐（以山梨酸计）、</w:t>
            </w:r>
            <w:r>
              <w:rPr>
                <w:rFonts w:hint="eastAsia" w:ascii="宋体" w:hAnsi="宋体" w:eastAsia="宋体" w:cs="宋体"/>
                <w:sz w:val="18"/>
                <w:szCs w:val="18"/>
              </w:rPr>
              <w:t>脱氢乙酸及其钠盐（以脱氢乙酸计）、防腐剂混合使用时各自用量占其最大使用量的比例之和、</w:t>
            </w:r>
            <w:r>
              <w:rPr>
                <w:rFonts w:hint="eastAsia" w:ascii="宋体" w:hAnsi="宋体" w:eastAsia="宋体" w:cs="宋体"/>
                <w:kern w:val="0"/>
                <w:sz w:val="18"/>
                <w:szCs w:val="18"/>
              </w:rPr>
              <w:t>糖精钠（以糖精计）、甜蜜素（以环己基氨基磺酸计）、</w:t>
            </w:r>
            <w:r>
              <w:rPr>
                <w:rFonts w:hint="eastAsia" w:ascii="宋体" w:hAnsi="宋体" w:eastAsia="宋体" w:cs="宋体"/>
                <w:kern w:val="0"/>
                <w:sz w:val="18"/>
                <w:szCs w:val="18"/>
                <w:lang w:eastAsia="zh-CN"/>
              </w:rPr>
              <w:t>安赛蜜、合成着色剂（柠檬黄、胭脂红，视色泽而定）、</w:t>
            </w:r>
            <w:r>
              <w:rPr>
                <w:rFonts w:hint="eastAsia" w:ascii="宋体" w:hAnsi="宋体" w:eastAsia="宋体" w:cs="宋体"/>
                <w:kern w:val="0"/>
                <w:sz w:val="18"/>
                <w:szCs w:val="18"/>
              </w:rPr>
              <w:t>菌落总数、大肠菌群</w:t>
            </w:r>
          </w:p>
        </w:tc>
        <w:tc>
          <w:tcPr>
            <w:tcW w:w="669" w:type="dxa"/>
            <w:noWrap w:val="0"/>
            <w:vAlign w:val="center"/>
          </w:tcPr>
          <w:p w14:paraId="33CBB0FE">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5</w:t>
            </w:r>
          </w:p>
        </w:tc>
        <w:tc>
          <w:tcPr>
            <w:tcW w:w="1316" w:type="dxa"/>
            <w:noWrap w:val="0"/>
            <w:vAlign w:val="center"/>
          </w:tcPr>
          <w:p w14:paraId="2764478E">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restart"/>
            <w:noWrap w:val="0"/>
            <w:vAlign w:val="center"/>
          </w:tcPr>
          <w:p w14:paraId="2C82B8E4">
            <w:pPr>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校园</w:t>
            </w:r>
            <w:r>
              <w:rPr>
                <w:rFonts w:hint="eastAsia" w:ascii="宋体" w:hAnsi="宋体" w:eastAsia="宋体" w:cs="宋体"/>
                <w:sz w:val="18"/>
                <w:szCs w:val="18"/>
                <w:lang w:eastAsia="zh-CN"/>
              </w:rPr>
              <w:t>专项、</w:t>
            </w:r>
            <w:r>
              <w:rPr>
                <w:rFonts w:hint="eastAsia" w:ascii="宋体" w:hAnsi="宋体" w:eastAsia="宋体" w:cs="宋体"/>
                <w:sz w:val="18"/>
                <w:szCs w:val="18"/>
              </w:rPr>
              <w:t>小作坊</w:t>
            </w:r>
          </w:p>
          <w:p w14:paraId="6F233932">
            <w:pPr>
              <w:spacing w:line="240" w:lineRule="auto"/>
              <w:ind w:firstLine="0" w:firstLineChars="0"/>
              <w:jc w:val="left"/>
              <w:textAlignment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1.现制现售食品按同类餐饮食品项目执行；2.菌落总数、大肠菌群项目限产品明示标准和质量要求有限量规定时检测；3.黄曲霉毒素</w:t>
            </w:r>
            <w:r>
              <w:rPr>
                <w:rFonts w:hint="eastAsia" w:ascii="宋体" w:hAnsi="宋体" w:eastAsia="宋体" w:cs="宋体"/>
                <w:sz w:val="18"/>
                <w:szCs w:val="18"/>
              </w:rPr>
              <w:t>B</w:t>
            </w:r>
            <w:r>
              <w:rPr>
                <w:rFonts w:hint="eastAsia" w:ascii="宋体" w:hAnsi="宋体" w:eastAsia="宋体" w:cs="宋体"/>
                <w:sz w:val="18"/>
                <w:szCs w:val="18"/>
                <w:vertAlign w:val="subscript"/>
              </w:rPr>
              <w:t>1</w:t>
            </w:r>
            <w:r>
              <w:rPr>
                <w:rFonts w:hint="eastAsia" w:ascii="宋体" w:hAnsi="宋体" w:eastAsia="宋体" w:cs="宋体"/>
                <w:sz w:val="18"/>
                <w:szCs w:val="18"/>
                <w:lang w:val="en-US" w:eastAsia="zh-CN"/>
              </w:rPr>
              <w:t>限玉米制品检测。</w:t>
            </w:r>
          </w:p>
        </w:tc>
      </w:tr>
      <w:tr w14:paraId="6A5D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atLeast"/>
        </w:trPr>
        <w:tc>
          <w:tcPr>
            <w:tcW w:w="690" w:type="dxa"/>
            <w:vMerge w:val="continue"/>
            <w:noWrap w:val="0"/>
            <w:vAlign w:val="center"/>
          </w:tcPr>
          <w:p w14:paraId="154B1ACD">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63AAE274">
            <w:pPr>
              <w:widowControl/>
              <w:spacing w:line="240" w:lineRule="auto"/>
              <w:ind w:firstLine="0" w:firstLineChars="0"/>
              <w:jc w:val="center"/>
              <w:textAlignment w:val="center"/>
              <w:rPr>
                <w:rFonts w:hint="eastAsia" w:ascii="宋体" w:hAnsi="宋体" w:eastAsia="宋体" w:cs="宋体"/>
                <w:sz w:val="18"/>
                <w:szCs w:val="18"/>
              </w:rPr>
            </w:pPr>
          </w:p>
        </w:tc>
        <w:tc>
          <w:tcPr>
            <w:tcW w:w="1140" w:type="dxa"/>
            <w:vMerge w:val="continue"/>
            <w:noWrap w:val="0"/>
            <w:vAlign w:val="center"/>
          </w:tcPr>
          <w:p w14:paraId="7B554674">
            <w:pPr>
              <w:spacing w:line="240" w:lineRule="auto"/>
              <w:ind w:firstLine="0" w:firstLineChars="0"/>
              <w:jc w:val="center"/>
              <w:textAlignment w:val="center"/>
              <w:rPr>
                <w:rFonts w:hint="eastAsia" w:ascii="宋体" w:hAnsi="宋体" w:eastAsia="宋体" w:cs="宋体"/>
                <w:sz w:val="18"/>
                <w:szCs w:val="18"/>
              </w:rPr>
            </w:pPr>
          </w:p>
        </w:tc>
        <w:tc>
          <w:tcPr>
            <w:tcW w:w="1011" w:type="dxa"/>
            <w:vMerge w:val="continue"/>
            <w:noWrap w:val="0"/>
            <w:vAlign w:val="center"/>
          </w:tcPr>
          <w:p w14:paraId="33C1AEBE">
            <w:pPr>
              <w:spacing w:line="240" w:lineRule="auto"/>
              <w:ind w:firstLine="0" w:firstLineChars="0"/>
              <w:jc w:val="center"/>
              <w:textAlignment w:val="center"/>
              <w:rPr>
                <w:rFonts w:hint="eastAsia" w:ascii="宋体" w:hAnsi="宋体" w:eastAsia="宋体" w:cs="宋体"/>
                <w:sz w:val="18"/>
                <w:szCs w:val="18"/>
              </w:rPr>
            </w:pPr>
          </w:p>
        </w:tc>
        <w:tc>
          <w:tcPr>
            <w:tcW w:w="1701" w:type="dxa"/>
            <w:noWrap w:val="0"/>
            <w:vAlign w:val="center"/>
          </w:tcPr>
          <w:p w14:paraId="6AC6B303">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color w:val="000000"/>
                <w:sz w:val="18"/>
                <w:szCs w:val="18"/>
                <w:u w:val="none"/>
              </w:rPr>
              <w:t>其他谷物粉类制成品</w:t>
            </w:r>
          </w:p>
        </w:tc>
        <w:tc>
          <w:tcPr>
            <w:tcW w:w="4819" w:type="dxa"/>
            <w:noWrap w:val="0"/>
            <w:vAlign w:val="center"/>
          </w:tcPr>
          <w:p w14:paraId="43CA379A">
            <w:pPr>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黄曲霉毒素B</w:t>
            </w:r>
            <w:r>
              <w:rPr>
                <w:rFonts w:hint="eastAsia" w:ascii="宋体" w:hAnsi="宋体" w:eastAsia="宋体" w:cs="宋体"/>
                <w:sz w:val="18"/>
                <w:szCs w:val="18"/>
                <w:vertAlign w:val="subscript"/>
              </w:rPr>
              <w:t>1</w:t>
            </w:r>
            <w:r>
              <w:rPr>
                <w:rFonts w:hint="eastAsia" w:ascii="宋体" w:hAnsi="宋体" w:eastAsia="宋体" w:cs="宋体"/>
                <w:sz w:val="18"/>
                <w:szCs w:val="18"/>
              </w:rPr>
              <w:t>、</w:t>
            </w:r>
            <w:r>
              <w:rPr>
                <w:rFonts w:hint="eastAsia" w:ascii="宋体" w:hAnsi="宋体" w:eastAsia="宋体" w:cs="宋体"/>
                <w:kern w:val="0"/>
                <w:sz w:val="18"/>
                <w:szCs w:val="18"/>
              </w:rPr>
              <w:t>苯甲酸及其钠盐（以苯甲酸计）、山梨酸及其钾盐（以山梨酸计）、</w:t>
            </w:r>
            <w:r>
              <w:rPr>
                <w:rFonts w:hint="eastAsia" w:ascii="宋体" w:hAnsi="宋体" w:eastAsia="宋体" w:cs="宋体"/>
                <w:sz w:val="18"/>
                <w:szCs w:val="18"/>
              </w:rPr>
              <w:t>脱氢乙酸及其钠盐（以脱氢乙酸计）、防腐剂混合使用时各自用量占其最大使用量的比例之和、铝的残留量（干样品、以AI计）、</w:t>
            </w:r>
            <w:r>
              <w:rPr>
                <w:rFonts w:hint="eastAsia" w:ascii="宋体" w:hAnsi="宋体" w:eastAsia="宋体" w:cs="宋体"/>
                <w:sz w:val="18"/>
                <w:szCs w:val="18"/>
                <w:lang w:eastAsia="zh-CN"/>
              </w:rPr>
              <w:t>合成着色剂（柠檬黄、日落黄、胭脂红、苋菜红、亮蓝，视色泽而定）、</w:t>
            </w:r>
            <w:r>
              <w:rPr>
                <w:rFonts w:hint="eastAsia" w:ascii="宋体" w:hAnsi="宋体" w:eastAsia="宋体" w:cs="宋体"/>
                <w:kern w:val="0"/>
                <w:sz w:val="18"/>
                <w:szCs w:val="18"/>
              </w:rPr>
              <w:t>菌落总数、大肠菌群</w:t>
            </w:r>
          </w:p>
        </w:tc>
        <w:tc>
          <w:tcPr>
            <w:tcW w:w="669" w:type="dxa"/>
            <w:noWrap w:val="0"/>
            <w:vAlign w:val="center"/>
          </w:tcPr>
          <w:p w14:paraId="79C2AF9C">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10</w:t>
            </w:r>
          </w:p>
        </w:tc>
        <w:tc>
          <w:tcPr>
            <w:tcW w:w="1316" w:type="dxa"/>
            <w:noWrap w:val="0"/>
            <w:vAlign w:val="center"/>
          </w:tcPr>
          <w:p w14:paraId="4B3B8067">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408DBCBD">
            <w:pPr>
              <w:spacing w:line="240" w:lineRule="auto"/>
              <w:ind w:firstLine="0" w:firstLineChars="0"/>
              <w:jc w:val="center"/>
              <w:textAlignment w:val="center"/>
              <w:rPr>
                <w:rFonts w:hint="eastAsia" w:ascii="宋体" w:hAnsi="宋体" w:eastAsia="宋体" w:cs="宋体"/>
                <w:sz w:val="18"/>
                <w:szCs w:val="18"/>
              </w:rPr>
            </w:pPr>
          </w:p>
        </w:tc>
      </w:tr>
      <w:tr w14:paraId="7C22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90" w:type="dxa"/>
            <w:vMerge w:val="restart"/>
            <w:noWrap w:val="0"/>
            <w:vAlign w:val="center"/>
          </w:tcPr>
          <w:p w14:paraId="4259A0C4">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1095" w:type="dxa"/>
            <w:vMerge w:val="restart"/>
            <w:noWrap w:val="0"/>
            <w:vAlign w:val="center"/>
          </w:tcPr>
          <w:p w14:paraId="6687D01E">
            <w:pPr>
              <w:spacing w:line="240" w:lineRule="auto"/>
              <w:ind w:firstLine="0" w:firstLineChars="0"/>
              <w:jc w:val="center"/>
              <w:rPr>
                <w:rFonts w:hint="eastAsia" w:ascii="Times New Roman" w:hAnsi="Times New Roman" w:eastAsia="宋体" w:cs="Times New Roman"/>
                <w:sz w:val="21"/>
                <w:szCs w:val="21"/>
              </w:rPr>
            </w:pPr>
            <w:r>
              <w:rPr>
                <w:rFonts w:hint="eastAsia" w:ascii="宋体" w:hAnsi="宋体" w:eastAsia="宋体" w:cs="宋体"/>
                <w:bCs/>
                <w:sz w:val="18"/>
                <w:szCs w:val="18"/>
              </w:rPr>
              <w:t>乳制品</w:t>
            </w:r>
          </w:p>
        </w:tc>
        <w:tc>
          <w:tcPr>
            <w:tcW w:w="1140" w:type="dxa"/>
            <w:vMerge w:val="restart"/>
            <w:noWrap w:val="0"/>
            <w:vAlign w:val="center"/>
          </w:tcPr>
          <w:p w14:paraId="4FE75BCA">
            <w:pPr>
              <w:spacing w:line="240" w:lineRule="auto"/>
              <w:ind w:firstLine="0" w:firstLineChars="0"/>
              <w:jc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乳制品</w:t>
            </w:r>
          </w:p>
        </w:tc>
        <w:tc>
          <w:tcPr>
            <w:tcW w:w="1011" w:type="dxa"/>
            <w:vMerge w:val="restart"/>
            <w:noWrap w:val="0"/>
            <w:vAlign w:val="center"/>
          </w:tcPr>
          <w:p w14:paraId="1E08C834">
            <w:pPr>
              <w:spacing w:line="240" w:lineRule="auto"/>
              <w:ind w:firstLine="0" w:firstLineChars="0"/>
              <w:jc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液体乳</w:t>
            </w:r>
          </w:p>
        </w:tc>
        <w:tc>
          <w:tcPr>
            <w:tcW w:w="1701" w:type="dxa"/>
            <w:noWrap w:val="0"/>
            <w:vAlign w:val="center"/>
          </w:tcPr>
          <w:p w14:paraId="4DF94DB4">
            <w:pPr>
              <w:spacing w:line="240" w:lineRule="auto"/>
              <w:ind w:firstLine="0" w:firstLineChars="0"/>
              <w:jc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灭菌乳</w:t>
            </w:r>
          </w:p>
        </w:tc>
        <w:tc>
          <w:tcPr>
            <w:tcW w:w="4819" w:type="dxa"/>
            <w:noWrap w:val="0"/>
            <w:vAlign w:val="center"/>
          </w:tcPr>
          <w:p w14:paraId="33F5266A">
            <w:pPr>
              <w:spacing w:line="240" w:lineRule="auto"/>
              <w:ind w:firstLine="0" w:firstLineChars="0"/>
              <w:jc w:val="left"/>
              <w:rPr>
                <w:rFonts w:hint="default" w:ascii="Times New Roman" w:hAnsi="Times New Roman" w:eastAsia="宋体" w:cs="Times New Roman"/>
                <w:sz w:val="21"/>
                <w:szCs w:val="21"/>
                <w:lang w:val="en-US" w:eastAsia="zh-CN"/>
              </w:rPr>
            </w:pPr>
            <w:r>
              <w:rPr>
                <w:rFonts w:hint="eastAsia" w:ascii="宋体" w:hAnsi="宋体" w:eastAsia="宋体" w:cs="宋体"/>
                <w:color w:val="000000"/>
                <w:sz w:val="20"/>
                <w:szCs w:val="21"/>
                <w:u w:val="none"/>
              </w:rPr>
              <w:t>三聚氰胺、商业无菌、丙二醇、蛋白质</w:t>
            </w:r>
            <w:r>
              <w:rPr>
                <w:rFonts w:hint="eastAsia" w:ascii="宋体" w:hAnsi="宋体" w:eastAsia="宋体" w:cs="宋体"/>
                <w:color w:val="000000"/>
                <w:sz w:val="20"/>
                <w:szCs w:val="21"/>
                <w:u w:val="none"/>
                <w:lang w:eastAsia="zh-CN"/>
              </w:rPr>
              <w:t>、非脂乳固体、酸度、脂肪、</w:t>
            </w:r>
            <w:r>
              <w:rPr>
                <w:rFonts w:hint="eastAsia" w:ascii="宋体" w:hAnsi="宋体" w:eastAsia="宋体" w:cs="宋体"/>
                <w:sz w:val="18"/>
                <w:szCs w:val="18"/>
              </w:rPr>
              <w:t>铅（以Pb计）、</w:t>
            </w:r>
            <w:r>
              <w:rPr>
                <w:rFonts w:hint="eastAsia" w:ascii="宋体" w:hAnsi="宋体" w:eastAsia="宋体" w:cs="宋体"/>
                <w:sz w:val="18"/>
                <w:szCs w:val="18"/>
                <w:lang w:eastAsia="zh-CN"/>
              </w:rPr>
              <w:t>黄曲霉毒素</w:t>
            </w:r>
            <w:r>
              <w:rPr>
                <w:rFonts w:hint="eastAsia" w:ascii="宋体" w:hAnsi="宋体" w:eastAsia="宋体" w:cs="宋体"/>
                <w:sz w:val="18"/>
                <w:szCs w:val="18"/>
                <w:lang w:val="en-US" w:eastAsia="zh-CN"/>
              </w:rPr>
              <w:t>M</w:t>
            </w:r>
            <w:r>
              <w:rPr>
                <w:rFonts w:hint="eastAsia" w:ascii="宋体" w:hAnsi="宋体" w:eastAsia="宋体" w:cs="宋体"/>
                <w:sz w:val="18"/>
                <w:szCs w:val="18"/>
                <w:vertAlign w:val="subscript"/>
                <w:lang w:val="en-US" w:eastAsia="zh-CN"/>
              </w:rPr>
              <w:t>1</w:t>
            </w:r>
          </w:p>
        </w:tc>
        <w:tc>
          <w:tcPr>
            <w:tcW w:w="669" w:type="dxa"/>
            <w:noWrap w:val="0"/>
            <w:vAlign w:val="center"/>
          </w:tcPr>
          <w:p w14:paraId="2D4E6ED9">
            <w:pPr>
              <w:spacing w:line="240" w:lineRule="auto"/>
              <w:ind w:firstLine="0" w:firstLineChars="0"/>
              <w:jc w:val="center"/>
              <w:rPr>
                <w:rFonts w:hint="eastAsia" w:ascii="Times New Roman" w:hAnsi="Times New Roman" w:eastAsia="宋体" w:cs="Times New Roman"/>
                <w:b/>
                <w:sz w:val="21"/>
                <w:szCs w:val="21"/>
              </w:rPr>
            </w:pPr>
            <w:r>
              <w:rPr>
                <w:rFonts w:hint="eastAsia" w:ascii="宋体" w:hAnsi="宋体" w:eastAsia="宋体" w:cs="宋体"/>
                <w:b/>
                <w:color w:val="000000"/>
                <w:sz w:val="20"/>
                <w:szCs w:val="21"/>
                <w:u w:val="none"/>
              </w:rPr>
              <w:t>4</w:t>
            </w:r>
          </w:p>
        </w:tc>
        <w:tc>
          <w:tcPr>
            <w:tcW w:w="1316" w:type="dxa"/>
            <w:noWrap w:val="0"/>
            <w:vAlign w:val="center"/>
          </w:tcPr>
          <w:p w14:paraId="2CAEBCAB">
            <w:pPr>
              <w:spacing w:line="240" w:lineRule="auto"/>
              <w:ind w:left="0" w:leftChars="0"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restart"/>
            <w:noWrap w:val="0"/>
            <w:vAlign w:val="center"/>
          </w:tcPr>
          <w:p w14:paraId="7B71ADB2">
            <w:pPr>
              <w:spacing w:line="240" w:lineRule="auto"/>
              <w:ind w:firstLine="0" w:firstLineChars="0"/>
              <w:jc w:val="center"/>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bidi="ar"/>
              </w:rPr>
              <w:t>校园专项、</w:t>
            </w:r>
            <w:r>
              <w:rPr>
                <w:rFonts w:hint="eastAsia" w:ascii="宋体" w:hAnsi="宋体" w:eastAsia="宋体" w:cs="宋体"/>
                <w:color w:val="000000"/>
                <w:kern w:val="0"/>
                <w:sz w:val="18"/>
                <w:szCs w:val="18"/>
                <w:lang w:eastAsia="zh-CN" w:bidi="ar"/>
              </w:rPr>
              <w:t>敬老院、餐饮环节、经营环节抽取</w:t>
            </w:r>
          </w:p>
        </w:tc>
      </w:tr>
      <w:tr w14:paraId="6E420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690" w:type="dxa"/>
            <w:vMerge w:val="continue"/>
            <w:noWrap w:val="0"/>
            <w:vAlign w:val="center"/>
          </w:tcPr>
          <w:p w14:paraId="0D903515">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70756DA8">
            <w:pPr>
              <w:spacing w:line="240" w:lineRule="auto"/>
              <w:ind w:firstLine="0" w:firstLineChars="0"/>
              <w:jc w:val="center"/>
              <w:rPr>
                <w:rFonts w:hint="eastAsia" w:ascii="Times New Roman" w:hAnsi="Times New Roman" w:eastAsia="宋体" w:cs="Times New Roman"/>
                <w:sz w:val="21"/>
                <w:szCs w:val="21"/>
              </w:rPr>
            </w:pPr>
          </w:p>
        </w:tc>
        <w:tc>
          <w:tcPr>
            <w:tcW w:w="1140" w:type="dxa"/>
            <w:vMerge w:val="continue"/>
            <w:noWrap w:val="0"/>
            <w:vAlign w:val="center"/>
          </w:tcPr>
          <w:p w14:paraId="31BD2300">
            <w:pPr>
              <w:spacing w:line="240" w:lineRule="auto"/>
              <w:ind w:firstLine="0" w:firstLineChars="0"/>
              <w:jc w:val="center"/>
              <w:rPr>
                <w:rFonts w:hint="eastAsia" w:ascii="宋体" w:hAnsi="宋体" w:eastAsia="宋体" w:cs="宋体"/>
                <w:b/>
                <w:sz w:val="21"/>
                <w:szCs w:val="21"/>
              </w:rPr>
            </w:pPr>
          </w:p>
        </w:tc>
        <w:tc>
          <w:tcPr>
            <w:tcW w:w="1011" w:type="dxa"/>
            <w:vMerge w:val="continue"/>
            <w:noWrap w:val="0"/>
            <w:vAlign w:val="center"/>
          </w:tcPr>
          <w:p w14:paraId="103516CD">
            <w:pPr>
              <w:spacing w:line="240" w:lineRule="auto"/>
              <w:ind w:firstLine="0" w:firstLineChars="0"/>
              <w:jc w:val="center"/>
              <w:rPr>
                <w:rFonts w:hint="eastAsia" w:ascii="宋体" w:hAnsi="宋体" w:eastAsia="宋体" w:cs="宋体"/>
                <w:b/>
                <w:sz w:val="21"/>
                <w:szCs w:val="21"/>
              </w:rPr>
            </w:pPr>
          </w:p>
        </w:tc>
        <w:tc>
          <w:tcPr>
            <w:tcW w:w="1701" w:type="dxa"/>
            <w:noWrap w:val="0"/>
            <w:vAlign w:val="center"/>
          </w:tcPr>
          <w:p w14:paraId="6F4AF85A">
            <w:pPr>
              <w:widowControl/>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20"/>
                <w:szCs w:val="21"/>
                <w:u w:val="none"/>
              </w:rPr>
              <w:t>调制乳</w:t>
            </w:r>
          </w:p>
        </w:tc>
        <w:tc>
          <w:tcPr>
            <w:tcW w:w="4819" w:type="dxa"/>
            <w:noWrap w:val="0"/>
            <w:vAlign w:val="center"/>
          </w:tcPr>
          <w:p w14:paraId="2D716443">
            <w:pPr>
              <w:widowControl/>
              <w:spacing w:line="240" w:lineRule="auto"/>
              <w:ind w:firstLine="0" w:firstLineChars="0"/>
              <w:jc w:val="left"/>
              <w:textAlignment w:val="center"/>
              <w:rPr>
                <w:rFonts w:hint="eastAsia" w:ascii="Times New Roman" w:hAnsi="Times New Roman" w:eastAsia="宋体" w:cs="Times New Roman"/>
                <w:sz w:val="18"/>
                <w:szCs w:val="18"/>
              </w:rPr>
            </w:pPr>
            <w:bookmarkStart w:id="30" w:name="OLE_LINK3"/>
            <w:bookmarkStart w:id="31" w:name="OLE_LINK4"/>
            <w:r>
              <w:rPr>
                <w:rFonts w:hint="eastAsia" w:ascii="宋体" w:hAnsi="宋体" w:eastAsia="宋体" w:cs="宋体"/>
                <w:color w:val="000000"/>
                <w:sz w:val="20"/>
                <w:szCs w:val="21"/>
                <w:u w:val="none"/>
              </w:rPr>
              <w:t>蛋白质、</w:t>
            </w:r>
            <w:r>
              <w:rPr>
                <w:rFonts w:hint="eastAsia" w:ascii="宋体" w:hAnsi="宋体" w:eastAsia="宋体" w:cs="宋体"/>
                <w:color w:val="000000"/>
                <w:sz w:val="20"/>
                <w:szCs w:val="21"/>
                <w:u w:val="none"/>
                <w:lang w:eastAsia="zh-CN"/>
              </w:rPr>
              <w:t>三聚氰胺、</w:t>
            </w:r>
            <w:r>
              <w:rPr>
                <w:rFonts w:hint="eastAsia" w:ascii="宋体" w:hAnsi="宋体" w:eastAsia="宋体" w:cs="宋体"/>
                <w:sz w:val="18"/>
                <w:szCs w:val="18"/>
              </w:rPr>
              <w:t>铅（以Pb计）、</w:t>
            </w:r>
            <w:r>
              <w:rPr>
                <w:rFonts w:hint="eastAsia" w:ascii="宋体" w:hAnsi="宋体" w:eastAsia="宋体" w:cs="宋体"/>
                <w:sz w:val="18"/>
                <w:szCs w:val="18"/>
                <w:lang w:eastAsia="zh-CN"/>
              </w:rPr>
              <w:t>黄曲霉毒素</w:t>
            </w:r>
            <w:r>
              <w:rPr>
                <w:rFonts w:hint="eastAsia" w:ascii="宋体" w:hAnsi="宋体" w:eastAsia="宋体" w:cs="宋体"/>
                <w:sz w:val="18"/>
                <w:szCs w:val="18"/>
                <w:lang w:val="en-US" w:eastAsia="zh-CN"/>
              </w:rPr>
              <w:t>M</w:t>
            </w:r>
            <w:r>
              <w:rPr>
                <w:rFonts w:hint="eastAsia" w:ascii="宋体" w:hAnsi="宋体" w:eastAsia="宋体" w:cs="宋体"/>
                <w:sz w:val="18"/>
                <w:szCs w:val="18"/>
                <w:vertAlign w:val="subscript"/>
                <w:lang w:val="en-US" w:eastAsia="zh-CN"/>
              </w:rPr>
              <w:t>1</w:t>
            </w:r>
            <w:r>
              <w:rPr>
                <w:rFonts w:hint="eastAsia" w:ascii="宋体" w:hAnsi="宋体" w:eastAsia="宋体" w:cs="宋体"/>
                <w:color w:val="000000"/>
                <w:sz w:val="20"/>
                <w:szCs w:val="21"/>
                <w:u w:val="none"/>
              </w:rPr>
              <w:t>、商业无菌、</w:t>
            </w:r>
            <w:bookmarkEnd w:id="30"/>
            <w:bookmarkEnd w:id="31"/>
            <w:r>
              <w:rPr>
                <w:rFonts w:hint="eastAsia" w:ascii="宋体" w:hAnsi="宋体" w:eastAsia="宋体" w:cs="宋体"/>
                <w:color w:val="000000"/>
                <w:sz w:val="20"/>
                <w:szCs w:val="21"/>
                <w:u w:val="none"/>
              </w:rPr>
              <w:t>菌落总数</w:t>
            </w:r>
            <w:r>
              <w:rPr>
                <w:rFonts w:hint="eastAsia" w:ascii="宋体" w:hAnsi="宋体" w:eastAsia="宋体" w:cs="宋体"/>
                <w:color w:val="000000"/>
                <w:sz w:val="20"/>
                <w:szCs w:val="21"/>
                <w:u w:val="none"/>
                <w:lang w:eastAsia="zh-CN"/>
              </w:rPr>
              <w:t>、</w:t>
            </w:r>
            <w:r>
              <w:rPr>
                <w:rFonts w:hint="eastAsia" w:ascii="宋体" w:hAnsi="宋体" w:eastAsia="宋体" w:cs="宋体"/>
                <w:color w:val="000000"/>
                <w:sz w:val="20"/>
                <w:szCs w:val="21"/>
                <w:u w:val="none"/>
              </w:rPr>
              <w:t>大肠菌群</w:t>
            </w:r>
          </w:p>
        </w:tc>
        <w:tc>
          <w:tcPr>
            <w:tcW w:w="669" w:type="dxa"/>
            <w:noWrap w:val="0"/>
            <w:vAlign w:val="center"/>
          </w:tcPr>
          <w:p w14:paraId="7A03334A">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color w:val="000000"/>
                <w:sz w:val="20"/>
                <w:szCs w:val="21"/>
                <w:u w:val="none"/>
                <w:lang w:val="en-US" w:eastAsia="zh-CN"/>
              </w:rPr>
              <w:t>2</w:t>
            </w:r>
          </w:p>
        </w:tc>
        <w:tc>
          <w:tcPr>
            <w:tcW w:w="1316" w:type="dxa"/>
            <w:noWrap w:val="0"/>
            <w:vAlign w:val="center"/>
          </w:tcPr>
          <w:p w14:paraId="6B579F51">
            <w:pPr>
              <w:spacing w:line="240" w:lineRule="auto"/>
              <w:ind w:left="0" w:leftChars="0"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1563F577">
            <w:pPr>
              <w:spacing w:line="240" w:lineRule="auto"/>
              <w:ind w:firstLine="0" w:firstLineChars="0"/>
              <w:jc w:val="center"/>
              <w:rPr>
                <w:rFonts w:hint="eastAsia" w:ascii="宋体" w:hAnsi="宋体" w:eastAsia="宋体" w:cs="宋体"/>
                <w:color w:val="000000"/>
                <w:kern w:val="0"/>
                <w:sz w:val="18"/>
                <w:szCs w:val="18"/>
                <w:lang w:bidi="ar"/>
              </w:rPr>
            </w:pPr>
          </w:p>
        </w:tc>
      </w:tr>
      <w:tr w14:paraId="2C00E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690" w:type="dxa"/>
            <w:vMerge w:val="continue"/>
            <w:noWrap w:val="0"/>
            <w:vAlign w:val="center"/>
          </w:tcPr>
          <w:p w14:paraId="02AC4B99">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12E2C121">
            <w:pPr>
              <w:spacing w:line="240" w:lineRule="auto"/>
              <w:ind w:firstLine="0" w:firstLineChars="0"/>
              <w:jc w:val="center"/>
              <w:rPr>
                <w:rFonts w:hint="eastAsia" w:ascii="Times New Roman" w:hAnsi="Times New Roman" w:eastAsia="宋体" w:cs="Times New Roman"/>
                <w:sz w:val="21"/>
                <w:szCs w:val="21"/>
              </w:rPr>
            </w:pPr>
          </w:p>
        </w:tc>
        <w:tc>
          <w:tcPr>
            <w:tcW w:w="1140" w:type="dxa"/>
            <w:vMerge w:val="continue"/>
            <w:noWrap w:val="0"/>
            <w:vAlign w:val="center"/>
          </w:tcPr>
          <w:p w14:paraId="1C0EA1DC">
            <w:pPr>
              <w:spacing w:line="240" w:lineRule="auto"/>
              <w:ind w:firstLine="0" w:firstLineChars="0"/>
              <w:jc w:val="center"/>
              <w:rPr>
                <w:rFonts w:hint="eastAsia" w:ascii="宋体" w:hAnsi="宋体" w:eastAsia="宋体" w:cs="宋体"/>
                <w:b/>
                <w:sz w:val="21"/>
                <w:szCs w:val="21"/>
              </w:rPr>
            </w:pPr>
          </w:p>
        </w:tc>
        <w:tc>
          <w:tcPr>
            <w:tcW w:w="1011" w:type="dxa"/>
            <w:noWrap w:val="0"/>
            <w:vAlign w:val="center"/>
          </w:tcPr>
          <w:p w14:paraId="73A6A703">
            <w:pPr>
              <w:spacing w:line="240" w:lineRule="auto"/>
              <w:ind w:firstLine="0" w:firstLineChars="0"/>
              <w:jc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乳粉</w:t>
            </w:r>
          </w:p>
        </w:tc>
        <w:tc>
          <w:tcPr>
            <w:tcW w:w="1701" w:type="dxa"/>
            <w:noWrap w:val="0"/>
            <w:vAlign w:val="center"/>
          </w:tcPr>
          <w:p w14:paraId="717FA449">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乳粉（全脂、脱脂、部分脱脂）和调制乳粉</w:t>
            </w:r>
          </w:p>
        </w:tc>
        <w:tc>
          <w:tcPr>
            <w:tcW w:w="4819" w:type="dxa"/>
            <w:noWrap w:val="0"/>
            <w:vAlign w:val="center"/>
          </w:tcPr>
          <w:p w14:paraId="09F22299">
            <w:pPr>
              <w:spacing w:line="240" w:lineRule="auto"/>
              <w:ind w:firstLine="0" w:firstLineChars="0"/>
              <w:jc w:val="left"/>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蛋白质、脂肪、水分、三聚氰胺、</w:t>
            </w:r>
            <w:r>
              <w:rPr>
                <w:rFonts w:hint="eastAsia" w:ascii="宋体" w:hAnsi="宋体" w:eastAsia="宋体" w:cs="宋体"/>
                <w:sz w:val="18"/>
                <w:szCs w:val="18"/>
              </w:rPr>
              <w:t>铅（以Pb计）、</w:t>
            </w:r>
            <w:r>
              <w:rPr>
                <w:rFonts w:hint="eastAsia" w:ascii="宋体" w:hAnsi="宋体" w:eastAsia="宋体" w:cs="宋体"/>
                <w:sz w:val="18"/>
                <w:szCs w:val="18"/>
                <w:lang w:eastAsia="zh-CN"/>
              </w:rPr>
              <w:t>复原乳酸度、杂质度、</w:t>
            </w:r>
            <w:r>
              <w:rPr>
                <w:rFonts w:hint="eastAsia" w:ascii="宋体" w:hAnsi="宋体" w:eastAsia="宋体" w:cs="宋体"/>
                <w:color w:val="000000"/>
                <w:sz w:val="20"/>
                <w:szCs w:val="21"/>
                <w:u w:val="none"/>
              </w:rPr>
              <w:t>菌落总数、大肠菌群</w:t>
            </w:r>
          </w:p>
        </w:tc>
        <w:tc>
          <w:tcPr>
            <w:tcW w:w="669" w:type="dxa"/>
            <w:noWrap w:val="0"/>
            <w:vAlign w:val="center"/>
          </w:tcPr>
          <w:p w14:paraId="6D9E6792">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宋体" w:hAnsi="宋体" w:eastAsia="宋体" w:cs="宋体"/>
                <w:b/>
                <w:color w:val="000000"/>
                <w:sz w:val="20"/>
                <w:szCs w:val="21"/>
                <w:u w:val="none"/>
                <w:lang w:val="en-US" w:eastAsia="zh-CN"/>
              </w:rPr>
              <w:t>2</w:t>
            </w:r>
          </w:p>
        </w:tc>
        <w:tc>
          <w:tcPr>
            <w:tcW w:w="1316" w:type="dxa"/>
            <w:noWrap w:val="0"/>
            <w:vAlign w:val="center"/>
          </w:tcPr>
          <w:p w14:paraId="029ABFF2">
            <w:pPr>
              <w:spacing w:line="240" w:lineRule="auto"/>
              <w:ind w:left="0" w:leftChars="0"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4CA9BF2C">
            <w:pPr>
              <w:spacing w:line="240" w:lineRule="auto"/>
              <w:ind w:firstLine="0" w:firstLineChars="0"/>
              <w:jc w:val="center"/>
              <w:rPr>
                <w:rFonts w:hint="eastAsia" w:ascii="宋体" w:hAnsi="宋体" w:eastAsia="宋体" w:cs="宋体"/>
                <w:color w:val="000000"/>
                <w:kern w:val="0"/>
                <w:sz w:val="18"/>
                <w:szCs w:val="18"/>
                <w:lang w:eastAsia="zh-CN" w:bidi="ar"/>
              </w:rPr>
            </w:pPr>
          </w:p>
        </w:tc>
      </w:tr>
      <w:tr w14:paraId="6D26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690" w:type="dxa"/>
            <w:vMerge w:val="continue"/>
            <w:noWrap w:val="0"/>
            <w:vAlign w:val="center"/>
          </w:tcPr>
          <w:p w14:paraId="3223592F">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13A2F21A">
            <w:pPr>
              <w:spacing w:line="240" w:lineRule="auto"/>
              <w:ind w:firstLine="0" w:firstLineChars="0"/>
              <w:jc w:val="center"/>
              <w:rPr>
                <w:rFonts w:hint="eastAsia" w:ascii="Times New Roman" w:hAnsi="Times New Roman" w:eastAsia="宋体" w:cs="Times New Roman"/>
                <w:sz w:val="21"/>
                <w:szCs w:val="21"/>
              </w:rPr>
            </w:pPr>
          </w:p>
        </w:tc>
        <w:tc>
          <w:tcPr>
            <w:tcW w:w="1140" w:type="dxa"/>
            <w:vMerge w:val="continue"/>
            <w:noWrap w:val="0"/>
            <w:vAlign w:val="center"/>
          </w:tcPr>
          <w:p w14:paraId="487481D4">
            <w:pPr>
              <w:spacing w:line="240" w:lineRule="auto"/>
              <w:ind w:firstLine="0" w:firstLineChars="0"/>
              <w:jc w:val="center"/>
              <w:rPr>
                <w:rFonts w:hint="eastAsia" w:ascii="宋体" w:hAnsi="宋体" w:eastAsia="宋体" w:cs="宋体"/>
                <w:b/>
                <w:sz w:val="21"/>
                <w:szCs w:val="21"/>
              </w:rPr>
            </w:pPr>
          </w:p>
        </w:tc>
        <w:tc>
          <w:tcPr>
            <w:tcW w:w="1011" w:type="dxa"/>
            <w:vMerge w:val="restart"/>
            <w:noWrap w:val="0"/>
            <w:vAlign w:val="center"/>
          </w:tcPr>
          <w:p w14:paraId="51481C34">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宋体" w:hAnsi="宋体" w:eastAsia="宋体" w:cs="宋体"/>
                <w:color w:val="000000"/>
                <w:sz w:val="20"/>
                <w:szCs w:val="21"/>
                <w:u w:val="none"/>
                <w:lang w:eastAsia="zh-CN"/>
              </w:rPr>
              <w:t>其他乳制品</w:t>
            </w:r>
          </w:p>
        </w:tc>
        <w:tc>
          <w:tcPr>
            <w:tcW w:w="1701" w:type="dxa"/>
            <w:noWrap w:val="0"/>
            <w:vAlign w:val="center"/>
          </w:tcPr>
          <w:p w14:paraId="0408E756">
            <w:pPr>
              <w:spacing w:line="240" w:lineRule="auto"/>
              <w:ind w:firstLine="0" w:firstLineChars="0"/>
              <w:jc w:val="center"/>
              <w:textAlignment w:val="center"/>
              <w:rPr>
                <w:rFonts w:hint="eastAsia" w:ascii="Times New Roman" w:hAnsi="Times New Roman" w:eastAsia="宋体" w:cs="Times New Roman"/>
                <w:sz w:val="21"/>
                <w:szCs w:val="21"/>
                <w:lang w:eastAsia="zh-CN"/>
              </w:rPr>
            </w:pPr>
            <w:r>
              <w:rPr>
                <w:rFonts w:hint="eastAsia" w:ascii="宋体" w:hAnsi="宋体" w:eastAsia="宋体" w:cs="宋体"/>
                <w:color w:val="000000"/>
                <w:sz w:val="20"/>
                <w:szCs w:val="21"/>
                <w:u w:val="none"/>
                <w:lang w:eastAsia="zh-CN"/>
              </w:rPr>
              <w:t>干酪、再制干酪、干酪制品</w:t>
            </w:r>
          </w:p>
        </w:tc>
        <w:tc>
          <w:tcPr>
            <w:tcW w:w="4819" w:type="dxa"/>
            <w:noWrap w:val="0"/>
            <w:vAlign w:val="center"/>
          </w:tcPr>
          <w:p w14:paraId="22983742">
            <w:pPr>
              <w:spacing w:line="240" w:lineRule="auto"/>
              <w:ind w:firstLine="0" w:firstLineChars="0"/>
              <w:jc w:val="left"/>
              <w:textAlignment w:val="center"/>
              <w:rPr>
                <w:rFonts w:hint="default" w:ascii="Times New Roman" w:hAnsi="Times New Roman" w:eastAsia="宋体" w:cs="Times New Roman"/>
                <w:sz w:val="21"/>
                <w:szCs w:val="21"/>
                <w:lang w:val="en-US" w:eastAsia="zh-CN"/>
              </w:rPr>
            </w:pPr>
            <w:r>
              <w:rPr>
                <w:rFonts w:hint="eastAsia" w:ascii="宋体" w:hAnsi="宋体" w:eastAsia="宋体" w:cs="宋体"/>
                <w:color w:val="000000"/>
                <w:sz w:val="20"/>
                <w:szCs w:val="21"/>
                <w:u w:val="none"/>
                <w:lang w:eastAsia="zh-CN"/>
              </w:rPr>
              <w:t>三聚氰胺、金黄色葡萄球菌、沙门氏菌、单核细胞增生李斯特氏菌、菌落总数（不适用于添加活性菌种（好氧和兼性厌氧益生菌）的产品）、大肠菌群、霉菌</w:t>
            </w:r>
          </w:p>
        </w:tc>
        <w:tc>
          <w:tcPr>
            <w:tcW w:w="669" w:type="dxa"/>
            <w:noWrap w:val="0"/>
            <w:vAlign w:val="center"/>
          </w:tcPr>
          <w:p w14:paraId="46C6D908">
            <w:pPr>
              <w:spacing w:line="240" w:lineRule="auto"/>
              <w:ind w:firstLine="0" w:firstLineChars="0"/>
              <w:jc w:val="center"/>
              <w:rPr>
                <w:rFonts w:hint="default" w:ascii="Times New Roman" w:hAnsi="Times New Roman" w:eastAsia="宋体" w:cs="Times New Roman"/>
                <w:b/>
                <w:sz w:val="21"/>
                <w:szCs w:val="21"/>
                <w:lang w:val="en-US" w:eastAsia="zh-CN"/>
              </w:rPr>
            </w:pPr>
            <w:r>
              <w:rPr>
                <w:rFonts w:hint="eastAsia" w:ascii="宋体" w:hAnsi="宋体" w:eastAsia="宋体" w:cs="宋体"/>
                <w:b/>
                <w:color w:val="000000"/>
                <w:sz w:val="20"/>
                <w:szCs w:val="21"/>
                <w:u w:val="none"/>
                <w:lang w:val="en-US" w:eastAsia="zh-CN"/>
              </w:rPr>
              <w:t>2</w:t>
            </w:r>
          </w:p>
        </w:tc>
        <w:tc>
          <w:tcPr>
            <w:tcW w:w="1316" w:type="dxa"/>
            <w:noWrap w:val="0"/>
            <w:vAlign w:val="center"/>
          </w:tcPr>
          <w:p w14:paraId="4177C27E">
            <w:pPr>
              <w:spacing w:line="240" w:lineRule="auto"/>
              <w:ind w:left="0" w:leftChars="0" w:firstLine="0" w:firstLineChars="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65F21B34">
            <w:pPr>
              <w:spacing w:line="240" w:lineRule="auto"/>
              <w:ind w:firstLine="0" w:firstLineChars="0"/>
              <w:jc w:val="center"/>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eastAsia="zh-CN" w:bidi="ar"/>
              </w:rPr>
              <w:t>经营环节</w:t>
            </w:r>
          </w:p>
        </w:tc>
      </w:tr>
      <w:tr w14:paraId="4FF32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690" w:type="dxa"/>
            <w:vMerge w:val="continue"/>
            <w:noWrap w:val="0"/>
            <w:vAlign w:val="center"/>
          </w:tcPr>
          <w:p w14:paraId="2942902D">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21255C6B">
            <w:pPr>
              <w:spacing w:line="240" w:lineRule="auto"/>
              <w:ind w:firstLine="0" w:firstLineChars="0"/>
              <w:jc w:val="center"/>
              <w:rPr>
                <w:rFonts w:hint="eastAsia" w:ascii="Times New Roman" w:hAnsi="Times New Roman" w:eastAsia="宋体" w:cs="Times New Roman"/>
                <w:sz w:val="21"/>
                <w:szCs w:val="21"/>
              </w:rPr>
            </w:pPr>
          </w:p>
        </w:tc>
        <w:tc>
          <w:tcPr>
            <w:tcW w:w="1140" w:type="dxa"/>
            <w:vMerge w:val="continue"/>
            <w:noWrap w:val="0"/>
            <w:vAlign w:val="center"/>
          </w:tcPr>
          <w:p w14:paraId="55ED0304">
            <w:pPr>
              <w:spacing w:line="240" w:lineRule="auto"/>
              <w:ind w:firstLine="0" w:firstLineChars="0"/>
              <w:jc w:val="center"/>
              <w:rPr>
                <w:rFonts w:hint="eastAsia" w:ascii="宋体" w:hAnsi="宋体" w:eastAsia="宋体" w:cs="宋体"/>
                <w:b/>
                <w:sz w:val="21"/>
                <w:szCs w:val="21"/>
              </w:rPr>
            </w:pPr>
          </w:p>
        </w:tc>
        <w:tc>
          <w:tcPr>
            <w:tcW w:w="1011" w:type="dxa"/>
            <w:vMerge w:val="continue"/>
            <w:noWrap w:val="0"/>
            <w:vAlign w:val="center"/>
          </w:tcPr>
          <w:p w14:paraId="277B681B">
            <w:pPr>
              <w:spacing w:line="240" w:lineRule="auto"/>
              <w:ind w:firstLine="0" w:firstLineChars="0"/>
              <w:jc w:val="center"/>
              <w:rPr>
                <w:rFonts w:hint="eastAsia" w:ascii="Times New Roman" w:hAnsi="Times New Roman" w:eastAsia="宋体" w:cs="Times New Roman"/>
                <w:sz w:val="21"/>
                <w:szCs w:val="21"/>
              </w:rPr>
            </w:pPr>
          </w:p>
        </w:tc>
        <w:tc>
          <w:tcPr>
            <w:tcW w:w="1701" w:type="dxa"/>
            <w:noWrap w:val="0"/>
            <w:vAlign w:val="center"/>
          </w:tcPr>
          <w:p w14:paraId="4FB06631">
            <w:pPr>
              <w:spacing w:line="240" w:lineRule="auto"/>
              <w:ind w:firstLine="0" w:firstLineChars="0"/>
              <w:jc w:val="center"/>
              <w:textAlignment w:val="center"/>
              <w:rPr>
                <w:rFonts w:hint="eastAsia" w:ascii="Times New Roman" w:hAnsi="Times New Roman" w:eastAsia="宋体" w:cs="Times New Roman"/>
                <w:sz w:val="21"/>
                <w:szCs w:val="21"/>
                <w:lang w:eastAsia="zh-CN"/>
              </w:rPr>
            </w:pPr>
            <w:r>
              <w:rPr>
                <w:rFonts w:hint="eastAsia" w:ascii="宋体" w:hAnsi="宋体" w:eastAsia="宋体" w:cs="宋体"/>
                <w:color w:val="000000"/>
                <w:sz w:val="20"/>
                <w:szCs w:val="21"/>
                <w:u w:val="none"/>
                <w:lang w:eastAsia="zh-CN"/>
              </w:rPr>
              <w:t>奶片、奶条等固态成型产品</w:t>
            </w:r>
          </w:p>
        </w:tc>
        <w:tc>
          <w:tcPr>
            <w:tcW w:w="4819" w:type="dxa"/>
            <w:noWrap w:val="0"/>
            <w:vAlign w:val="center"/>
          </w:tcPr>
          <w:p w14:paraId="54B9C861">
            <w:pPr>
              <w:spacing w:line="240" w:lineRule="auto"/>
              <w:ind w:firstLine="0" w:firstLineChars="0"/>
              <w:jc w:val="left"/>
              <w:textAlignment w:val="center"/>
              <w:rPr>
                <w:rFonts w:hint="eastAsia" w:ascii="Times New Roman" w:hAnsi="Times New Roman" w:eastAsia="宋体" w:cs="Times New Roman"/>
                <w:sz w:val="21"/>
                <w:szCs w:val="21"/>
                <w:lang w:eastAsia="zh-CN"/>
              </w:rPr>
            </w:pPr>
            <w:r>
              <w:rPr>
                <w:rFonts w:hint="eastAsia" w:ascii="宋体" w:hAnsi="宋体" w:eastAsia="宋体" w:cs="宋体"/>
                <w:color w:val="000000"/>
                <w:sz w:val="20"/>
                <w:szCs w:val="21"/>
                <w:u w:val="none"/>
                <w:lang w:eastAsia="zh-CN"/>
              </w:rPr>
              <w:t>蛋白质、脱氢乙酸及其钠盐（以脱氢乙酸计）、三聚氰胺、沙门氏菌</w:t>
            </w:r>
          </w:p>
        </w:tc>
        <w:tc>
          <w:tcPr>
            <w:tcW w:w="669" w:type="dxa"/>
            <w:noWrap w:val="0"/>
            <w:vAlign w:val="center"/>
          </w:tcPr>
          <w:p w14:paraId="144CFA29">
            <w:pPr>
              <w:spacing w:line="240" w:lineRule="auto"/>
              <w:ind w:firstLine="0" w:firstLineChars="0"/>
              <w:jc w:val="center"/>
              <w:rPr>
                <w:rFonts w:hint="default" w:ascii="Times New Roman" w:hAnsi="Times New Roman" w:eastAsia="宋体" w:cs="Times New Roman"/>
                <w:b/>
                <w:sz w:val="21"/>
                <w:szCs w:val="21"/>
                <w:lang w:val="en-US" w:eastAsia="zh-CN"/>
              </w:rPr>
            </w:pPr>
            <w:r>
              <w:rPr>
                <w:rFonts w:hint="eastAsia" w:ascii="宋体" w:hAnsi="宋体" w:eastAsia="宋体" w:cs="宋体"/>
                <w:b/>
                <w:color w:val="000000"/>
                <w:sz w:val="20"/>
                <w:szCs w:val="21"/>
                <w:u w:val="none"/>
                <w:lang w:val="en-US" w:eastAsia="zh-CN"/>
              </w:rPr>
              <w:t>4</w:t>
            </w:r>
          </w:p>
        </w:tc>
        <w:tc>
          <w:tcPr>
            <w:tcW w:w="1316" w:type="dxa"/>
            <w:noWrap w:val="0"/>
            <w:vAlign w:val="center"/>
          </w:tcPr>
          <w:p w14:paraId="1C9D1DB5">
            <w:pPr>
              <w:spacing w:line="240" w:lineRule="auto"/>
              <w:ind w:left="0" w:leftChars="0" w:firstLine="0" w:firstLineChars="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5B417915">
            <w:pPr>
              <w:spacing w:line="240" w:lineRule="auto"/>
              <w:ind w:firstLine="0" w:firstLineChars="0"/>
              <w:jc w:val="center"/>
              <w:rPr>
                <w:rFonts w:hint="eastAsia" w:ascii="宋体" w:hAnsi="宋体" w:eastAsia="宋体" w:cs="宋体"/>
                <w:color w:val="000000"/>
                <w:kern w:val="0"/>
                <w:sz w:val="18"/>
                <w:szCs w:val="18"/>
                <w:lang w:eastAsia="zh-CN" w:bidi="ar"/>
              </w:rPr>
            </w:pPr>
            <w:r>
              <w:rPr>
                <w:rFonts w:hint="eastAsia" w:ascii="宋体" w:hAnsi="宋体" w:eastAsia="宋体" w:cs="宋体"/>
                <w:color w:val="000000"/>
                <w:kern w:val="0"/>
                <w:sz w:val="18"/>
                <w:szCs w:val="18"/>
                <w:lang w:eastAsia="zh-CN" w:bidi="ar"/>
              </w:rPr>
              <w:t>经营环节</w:t>
            </w:r>
          </w:p>
        </w:tc>
      </w:tr>
      <w:tr w14:paraId="4B8F2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0" w:type="dxa"/>
            <w:noWrap w:val="0"/>
            <w:vAlign w:val="center"/>
          </w:tcPr>
          <w:p w14:paraId="699C5E4D">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3</w:t>
            </w:r>
          </w:p>
        </w:tc>
        <w:tc>
          <w:tcPr>
            <w:tcW w:w="1095" w:type="dxa"/>
            <w:noWrap w:val="0"/>
            <w:vAlign w:val="center"/>
          </w:tcPr>
          <w:p w14:paraId="11C9DCAE">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0"/>
                <w:szCs w:val="21"/>
                <w:u w:val="none"/>
              </w:rPr>
              <w:t>食用油、油脂及其制品</w:t>
            </w:r>
          </w:p>
        </w:tc>
        <w:tc>
          <w:tcPr>
            <w:tcW w:w="1140" w:type="dxa"/>
            <w:noWrap w:val="0"/>
            <w:vAlign w:val="center"/>
          </w:tcPr>
          <w:p w14:paraId="39CCF639">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0"/>
                <w:szCs w:val="21"/>
                <w:u w:val="none"/>
              </w:rPr>
              <w:t>食用植物油</w:t>
            </w:r>
          </w:p>
        </w:tc>
        <w:tc>
          <w:tcPr>
            <w:tcW w:w="1011" w:type="dxa"/>
            <w:noWrap w:val="0"/>
            <w:vAlign w:val="center"/>
          </w:tcPr>
          <w:p w14:paraId="75C4830D">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0"/>
                <w:szCs w:val="21"/>
                <w:u w:val="none"/>
              </w:rPr>
              <w:t>食用植物油</w:t>
            </w:r>
          </w:p>
        </w:tc>
        <w:tc>
          <w:tcPr>
            <w:tcW w:w="1701" w:type="dxa"/>
            <w:noWrap w:val="0"/>
            <w:vAlign w:val="center"/>
          </w:tcPr>
          <w:p w14:paraId="25E62539">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花生油、大豆油、芝麻油、菜籽油、葵花籽油、玉米油、核桃油、食用植物调和油等</w:t>
            </w:r>
          </w:p>
        </w:tc>
        <w:tc>
          <w:tcPr>
            <w:tcW w:w="4819" w:type="dxa"/>
            <w:noWrap w:val="0"/>
            <w:vAlign w:val="center"/>
          </w:tcPr>
          <w:p w14:paraId="4BF16F29">
            <w:pPr>
              <w:widowControl/>
              <w:spacing w:line="240" w:lineRule="auto"/>
              <w:ind w:firstLine="0" w:firstLineChars="0"/>
              <w:jc w:val="left"/>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酸值</w:t>
            </w:r>
            <w:r>
              <w:rPr>
                <w:rFonts w:hint="eastAsia" w:ascii="宋体" w:hAnsi="宋体" w:eastAsia="宋体" w:cs="宋体"/>
                <w:sz w:val="18"/>
                <w:szCs w:val="18"/>
                <w:lang w:val="en-US" w:eastAsia="zh-CN"/>
              </w:rPr>
              <w:t>/</w:t>
            </w:r>
            <w:r>
              <w:rPr>
                <w:rFonts w:hint="eastAsia" w:ascii="宋体" w:hAnsi="宋体" w:eastAsia="宋体" w:cs="宋体"/>
                <w:sz w:val="18"/>
                <w:szCs w:val="18"/>
              </w:rPr>
              <w:t>酸价、过氧化值、</w:t>
            </w:r>
            <w:bookmarkStart w:id="32" w:name="OLE_LINK5"/>
            <w:r>
              <w:rPr>
                <w:rFonts w:hint="eastAsia" w:ascii="宋体" w:hAnsi="宋体" w:eastAsia="宋体" w:cs="宋体"/>
                <w:sz w:val="18"/>
                <w:szCs w:val="18"/>
              </w:rPr>
              <w:t>铅（以Pb计）、</w:t>
            </w:r>
            <w:bookmarkEnd w:id="32"/>
            <w:r>
              <w:rPr>
                <w:rFonts w:hint="eastAsia" w:ascii="宋体" w:hAnsi="宋体" w:eastAsia="宋体" w:cs="宋体"/>
                <w:sz w:val="18"/>
                <w:szCs w:val="18"/>
              </w:rPr>
              <w:t>溶剂残留量、乙基麦芽酚、黄曲霉毒素B1、苯并〔a〕芘</w:t>
            </w:r>
            <w:r>
              <w:rPr>
                <w:rFonts w:hint="eastAsia" w:ascii="宋体" w:hAnsi="宋体" w:eastAsia="宋体" w:cs="宋体"/>
                <w:sz w:val="18"/>
                <w:szCs w:val="18"/>
                <w:lang w:eastAsia="zh-CN"/>
              </w:rPr>
              <w:t>、特丁基对苯二酚</w:t>
            </w:r>
          </w:p>
        </w:tc>
        <w:tc>
          <w:tcPr>
            <w:tcW w:w="669" w:type="dxa"/>
            <w:noWrap w:val="0"/>
            <w:vAlign w:val="center"/>
          </w:tcPr>
          <w:p w14:paraId="75F303CB">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15</w:t>
            </w:r>
          </w:p>
        </w:tc>
        <w:tc>
          <w:tcPr>
            <w:tcW w:w="1316" w:type="dxa"/>
            <w:noWrap w:val="0"/>
            <w:vAlign w:val="center"/>
          </w:tcPr>
          <w:p w14:paraId="242B2E8D">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0FAF4866">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color w:val="000000"/>
                <w:sz w:val="18"/>
                <w:szCs w:val="18"/>
                <w:u w:val="none"/>
                <w:lang w:eastAsia="zh-CN"/>
              </w:rPr>
              <w:t>食用植物油专项、</w:t>
            </w:r>
            <w:r>
              <w:rPr>
                <w:rFonts w:hint="eastAsia" w:ascii="宋体" w:hAnsi="宋体" w:eastAsia="宋体" w:cs="宋体"/>
                <w:color w:val="000000"/>
                <w:sz w:val="18"/>
                <w:szCs w:val="18"/>
                <w:u w:val="none"/>
              </w:rPr>
              <w:t>校园专项、</w:t>
            </w:r>
            <w:r>
              <w:rPr>
                <w:rFonts w:hint="eastAsia" w:ascii="宋体" w:hAnsi="宋体" w:eastAsia="宋体" w:cs="宋体"/>
                <w:color w:val="000000"/>
                <w:sz w:val="18"/>
                <w:szCs w:val="18"/>
                <w:u w:val="none"/>
                <w:lang w:eastAsia="zh-CN"/>
              </w:rPr>
              <w:t>生产、经营、</w:t>
            </w:r>
            <w:r>
              <w:rPr>
                <w:rFonts w:hint="eastAsia" w:ascii="宋体" w:hAnsi="宋体" w:eastAsia="宋体" w:cs="宋体"/>
                <w:color w:val="000000"/>
                <w:sz w:val="18"/>
                <w:szCs w:val="18"/>
                <w:u w:val="none"/>
              </w:rPr>
              <w:t>餐饮环节</w:t>
            </w:r>
            <w:r>
              <w:rPr>
                <w:rFonts w:hint="eastAsia" w:ascii="宋体" w:hAnsi="宋体" w:eastAsia="宋体" w:cs="宋体"/>
                <w:color w:val="000000"/>
                <w:sz w:val="18"/>
                <w:szCs w:val="18"/>
                <w:u w:val="none"/>
                <w:lang w:eastAsia="zh-CN"/>
              </w:rPr>
              <w:t>抽取</w:t>
            </w:r>
          </w:p>
        </w:tc>
      </w:tr>
      <w:tr w14:paraId="678E0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7" w:hRule="atLeast"/>
        </w:trPr>
        <w:tc>
          <w:tcPr>
            <w:tcW w:w="690" w:type="dxa"/>
            <w:vMerge w:val="restart"/>
            <w:noWrap w:val="0"/>
            <w:vAlign w:val="center"/>
          </w:tcPr>
          <w:p w14:paraId="3AC1F907">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4</w:t>
            </w:r>
          </w:p>
        </w:tc>
        <w:tc>
          <w:tcPr>
            <w:tcW w:w="1095" w:type="dxa"/>
            <w:vMerge w:val="restart"/>
            <w:noWrap w:val="0"/>
            <w:vAlign w:val="center"/>
          </w:tcPr>
          <w:p w14:paraId="0BF721D0">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肉制品</w:t>
            </w:r>
          </w:p>
        </w:tc>
        <w:tc>
          <w:tcPr>
            <w:tcW w:w="1140" w:type="dxa"/>
            <w:vMerge w:val="restart"/>
            <w:noWrap w:val="0"/>
            <w:vAlign w:val="center"/>
          </w:tcPr>
          <w:p w14:paraId="5F3EF7F1">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熟肉制品</w:t>
            </w:r>
          </w:p>
        </w:tc>
        <w:tc>
          <w:tcPr>
            <w:tcW w:w="1011" w:type="dxa"/>
            <w:vMerge w:val="restart"/>
            <w:noWrap w:val="0"/>
            <w:vAlign w:val="center"/>
          </w:tcPr>
          <w:p w14:paraId="204CE984">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酱卤肉制品</w:t>
            </w:r>
          </w:p>
        </w:tc>
        <w:tc>
          <w:tcPr>
            <w:tcW w:w="1701" w:type="dxa"/>
            <w:noWrap w:val="0"/>
            <w:vAlign w:val="center"/>
          </w:tcPr>
          <w:p w14:paraId="64A48978">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酱卤肉制品</w:t>
            </w:r>
          </w:p>
        </w:tc>
        <w:tc>
          <w:tcPr>
            <w:tcW w:w="4819" w:type="dxa"/>
            <w:noWrap w:val="0"/>
            <w:vAlign w:val="center"/>
          </w:tcPr>
          <w:p w14:paraId="08F26E52">
            <w:pPr>
              <w:spacing w:line="240" w:lineRule="auto"/>
              <w:ind w:firstLine="0" w:firstLineChars="0"/>
              <w:jc w:val="left"/>
              <w:textAlignment w:val="center"/>
              <w:rPr>
                <w:rFonts w:hint="default" w:ascii="宋体" w:hAnsi="宋体" w:eastAsia="宋体" w:cs="宋体"/>
                <w:sz w:val="18"/>
                <w:szCs w:val="18"/>
                <w:lang w:val="en-US" w:eastAsia="zh-CN"/>
              </w:rPr>
            </w:pPr>
            <w:r>
              <w:rPr>
                <w:rFonts w:hint="eastAsia" w:ascii="宋体" w:hAnsi="宋体" w:eastAsia="宋体" w:cs="宋体"/>
                <w:sz w:val="18"/>
                <w:szCs w:val="18"/>
              </w:rPr>
              <w:t>亚硝酸盐（以亚硝酸计）、苯甲酸及其钠盐（以苯甲酸计）、山梨酸及其钾盐（以山梨酸计）、脱氢乙酸及其钠盐（以脱氢乙酸计）、防腐剂混合使用时各自用量占其最大使用量的比例之和、菌落总数、大肠菌群、沙门氏菌、金黄色葡萄球菌、单核细胞增生李斯特氏菌、</w:t>
            </w:r>
            <w:r>
              <w:rPr>
                <w:rFonts w:hint="eastAsia" w:ascii="宋体" w:hAnsi="宋体" w:eastAsia="宋体" w:cs="宋体"/>
                <w:sz w:val="18"/>
                <w:szCs w:val="18"/>
                <w:lang w:eastAsia="zh-CN"/>
              </w:rPr>
              <w:t>致泻大肠埃希氏菌、</w:t>
            </w:r>
            <w:r>
              <w:rPr>
                <w:rFonts w:hint="eastAsia" w:ascii="宋体" w:hAnsi="宋体" w:eastAsia="宋体" w:cs="宋体"/>
                <w:sz w:val="18"/>
                <w:szCs w:val="18"/>
              </w:rPr>
              <w:t>糖精钠（以糖精计）</w:t>
            </w:r>
            <w:r>
              <w:rPr>
                <w:rFonts w:hint="eastAsia" w:ascii="宋体" w:hAnsi="宋体" w:eastAsia="宋体" w:cs="宋体"/>
                <w:sz w:val="18"/>
                <w:szCs w:val="18"/>
                <w:lang w:eastAsia="zh-CN"/>
              </w:rPr>
              <w:t>、</w:t>
            </w:r>
            <w:r>
              <w:rPr>
                <w:rFonts w:hint="eastAsia" w:ascii="宋体" w:hAnsi="宋体" w:eastAsia="宋体" w:cs="宋体"/>
                <w:sz w:val="18"/>
                <w:szCs w:val="18"/>
              </w:rPr>
              <w:t>铬（以Cr计）、总砷（以As计）、镉（以Cd计）、</w:t>
            </w:r>
            <w:r>
              <w:rPr>
                <w:rFonts w:hint="eastAsia" w:ascii="宋体" w:hAnsi="宋体" w:eastAsia="宋体" w:cs="宋体"/>
                <w:sz w:val="18"/>
                <w:szCs w:val="18"/>
                <w:lang w:eastAsia="zh-CN"/>
              </w:rPr>
              <w:t>合成着色剂</w:t>
            </w:r>
            <w:r>
              <w:rPr>
                <w:rFonts w:hint="eastAsia" w:ascii="宋体" w:hAnsi="宋体" w:eastAsia="宋体" w:cs="宋体"/>
                <w:sz w:val="18"/>
                <w:szCs w:val="18"/>
              </w:rPr>
              <w:t>（柠檬黄、日落黄、胭脂红、诱惑红）</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 xml:space="preserve">N-二甲基亚硝胺、纳他霉素、氯霉素                        </w:t>
            </w:r>
          </w:p>
        </w:tc>
        <w:tc>
          <w:tcPr>
            <w:tcW w:w="669" w:type="dxa"/>
            <w:noWrap w:val="0"/>
            <w:vAlign w:val="center"/>
          </w:tcPr>
          <w:p w14:paraId="04ECD994">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12</w:t>
            </w:r>
          </w:p>
        </w:tc>
        <w:tc>
          <w:tcPr>
            <w:tcW w:w="1316" w:type="dxa"/>
            <w:noWrap w:val="0"/>
            <w:vAlign w:val="center"/>
          </w:tcPr>
          <w:p w14:paraId="1FF14313">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0F1ECE27">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lang w:eastAsia="zh-CN"/>
              </w:rPr>
              <w:t>肉制品专项、校园专项</w:t>
            </w:r>
          </w:p>
        </w:tc>
      </w:tr>
      <w:tr w14:paraId="0EA7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90" w:type="dxa"/>
            <w:vMerge w:val="continue"/>
            <w:noWrap w:val="0"/>
            <w:vAlign w:val="center"/>
          </w:tcPr>
          <w:p w14:paraId="4988FD8D">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215BB8AF">
            <w:pPr>
              <w:widowControl/>
              <w:spacing w:line="240" w:lineRule="auto"/>
              <w:ind w:firstLine="0" w:firstLineChars="0"/>
              <w:jc w:val="center"/>
              <w:textAlignment w:val="center"/>
              <w:rPr>
                <w:rFonts w:hint="eastAsia" w:ascii="宋体" w:hAnsi="宋体" w:eastAsia="宋体" w:cs="宋体"/>
                <w:sz w:val="18"/>
                <w:szCs w:val="18"/>
              </w:rPr>
            </w:pPr>
          </w:p>
        </w:tc>
        <w:tc>
          <w:tcPr>
            <w:tcW w:w="1140" w:type="dxa"/>
            <w:vMerge w:val="continue"/>
            <w:noWrap w:val="0"/>
            <w:vAlign w:val="center"/>
          </w:tcPr>
          <w:p w14:paraId="6E0D2651">
            <w:pPr>
              <w:spacing w:line="240" w:lineRule="auto"/>
              <w:ind w:firstLine="0" w:firstLineChars="0"/>
              <w:jc w:val="center"/>
              <w:textAlignment w:val="center"/>
              <w:rPr>
                <w:rFonts w:hint="eastAsia" w:ascii="宋体" w:hAnsi="宋体" w:eastAsia="宋体" w:cs="宋体"/>
                <w:sz w:val="18"/>
                <w:szCs w:val="18"/>
              </w:rPr>
            </w:pPr>
          </w:p>
        </w:tc>
        <w:tc>
          <w:tcPr>
            <w:tcW w:w="1011" w:type="dxa"/>
            <w:vMerge w:val="continue"/>
            <w:noWrap w:val="0"/>
            <w:vAlign w:val="center"/>
          </w:tcPr>
          <w:p w14:paraId="1A218003">
            <w:pPr>
              <w:spacing w:line="240" w:lineRule="auto"/>
              <w:ind w:firstLine="0" w:firstLineChars="0"/>
              <w:jc w:val="center"/>
              <w:textAlignment w:val="center"/>
              <w:rPr>
                <w:rFonts w:hint="eastAsia" w:ascii="宋体" w:hAnsi="宋体" w:eastAsia="宋体" w:cs="宋体"/>
                <w:sz w:val="18"/>
                <w:szCs w:val="18"/>
              </w:rPr>
            </w:pPr>
          </w:p>
        </w:tc>
        <w:tc>
          <w:tcPr>
            <w:tcW w:w="1701" w:type="dxa"/>
            <w:noWrap w:val="0"/>
            <w:vAlign w:val="center"/>
          </w:tcPr>
          <w:p w14:paraId="0998F049">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rPr>
              <w:t>酱卤肉制品</w:t>
            </w:r>
            <w:r>
              <w:rPr>
                <w:rFonts w:hint="eastAsia" w:ascii="宋体" w:hAnsi="宋体" w:eastAsia="宋体" w:cs="宋体"/>
                <w:sz w:val="18"/>
                <w:szCs w:val="18"/>
                <w:lang w:eastAsia="zh-CN"/>
              </w:rPr>
              <w:t>（牛肉）</w:t>
            </w:r>
          </w:p>
        </w:tc>
        <w:tc>
          <w:tcPr>
            <w:tcW w:w="4819" w:type="dxa"/>
            <w:noWrap w:val="0"/>
            <w:vAlign w:val="center"/>
          </w:tcPr>
          <w:p w14:paraId="7F5821E7">
            <w:pPr>
              <w:spacing w:line="240" w:lineRule="auto"/>
              <w:ind w:firstLine="0" w:firstLineChars="0"/>
              <w:jc w:val="left"/>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肉源性检测</w:t>
            </w:r>
          </w:p>
        </w:tc>
        <w:tc>
          <w:tcPr>
            <w:tcW w:w="669" w:type="dxa"/>
            <w:noWrap w:val="0"/>
            <w:vAlign w:val="center"/>
          </w:tcPr>
          <w:p w14:paraId="10C331EA">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8</w:t>
            </w:r>
          </w:p>
        </w:tc>
        <w:tc>
          <w:tcPr>
            <w:tcW w:w="1316" w:type="dxa"/>
            <w:noWrap w:val="0"/>
            <w:vAlign w:val="center"/>
          </w:tcPr>
          <w:p w14:paraId="728CABA0">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5995CD5C">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肉制品专项、校园专项</w:t>
            </w:r>
          </w:p>
        </w:tc>
      </w:tr>
      <w:tr w14:paraId="7ADEF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1" w:hRule="atLeast"/>
        </w:trPr>
        <w:tc>
          <w:tcPr>
            <w:tcW w:w="690" w:type="dxa"/>
            <w:vMerge w:val="restart"/>
            <w:noWrap w:val="0"/>
            <w:vAlign w:val="center"/>
          </w:tcPr>
          <w:p w14:paraId="6A1ACE85">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5</w:t>
            </w:r>
          </w:p>
        </w:tc>
        <w:tc>
          <w:tcPr>
            <w:tcW w:w="1095" w:type="dxa"/>
            <w:vMerge w:val="restart"/>
            <w:noWrap w:val="0"/>
            <w:vAlign w:val="center"/>
          </w:tcPr>
          <w:p w14:paraId="47F39A18">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炒货食品及坚果制品</w:t>
            </w:r>
          </w:p>
        </w:tc>
        <w:tc>
          <w:tcPr>
            <w:tcW w:w="1140" w:type="dxa"/>
            <w:vMerge w:val="restart"/>
            <w:noWrap w:val="0"/>
            <w:vAlign w:val="center"/>
          </w:tcPr>
          <w:p w14:paraId="39F51E21">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炒货食品及坚果制品</w:t>
            </w:r>
          </w:p>
        </w:tc>
        <w:tc>
          <w:tcPr>
            <w:tcW w:w="1011" w:type="dxa"/>
            <w:noWrap w:val="0"/>
            <w:vAlign w:val="center"/>
          </w:tcPr>
          <w:p w14:paraId="22A6A030">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炒货食品及坚果制品（烘炒类、油炸类、其他类）</w:t>
            </w:r>
          </w:p>
        </w:tc>
        <w:tc>
          <w:tcPr>
            <w:tcW w:w="1701" w:type="dxa"/>
            <w:noWrap w:val="0"/>
            <w:vAlign w:val="center"/>
          </w:tcPr>
          <w:p w14:paraId="3727002C">
            <w:pPr>
              <w:spacing w:line="240" w:lineRule="auto"/>
              <w:ind w:firstLine="0" w:firstLineChars="0"/>
              <w:textAlignment w:val="center"/>
              <w:rPr>
                <w:rFonts w:hint="eastAsia" w:ascii="宋体" w:hAnsi="宋体" w:eastAsia="宋体" w:cs="宋体"/>
                <w:kern w:val="0"/>
                <w:sz w:val="18"/>
                <w:szCs w:val="18"/>
              </w:rPr>
            </w:pPr>
            <w:r>
              <w:rPr>
                <w:rFonts w:hint="eastAsia" w:ascii="宋体" w:hAnsi="宋体" w:eastAsia="宋体" w:cs="宋体"/>
                <w:kern w:val="0"/>
                <w:sz w:val="18"/>
                <w:szCs w:val="18"/>
              </w:rPr>
              <w:t>开心果、杏仁、扁桃仁、松仁、瓜子等</w:t>
            </w:r>
          </w:p>
        </w:tc>
        <w:tc>
          <w:tcPr>
            <w:tcW w:w="4819" w:type="dxa"/>
            <w:noWrap w:val="0"/>
            <w:vAlign w:val="center"/>
          </w:tcPr>
          <w:p w14:paraId="103E11AC">
            <w:pPr>
              <w:spacing w:line="229" w:lineRule="exact"/>
              <w:ind w:firstLine="0" w:firstLineChars="0"/>
              <w:jc w:val="left"/>
              <w:rPr>
                <w:rFonts w:hint="eastAsia" w:ascii="宋体" w:hAnsi="宋体" w:eastAsia="宋体" w:cs="宋体"/>
                <w:sz w:val="18"/>
                <w:szCs w:val="18"/>
              </w:rPr>
            </w:pPr>
            <w:r>
              <w:rPr>
                <w:rFonts w:hint="eastAsia" w:ascii="宋体" w:hAnsi="宋体" w:eastAsia="宋体" w:cs="宋体"/>
                <w:sz w:val="18"/>
                <w:szCs w:val="18"/>
              </w:rPr>
              <w:t>铅（以Pb计）、</w:t>
            </w:r>
            <w:r>
              <w:rPr>
                <w:rFonts w:hint="eastAsia" w:ascii="宋体" w:hAnsi="宋体" w:eastAsia="宋体" w:cs="宋体"/>
                <w:bCs/>
                <w:sz w:val="18"/>
                <w:szCs w:val="18"/>
              </w:rPr>
              <w:t>酸价</w:t>
            </w:r>
            <w:r>
              <w:rPr>
                <w:rFonts w:hint="eastAsia" w:ascii="宋体" w:hAnsi="宋体" w:eastAsia="宋体" w:cs="宋体"/>
                <w:sz w:val="18"/>
                <w:szCs w:val="18"/>
              </w:rPr>
              <w:t>（以脂肪计）、过氧化值（以脂肪计）、糖精钠（以糖精计）、甜蜜素（以环己基氨基磺酸计）</w:t>
            </w:r>
          </w:p>
          <w:p w14:paraId="3AE82550">
            <w:pPr>
              <w:spacing w:line="240" w:lineRule="auto"/>
              <w:ind w:firstLine="0" w:firstLineChars="0"/>
              <w:jc w:val="left"/>
              <w:textAlignment w:val="center"/>
              <w:rPr>
                <w:rFonts w:hint="eastAsia" w:ascii="宋体" w:hAnsi="宋体" w:eastAsia="宋体" w:cs="宋体"/>
                <w:kern w:val="0"/>
                <w:sz w:val="18"/>
                <w:szCs w:val="18"/>
              </w:rPr>
            </w:pPr>
            <w:r>
              <w:rPr>
                <w:rFonts w:hint="eastAsia" w:ascii="宋体" w:hAnsi="宋体" w:eastAsia="宋体" w:cs="宋体"/>
                <w:sz w:val="18"/>
                <w:szCs w:val="18"/>
              </w:rPr>
              <w:t>、黄曲霉毒素B1、大肠菌群、霉菌（仅限炒货工艺加工的熟制产品检测）、二氧化硫残留量、脱氢乙酸及其钠盐（以脱氢乙酸计）、苯甲酸及其钠盐</w:t>
            </w:r>
            <w:r>
              <w:rPr>
                <w:rFonts w:hint="eastAsia" w:ascii="Times New Roman" w:hAnsi="Times New Roman" w:eastAsia="宋体" w:cs="Times New Roman"/>
                <w:sz w:val="18"/>
                <w:szCs w:val="18"/>
              </w:rPr>
              <w:t>（以苯甲酸计）、</w:t>
            </w:r>
            <w:r>
              <w:rPr>
                <w:rFonts w:hint="eastAsia" w:ascii="宋体" w:hAnsi="宋体" w:eastAsia="宋体" w:cs="宋体"/>
                <w:sz w:val="18"/>
                <w:szCs w:val="18"/>
              </w:rPr>
              <w:t>山梨酸及其钾盐（以山梨酸计）</w:t>
            </w:r>
          </w:p>
        </w:tc>
        <w:tc>
          <w:tcPr>
            <w:tcW w:w="669" w:type="dxa"/>
            <w:noWrap w:val="0"/>
            <w:vAlign w:val="center"/>
          </w:tcPr>
          <w:p w14:paraId="59AE7EE1">
            <w:pPr>
              <w:spacing w:line="240" w:lineRule="auto"/>
              <w:ind w:firstLine="0" w:firstLineChars="0"/>
              <w:jc w:val="center"/>
              <w:textAlignment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8</w:t>
            </w:r>
          </w:p>
        </w:tc>
        <w:tc>
          <w:tcPr>
            <w:tcW w:w="1316" w:type="dxa"/>
            <w:noWrap w:val="0"/>
            <w:vAlign w:val="center"/>
          </w:tcPr>
          <w:p w14:paraId="0E11C687">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2382BA81">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专项抽检</w:t>
            </w:r>
            <w:r>
              <w:rPr>
                <w:rFonts w:hint="eastAsia" w:ascii="宋体" w:hAnsi="宋体" w:eastAsia="宋体" w:cs="宋体"/>
                <w:kern w:val="0"/>
                <w:sz w:val="18"/>
                <w:szCs w:val="18"/>
                <w:lang w:eastAsia="zh-CN"/>
              </w:rPr>
              <w:t>，批发市场、电商平台、经营环节抽取</w:t>
            </w:r>
          </w:p>
        </w:tc>
      </w:tr>
      <w:tr w14:paraId="53D9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trPr>
        <w:tc>
          <w:tcPr>
            <w:tcW w:w="690" w:type="dxa"/>
            <w:vMerge w:val="continue"/>
            <w:noWrap w:val="0"/>
            <w:vAlign w:val="center"/>
          </w:tcPr>
          <w:p w14:paraId="57DB933B">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5C756CE5">
            <w:pPr>
              <w:spacing w:line="240" w:lineRule="auto"/>
              <w:ind w:firstLine="0" w:firstLineChars="0"/>
              <w:jc w:val="center"/>
              <w:textAlignment w:val="center"/>
              <w:rPr>
                <w:rFonts w:hint="eastAsia" w:ascii="宋体" w:hAnsi="宋体" w:eastAsia="宋体" w:cs="宋体"/>
                <w:kern w:val="0"/>
                <w:sz w:val="18"/>
                <w:szCs w:val="18"/>
              </w:rPr>
            </w:pPr>
          </w:p>
        </w:tc>
        <w:tc>
          <w:tcPr>
            <w:tcW w:w="1140" w:type="dxa"/>
            <w:vMerge w:val="continue"/>
            <w:noWrap w:val="0"/>
            <w:vAlign w:val="center"/>
          </w:tcPr>
          <w:p w14:paraId="1B885AB5">
            <w:pPr>
              <w:spacing w:line="240" w:lineRule="auto"/>
              <w:ind w:firstLine="0" w:firstLineChars="0"/>
              <w:jc w:val="center"/>
              <w:textAlignment w:val="center"/>
              <w:rPr>
                <w:rFonts w:hint="eastAsia" w:ascii="宋体" w:hAnsi="宋体" w:eastAsia="宋体" w:cs="宋体"/>
                <w:kern w:val="0"/>
                <w:sz w:val="18"/>
                <w:szCs w:val="18"/>
              </w:rPr>
            </w:pPr>
          </w:p>
        </w:tc>
        <w:tc>
          <w:tcPr>
            <w:tcW w:w="1011" w:type="dxa"/>
            <w:noWrap w:val="0"/>
            <w:vAlign w:val="center"/>
          </w:tcPr>
          <w:p w14:paraId="78CC3B0E">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炒货食品及坚果制品（烘炒类、油炸类、其他类）</w:t>
            </w:r>
          </w:p>
        </w:tc>
        <w:tc>
          <w:tcPr>
            <w:tcW w:w="1701" w:type="dxa"/>
            <w:noWrap w:val="0"/>
            <w:vAlign w:val="center"/>
          </w:tcPr>
          <w:p w14:paraId="38AC2E28">
            <w:pPr>
              <w:spacing w:line="240" w:lineRule="auto"/>
              <w:ind w:firstLine="0" w:firstLineChars="0"/>
              <w:textAlignment w:val="center"/>
              <w:rPr>
                <w:rFonts w:hint="eastAsia" w:ascii="宋体" w:hAnsi="宋体" w:eastAsia="宋体" w:cs="宋体"/>
                <w:kern w:val="0"/>
                <w:sz w:val="18"/>
                <w:szCs w:val="18"/>
              </w:rPr>
            </w:pPr>
            <w:r>
              <w:rPr>
                <w:rFonts w:hint="eastAsia" w:ascii="宋体" w:hAnsi="宋体" w:eastAsia="宋体" w:cs="宋体"/>
                <w:kern w:val="0"/>
                <w:sz w:val="18"/>
                <w:szCs w:val="18"/>
              </w:rPr>
              <w:t>其他炒货食品及坚果制品（花生、核桃、板栗等）</w:t>
            </w:r>
          </w:p>
        </w:tc>
        <w:tc>
          <w:tcPr>
            <w:tcW w:w="4819" w:type="dxa"/>
            <w:noWrap w:val="0"/>
            <w:vAlign w:val="center"/>
          </w:tcPr>
          <w:p w14:paraId="6B627919">
            <w:pPr>
              <w:spacing w:line="229" w:lineRule="exact"/>
              <w:ind w:firstLine="0" w:firstLineChars="0"/>
              <w:jc w:val="left"/>
              <w:rPr>
                <w:rFonts w:hint="eastAsia" w:ascii="宋体" w:hAnsi="宋体" w:eastAsia="宋体" w:cs="宋体"/>
                <w:sz w:val="18"/>
                <w:szCs w:val="18"/>
              </w:rPr>
            </w:pPr>
            <w:r>
              <w:rPr>
                <w:rFonts w:hint="eastAsia" w:ascii="宋体" w:hAnsi="宋体" w:eastAsia="宋体" w:cs="宋体"/>
                <w:sz w:val="18"/>
                <w:szCs w:val="18"/>
              </w:rPr>
              <w:t>铅（以Pb计）、</w:t>
            </w:r>
            <w:r>
              <w:rPr>
                <w:rFonts w:hint="eastAsia" w:ascii="宋体" w:hAnsi="宋体" w:eastAsia="宋体" w:cs="宋体"/>
                <w:bCs/>
                <w:sz w:val="18"/>
                <w:szCs w:val="18"/>
              </w:rPr>
              <w:t>酸价</w:t>
            </w:r>
            <w:r>
              <w:rPr>
                <w:rFonts w:hint="eastAsia" w:ascii="宋体" w:hAnsi="宋体" w:eastAsia="宋体" w:cs="宋体"/>
                <w:sz w:val="18"/>
                <w:szCs w:val="18"/>
              </w:rPr>
              <w:t>（以脂肪计）、过氧化值（以脂肪计）、糖精钠（以糖精计）、甜蜜素（以环己基氨基磺酸计）</w:t>
            </w:r>
          </w:p>
          <w:p w14:paraId="646B5142">
            <w:pPr>
              <w:spacing w:line="240" w:lineRule="auto"/>
              <w:ind w:firstLine="0" w:firstLineChars="0"/>
              <w:jc w:val="left"/>
              <w:textAlignment w:val="center"/>
              <w:rPr>
                <w:rFonts w:hint="eastAsia" w:ascii="宋体" w:hAnsi="宋体" w:eastAsia="宋体" w:cs="宋体"/>
                <w:sz w:val="18"/>
                <w:szCs w:val="18"/>
                <w:lang w:eastAsia="zh-CN"/>
              </w:rPr>
            </w:pPr>
            <w:r>
              <w:rPr>
                <w:rFonts w:hint="eastAsia" w:ascii="宋体" w:hAnsi="宋体" w:eastAsia="宋体" w:cs="宋体"/>
                <w:sz w:val="18"/>
                <w:szCs w:val="18"/>
              </w:rPr>
              <w:t>、黄曲霉毒素B1、大肠菌群、霉菌（仅限炒货工艺加工的熟制产品检测）、二氧化硫残留量、脱氢乙酸及其钠盐（以脱氢乙酸计）、苯甲酸及其钠盐</w:t>
            </w:r>
            <w:r>
              <w:rPr>
                <w:rFonts w:hint="eastAsia" w:ascii="Times New Roman" w:hAnsi="Times New Roman" w:eastAsia="宋体" w:cs="Times New Roman"/>
                <w:sz w:val="18"/>
                <w:szCs w:val="18"/>
              </w:rPr>
              <w:t>（以苯甲酸计）、</w:t>
            </w:r>
            <w:r>
              <w:rPr>
                <w:rFonts w:hint="eastAsia" w:ascii="宋体" w:hAnsi="宋体" w:eastAsia="宋体" w:cs="宋体"/>
                <w:sz w:val="18"/>
                <w:szCs w:val="18"/>
              </w:rPr>
              <w:t>山梨酸及其钾盐（以山梨酸计）</w:t>
            </w:r>
            <w:r>
              <w:rPr>
                <w:rFonts w:hint="eastAsia" w:ascii="宋体" w:hAnsi="宋体" w:eastAsia="宋体" w:cs="宋体"/>
                <w:sz w:val="18"/>
                <w:szCs w:val="18"/>
                <w:lang w:eastAsia="zh-CN"/>
              </w:rPr>
              <w:t>、安赛蜜</w:t>
            </w:r>
          </w:p>
        </w:tc>
        <w:tc>
          <w:tcPr>
            <w:tcW w:w="669" w:type="dxa"/>
            <w:noWrap w:val="0"/>
            <w:vAlign w:val="center"/>
          </w:tcPr>
          <w:p w14:paraId="1A13F259">
            <w:pPr>
              <w:spacing w:line="240" w:lineRule="auto"/>
              <w:ind w:firstLine="0" w:firstLineChars="0"/>
              <w:jc w:val="center"/>
              <w:textAlignment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4</w:t>
            </w:r>
          </w:p>
        </w:tc>
        <w:tc>
          <w:tcPr>
            <w:tcW w:w="1316" w:type="dxa"/>
            <w:noWrap w:val="0"/>
            <w:vAlign w:val="center"/>
          </w:tcPr>
          <w:p w14:paraId="05686313">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1AFAB81A">
            <w:pPr>
              <w:spacing w:line="240" w:lineRule="auto"/>
              <w:ind w:firstLine="0" w:firstLineChars="0"/>
              <w:jc w:val="center"/>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专项抽检</w:t>
            </w:r>
            <w:r>
              <w:rPr>
                <w:rFonts w:hint="eastAsia" w:ascii="宋体" w:hAnsi="宋体" w:eastAsia="宋体" w:cs="宋体"/>
                <w:kern w:val="0"/>
                <w:sz w:val="18"/>
                <w:szCs w:val="18"/>
                <w:lang w:eastAsia="zh-CN"/>
              </w:rPr>
              <w:t>，批发市场、电商平台、经营环节抽取</w:t>
            </w:r>
          </w:p>
        </w:tc>
      </w:tr>
      <w:tr w14:paraId="3A54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3" w:hRule="atLeast"/>
        </w:trPr>
        <w:tc>
          <w:tcPr>
            <w:tcW w:w="690" w:type="dxa"/>
            <w:noWrap w:val="0"/>
            <w:vAlign w:val="center"/>
          </w:tcPr>
          <w:p w14:paraId="0850C4B9">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6</w:t>
            </w:r>
          </w:p>
        </w:tc>
        <w:tc>
          <w:tcPr>
            <w:tcW w:w="1095" w:type="dxa"/>
            <w:noWrap w:val="0"/>
            <w:vAlign w:val="center"/>
          </w:tcPr>
          <w:p w14:paraId="0F3B2AAB">
            <w:pPr>
              <w:widowControl/>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饼干</w:t>
            </w:r>
          </w:p>
        </w:tc>
        <w:tc>
          <w:tcPr>
            <w:tcW w:w="1140" w:type="dxa"/>
            <w:noWrap w:val="0"/>
            <w:vAlign w:val="center"/>
          </w:tcPr>
          <w:p w14:paraId="1092622E">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kern w:val="0"/>
                <w:sz w:val="18"/>
                <w:szCs w:val="18"/>
              </w:rPr>
              <w:t>饼干</w:t>
            </w:r>
          </w:p>
        </w:tc>
        <w:tc>
          <w:tcPr>
            <w:tcW w:w="1011" w:type="dxa"/>
            <w:noWrap w:val="0"/>
            <w:vAlign w:val="center"/>
          </w:tcPr>
          <w:p w14:paraId="483B27AA">
            <w:pPr>
              <w:widowControl/>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饼干</w:t>
            </w:r>
          </w:p>
        </w:tc>
        <w:tc>
          <w:tcPr>
            <w:tcW w:w="1701" w:type="dxa"/>
            <w:noWrap w:val="0"/>
            <w:vAlign w:val="center"/>
          </w:tcPr>
          <w:p w14:paraId="6D1EE414">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饼干</w:t>
            </w:r>
          </w:p>
        </w:tc>
        <w:tc>
          <w:tcPr>
            <w:tcW w:w="4819" w:type="dxa"/>
            <w:noWrap w:val="0"/>
            <w:vAlign w:val="center"/>
          </w:tcPr>
          <w:p w14:paraId="51B36557">
            <w:pPr>
              <w:spacing w:line="229" w:lineRule="exact"/>
              <w:ind w:left="20" w:firstLine="0" w:firstLineChars="0"/>
              <w:rPr>
                <w:rFonts w:hint="eastAsia" w:ascii="宋体" w:hAnsi="宋体" w:eastAsia="宋体" w:cs="宋体"/>
                <w:kern w:val="0"/>
                <w:sz w:val="18"/>
                <w:szCs w:val="18"/>
                <w:lang w:eastAsia="zh-CN"/>
              </w:rPr>
            </w:pPr>
            <w:r>
              <w:rPr>
                <w:rFonts w:hint="eastAsia" w:ascii="宋体" w:hAnsi="宋体" w:eastAsia="宋体" w:cs="宋体"/>
                <w:bCs/>
                <w:sz w:val="18"/>
                <w:szCs w:val="18"/>
                <w:lang w:eastAsia="zh-CN"/>
              </w:rPr>
              <w:t>酸价（以脂肪计）（</w:t>
            </w:r>
            <w:r>
              <w:rPr>
                <w:rFonts w:hint="eastAsia" w:ascii="宋体" w:hAnsi="宋体" w:eastAsia="宋体" w:cs="宋体"/>
                <w:bCs/>
                <w:sz w:val="18"/>
                <w:szCs w:val="18"/>
                <w:lang w:val="en-US" w:eastAsia="zh-CN"/>
              </w:rPr>
              <w:t>KOH</w:t>
            </w:r>
            <w:r>
              <w:rPr>
                <w:rFonts w:hint="eastAsia" w:ascii="宋体" w:hAnsi="宋体" w:eastAsia="宋体" w:cs="宋体"/>
                <w:bCs/>
                <w:sz w:val="18"/>
                <w:szCs w:val="18"/>
                <w:lang w:eastAsia="zh-CN"/>
              </w:rPr>
              <w:t>）、</w:t>
            </w:r>
            <w:r>
              <w:rPr>
                <w:rFonts w:hint="eastAsia" w:ascii="宋体" w:hAnsi="宋体" w:eastAsia="宋体" w:cs="宋体"/>
                <w:bCs/>
                <w:sz w:val="18"/>
                <w:szCs w:val="18"/>
              </w:rPr>
              <w:t>过氧化值（以脂肪计）、</w:t>
            </w:r>
            <w:r>
              <w:rPr>
                <w:rFonts w:hint="eastAsia" w:ascii="宋体" w:hAnsi="宋体" w:eastAsia="宋体" w:cs="宋体"/>
                <w:color w:val="000000"/>
                <w:sz w:val="18"/>
                <w:szCs w:val="18"/>
                <w:u w:val="none"/>
              </w:rPr>
              <w:t>苯甲酸及其钠盐（以苯甲酸计）、</w:t>
            </w:r>
            <w:r>
              <w:rPr>
                <w:rFonts w:hint="eastAsia" w:ascii="宋体" w:hAnsi="宋体" w:eastAsia="宋体" w:cs="宋体"/>
                <w:sz w:val="18"/>
                <w:szCs w:val="18"/>
              </w:rPr>
              <w:t>山梨酸及其钾盐（以山梨酸计）、脱氢乙酸及其钠盐（以脱氢乙酸计）、糖精钠（以糖精计）、甜蜜素（以环己基氨基磺酸计）</w:t>
            </w:r>
            <w:r>
              <w:rPr>
                <w:rFonts w:hint="eastAsia" w:ascii="宋体" w:hAnsi="宋体" w:eastAsia="宋体" w:cs="宋体"/>
                <w:sz w:val="18"/>
                <w:szCs w:val="18"/>
                <w:lang w:eastAsia="zh-CN"/>
              </w:rPr>
              <w:t>、</w:t>
            </w:r>
            <w:r>
              <w:rPr>
                <w:rFonts w:hint="eastAsia" w:ascii="宋体" w:hAnsi="宋体" w:eastAsia="宋体" w:cs="宋体"/>
                <w:sz w:val="18"/>
                <w:szCs w:val="18"/>
              </w:rPr>
              <w:t>铝的残留量（干样品、以AI计）、二氧化硫残留量、合成着色剂（</w:t>
            </w:r>
            <w:r>
              <w:rPr>
                <w:rFonts w:hint="eastAsia" w:ascii="宋体" w:hAnsi="宋体" w:eastAsia="宋体" w:cs="宋体"/>
                <w:sz w:val="18"/>
                <w:szCs w:val="18"/>
                <w:lang w:eastAsia="zh-CN"/>
              </w:rPr>
              <w:t>柠檬黄、日落黄、胭脂红、苋菜红、亮蓝、靛蓝、诱惑红</w:t>
            </w:r>
            <w:r>
              <w:rPr>
                <w:rFonts w:hint="eastAsia" w:ascii="宋体" w:hAnsi="宋体" w:eastAsia="宋体" w:cs="宋体"/>
                <w:sz w:val="18"/>
                <w:szCs w:val="18"/>
              </w:rPr>
              <w:t>）</w:t>
            </w:r>
            <w:r>
              <w:rPr>
                <w:rFonts w:hint="eastAsia" w:ascii="宋体" w:hAnsi="宋体" w:eastAsia="宋体" w:cs="宋体"/>
                <w:sz w:val="18"/>
                <w:szCs w:val="18"/>
                <w:lang w:eastAsia="zh-CN"/>
              </w:rPr>
              <w:t>、</w:t>
            </w:r>
            <w:r>
              <w:rPr>
                <w:rFonts w:hint="eastAsia" w:ascii="宋体" w:hAnsi="宋体" w:eastAsia="宋体" w:cs="宋体"/>
                <w:sz w:val="18"/>
                <w:szCs w:val="18"/>
              </w:rPr>
              <w:t>菌落总数、</w:t>
            </w:r>
            <w:r>
              <w:rPr>
                <w:rFonts w:hint="eastAsia" w:ascii="宋体" w:hAnsi="宋体" w:eastAsia="宋体" w:cs="宋体"/>
                <w:sz w:val="18"/>
                <w:szCs w:val="18"/>
                <w:lang w:eastAsia="zh-CN"/>
              </w:rPr>
              <w:t>大肠菌群、</w:t>
            </w:r>
            <w:r>
              <w:rPr>
                <w:rFonts w:hint="eastAsia" w:ascii="宋体" w:hAnsi="宋体" w:eastAsia="宋体" w:cs="宋体"/>
                <w:sz w:val="18"/>
                <w:szCs w:val="18"/>
              </w:rPr>
              <w:t>霉菌、</w:t>
            </w:r>
            <w:r>
              <w:rPr>
                <w:rFonts w:hint="eastAsia" w:ascii="宋体" w:hAnsi="宋体" w:eastAsia="宋体" w:cs="宋体"/>
                <w:sz w:val="18"/>
                <w:szCs w:val="18"/>
                <w:lang w:eastAsia="zh-CN"/>
              </w:rPr>
              <w:t>沙门氏菌、金黄色葡萄球菌</w:t>
            </w:r>
          </w:p>
        </w:tc>
        <w:tc>
          <w:tcPr>
            <w:tcW w:w="669" w:type="dxa"/>
            <w:noWrap w:val="0"/>
            <w:vAlign w:val="center"/>
          </w:tcPr>
          <w:p w14:paraId="418E5E3D">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14</w:t>
            </w:r>
          </w:p>
        </w:tc>
        <w:tc>
          <w:tcPr>
            <w:tcW w:w="1316" w:type="dxa"/>
            <w:noWrap w:val="0"/>
            <w:vAlign w:val="center"/>
          </w:tcPr>
          <w:p w14:paraId="310D3353">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75D2904F">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sz w:val="18"/>
                <w:szCs w:val="18"/>
                <w:lang w:eastAsia="zh-CN"/>
              </w:rPr>
              <w:t>经营</w:t>
            </w:r>
            <w:r>
              <w:rPr>
                <w:rFonts w:hint="eastAsia" w:ascii="宋体" w:hAnsi="宋体" w:eastAsia="宋体" w:cs="宋体"/>
                <w:sz w:val="18"/>
                <w:szCs w:val="18"/>
              </w:rPr>
              <w:t>环节</w:t>
            </w:r>
          </w:p>
        </w:tc>
      </w:tr>
      <w:tr w14:paraId="7AE6A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trPr>
        <w:tc>
          <w:tcPr>
            <w:tcW w:w="690" w:type="dxa"/>
            <w:noWrap w:val="0"/>
            <w:vAlign w:val="center"/>
          </w:tcPr>
          <w:p w14:paraId="59E1C77E">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lang w:val="en-US" w:eastAsia="zh-CN"/>
              </w:rPr>
              <w:t>7</w:t>
            </w:r>
          </w:p>
        </w:tc>
        <w:tc>
          <w:tcPr>
            <w:tcW w:w="1095" w:type="dxa"/>
            <w:noWrap w:val="0"/>
            <w:vAlign w:val="center"/>
          </w:tcPr>
          <w:p w14:paraId="48E07350">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调味品</w:t>
            </w:r>
          </w:p>
        </w:tc>
        <w:tc>
          <w:tcPr>
            <w:tcW w:w="1140" w:type="dxa"/>
            <w:noWrap w:val="0"/>
            <w:vAlign w:val="center"/>
          </w:tcPr>
          <w:p w14:paraId="0CF6828F">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食醋</w:t>
            </w:r>
          </w:p>
        </w:tc>
        <w:tc>
          <w:tcPr>
            <w:tcW w:w="1011" w:type="dxa"/>
            <w:noWrap w:val="0"/>
            <w:vAlign w:val="center"/>
          </w:tcPr>
          <w:p w14:paraId="09025571">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食醋</w:t>
            </w:r>
          </w:p>
        </w:tc>
        <w:tc>
          <w:tcPr>
            <w:tcW w:w="1701" w:type="dxa"/>
            <w:noWrap w:val="0"/>
            <w:vAlign w:val="center"/>
          </w:tcPr>
          <w:p w14:paraId="7934821A">
            <w:pPr>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固态发酵食醋、液态发酵食醋</w:t>
            </w:r>
          </w:p>
        </w:tc>
        <w:tc>
          <w:tcPr>
            <w:tcW w:w="4819" w:type="dxa"/>
            <w:noWrap w:val="0"/>
            <w:vAlign w:val="center"/>
          </w:tcPr>
          <w:p w14:paraId="63EEA4A0">
            <w:pPr>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总酸、苯甲酸及其钠盐（以苯甲酸计）、山梨酸及其钾盐（以山梨酸计）、脱氢乙酸及其钠盐（以脱氢乙酸计）、防腐剂混合使用时各自用量占其最大使用量的比例之和、菌落总数、对羟基苯甲酸酯类及其钠盐（以对羟基苯甲酸计）、不挥发酸（以乳酸计）、三氯蔗糖、糖精钠（以糖精计）、甜蜜素（以环己基氨基磺酸计）</w:t>
            </w:r>
          </w:p>
        </w:tc>
        <w:tc>
          <w:tcPr>
            <w:tcW w:w="669" w:type="dxa"/>
            <w:noWrap w:val="0"/>
            <w:vAlign w:val="center"/>
          </w:tcPr>
          <w:p w14:paraId="43F639A2">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1316" w:type="dxa"/>
            <w:noWrap w:val="0"/>
            <w:vAlign w:val="center"/>
          </w:tcPr>
          <w:p w14:paraId="6A60EB1B">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6AFCEFCC">
            <w:pPr>
              <w:spacing w:line="240" w:lineRule="auto"/>
              <w:ind w:firstLine="0" w:firstLineChars="0"/>
              <w:jc w:val="center"/>
              <w:textAlignment w:val="center"/>
              <w:rPr>
                <w:rFonts w:hint="eastAsia" w:ascii="宋体" w:hAnsi="宋体" w:eastAsia="宋体" w:cs="宋体"/>
                <w:sz w:val="21"/>
                <w:szCs w:val="21"/>
              </w:rPr>
            </w:pPr>
            <w:bookmarkStart w:id="33" w:name="OLE_LINK8"/>
            <w:bookmarkStart w:id="34" w:name="OLE_LINK7"/>
            <w:r>
              <w:rPr>
                <w:rFonts w:hint="eastAsia" w:ascii="宋体" w:hAnsi="宋体" w:eastAsia="宋体" w:cs="宋体"/>
                <w:sz w:val="18"/>
                <w:szCs w:val="18"/>
                <w:lang w:eastAsia="zh-CN"/>
              </w:rPr>
              <w:t>调味品专项、餐饮环节、农贸市场</w:t>
            </w:r>
            <w:bookmarkEnd w:id="33"/>
            <w:bookmarkEnd w:id="34"/>
            <w:r>
              <w:rPr>
                <w:rFonts w:hint="eastAsia" w:ascii="宋体" w:hAnsi="宋体" w:eastAsia="宋体" w:cs="宋体"/>
                <w:sz w:val="18"/>
                <w:szCs w:val="18"/>
                <w:lang w:eastAsia="zh-CN"/>
              </w:rPr>
              <w:t>等抽取</w:t>
            </w:r>
          </w:p>
        </w:tc>
      </w:tr>
      <w:tr w14:paraId="02DB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6" w:hRule="atLeast"/>
        </w:trPr>
        <w:tc>
          <w:tcPr>
            <w:tcW w:w="690" w:type="dxa"/>
            <w:vMerge w:val="restart"/>
            <w:noWrap w:val="0"/>
            <w:vAlign w:val="center"/>
          </w:tcPr>
          <w:p w14:paraId="044BBC01">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7</w:t>
            </w:r>
          </w:p>
        </w:tc>
        <w:tc>
          <w:tcPr>
            <w:tcW w:w="1095" w:type="dxa"/>
            <w:vMerge w:val="restart"/>
            <w:noWrap w:val="0"/>
            <w:vAlign w:val="center"/>
          </w:tcPr>
          <w:p w14:paraId="534B551C">
            <w:pPr>
              <w:spacing w:line="240" w:lineRule="auto"/>
              <w:ind w:firstLine="0" w:firstLineChars="0"/>
              <w:jc w:val="center"/>
              <w:textAlignment w:val="center"/>
              <w:rPr>
                <w:rFonts w:hint="eastAsia" w:ascii="Times New Roman" w:hAnsi="Times New Roman" w:eastAsia="宋体" w:cs="Times New Roman"/>
                <w:sz w:val="21"/>
                <w:szCs w:val="21"/>
                <w:lang w:eastAsia="zh-CN"/>
              </w:rPr>
            </w:pPr>
            <w:r>
              <w:rPr>
                <w:rFonts w:hint="eastAsia" w:ascii="宋体" w:hAnsi="宋体" w:eastAsia="宋体" w:cs="宋体"/>
                <w:color w:val="000000"/>
                <w:sz w:val="20"/>
                <w:szCs w:val="21"/>
                <w:u w:val="none"/>
                <w:lang w:eastAsia="zh-CN"/>
              </w:rPr>
              <w:t>调味品</w:t>
            </w:r>
          </w:p>
        </w:tc>
        <w:tc>
          <w:tcPr>
            <w:tcW w:w="1140" w:type="dxa"/>
            <w:noWrap w:val="0"/>
            <w:vAlign w:val="center"/>
          </w:tcPr>
          <w:p w14:paraId="46492E91">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酱油</w:t>
            </w:r>
          </w:p>
        </w:tc>
        <w:tc>
          <w:tcPr>
            <w:tcW w:w="1011" w:type="dxa"/>
            <w:noWrap w:val="0"/>
            <w:vAlign w:val="center"/>
          </w:tcPr>
          <w:p w14:paraId="6CE5F376">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酱油</w:t>
            </w:r>
          </w:p>
        </w:tc>
        <w:tc>
          <w:tcPr>
            <w:tcW w:w="1701" w:type="dxa"/>
            <w:noWrap w:val="0"/>
            <w:vAlign w:val="center"/>
          </w:tcPr>
          <w:p w14:paraId="56764EC0">
            <w:pPr>
              <w:spacing w:line="240" w:lineRule="auto"/>
              <w:ind w:firstLine="0" w:firstLineChars="0"/>
              <w:jc w:val="left"/>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高盐稀态发酵酱油（含固稀发酵酱油）和低盐固态发酵酱油</w:t>
            </w:r>
          </w:p>
        </w:tc>
        <w:tc>
          <w:tcPr>
            <w:tcW w:w="4819" w:type="dxa"/>
            <w:noWrap w:val="0"/>
            <w:vAlign w:val="center"/>
          </w:tcPr>
          <w:p w14:paraId="1F0E4A88">
            <w:pPr>
              <w:spacing w:line="240" w:lineRule="auto"/>
              <w:ind w:firstLine="0" w:firstLineChars="0"/>
              <w:jc w:val="left"/>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氨基酸态氮、全氮（以氮计）、铵盐（以占氨基酸态氮的百分比计）、苯甲酸及其钠盐（以苯甲酸计）、</w:t>
            </w:r>
            <w:r>
              <w:rPr>
                <w:rFonts w:hint="eastAsia" w:ascii="宋体" w:hAnsi="宋体" w:eastAsia="宋体" w:cs="宋体"/>
                <w:sz w:val="18"/>
                <w:szCs w:val="18"/>
              </w:rPr>
              <w:t>山梨酸及其钾盐（以山梨酸计）、脱氢乙酸及其钠盐（以脱氢乙酸计）、对羟基苯甲酸酯类及其钠盐（以对羟基苯甲酸计）、防腐剂混合使用时各自用量占其最大使用量的比例之和、糖精钠（以糖精计）、甜蜜素（以环己基氨基磺酸计）</w:t>
            </w:r>
            <w:r>
              <w:rPr>
                <w:rFonts w:hint="eastAsia" w:ascii="宋体" w:hAnsi="宋体" w:eastAsia="宋体" w:cs="宋体"/>
                <w:sz w:val="18"/>
                <w:szCs w:val="18"/>
                <w:lang w:eastAsia="zh-CN"/>
              </w:rPr>
              <w:t>、</w:t>
            </w:r>
            <w:r>
              <w:rPr>
                <w:rFonts w:hint="eastAsia" w:ascii="宋体" w:hAnsi="宋体" w:eastAsia="宋体" w:cs="宋体"/>
                <w:sz w:val="18"/>
                <w:szCs w:val="18"/>
              </w:rPr>
              <w:t>菌落总数、大肠菌群</w:t>
            </w:r>
          </w:p>
        </w:tc>
        <w:tc>
          <w:tcPr>
            <w:tcW w:w="669" w:type="dxa"/>
            <w:noWrap w:val="0"/>
            <w:vAlign w:val="center"/>
          </w:tcPr>
          <w:p w14:paraId="612BEC51">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1316" w:type="dxa"/>
            <w:noWrap w:val="0"/>
            <w:vAlign w:val="center"/>
          </w:tcPr>
          <w:p w14:paraId="0D45F376">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restart"/>
            <w:noWrap w:val="0"/>
            <w:vAlign w:val="center"/>
          </w:tcPr>
          <w:p w14:paraId="1AE8C167">
            <w:pPr>
              <w:spacing w:line="240" w:lineRule="auto"/>
              <w:ind w:firstLine="0" w:firstLineChars="0"/>
              <w:jc w:val="center"/>
              <w:textAlignment w:val="center"/>
              <w:rPr>
                <w:rFonts w:hint="eastAsia" w:ascii="Times New Roman" w:hAnsi="Times New Roman" w:eastAsia="宋体" w:cs="Times New Roman"/>
                <w:b/>
                <w:sz w:val="21"/>
                <w:szCs w:val="21"/>
              </w:rPr>
            </w:pPr>
            <w:r>
              <w:rPr>
                <w:rFonts w:hint="eastAsia" w:ascii="宋体" w:hAnsi="宋体" w:eastAsia="宋体" w:cs="宋体"/>
                <w:sz w:val="18"/>
                <w:szCs w:val="18"/>
                <w:lang w:eastAsia="zh-CN"/>
              </w:rPr>
              <w:t>调味品专项、餐饮环节、农贸市场等抽取</w:t>
            </w:r>
          </w:p>
        </w:tc>
      </w:tr>
      <w:tr w14:paraId="67D1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8" w:hRule="atLeast"/>
        </w:trPr>
        <w:tc>
          <w:tcPr>
            <w:tcW w:w="690" w:type="dxa"/>
            <w:vMerge w:val="continue"/>
            <w:noWrap w:val="0"/>
            <w:vAlign w:val="center"/>
          </w:tcPr>
          <w:p w14:paraId="2A0DAC1E">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305B3835">
            <w:pPr>
              <w:spacing w:line="240" w:lineRule="auto"/>
              <w:ind w:firstLine="0" w:firstLineChars="0"/>
              <w:jc w:val="center"/>
              <w:rPr>
                <w:rFonts w:hint="eastAsia" w:ascii="Times New Roman" w:hAnsi="Times New Roman" w:eastAsia="宋体" w:cs="Times New Roman"/>
                <w:sz w:val="21"/>
                <w:szCs w:val="21"/>
              </w:rPr>
            </w:pPr>
          </w:p>
        </w:tc>
        <w:tc>
          <w:tcPr>
            <w:tcW w:w="1140" w:type="dxa"/>
            <w:noWrap w:val="0"/>
            <w:vAlign w:val="center"/>
          </w:tcPr>
          <w:p w14:paraId="4261EEE3">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调味料酒</w:t>
            </w:r>
          </w:p>
        </w:tc>
        <w:tc>
          <w:tcPr>
            <w:tcW w:w="1011" w:type="dxa"/>
            <w:noWrap w:val="0"/>
            <w:vAlign w:val="center"/>
          </w:tcPr>
          <w:p w14:paraId="7BE909D6">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调味料酒</w:t>
            </w:r>
          </w:p>
        </w:tc>
        <w:tc>
          <w:tcPr>
            <w:tcW w:w="1701" w:type="dxa"/>
            <w:noWrap w:val="0"/>
            <w:vAlign w:val="center"/>
          </w:tcPr>
          <w:p w14:paraId="0055255B">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料酒</w:t>
            </w:r>
          </w:p>
        </w:tc>
        <w:tc>
          <w:tcPr>
            <w:tcW w:w="4819" w:type="dxa"/>
            <w:noWrap w:val="0"/>
            <w:vAlign w:val="center"/>
          </w:tcPr>
          <w:p w14:paraId="6E7A3FD1">
            <w:pPr>
              <w:spacing w:line="240" w:lineRule="auto"/>
              <w:ind w:firstLine="0" w:firstLineChars="0"/>
              <w:jc w:val="left"/>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氨基酸态氮（以氮计）、苯甲酸及其钠盐（以苯甲酸计）、</w:t>
            </w:r>
            <w:r>
              <w:rPr>
                <w:rFonts w:hint="eastAsia" w:ascii="宋体" w:hAnsi="宋体" w:eastAsia="宋体" w:cs="宋体"/>
                <w:sz w:val="18"/>
                <w:szCs w:val="18"/>
              </w:rPr>
              <w:t>山梨酸及其钾盐（以山梨酸计）、脱氢乙酸及其钠盐（以脱氢乙酸计）、三氯蔗糖、</w:t>
            </w:r>
            <w:r>
              <w:rPr>
                <w:rFonts w:hint="eastAsia" w:ascii="宋体" w:hAnsi="宋体" w:eastAsia="宋体" w:cs="宋体"/>
                <w:color w:val="000000"/>
                <w:sz w:val="20"/>
                <w:szCs w:val="21"/>
                <w:u w:val="none"/>
              </w:rPr>
              <w:t>甜蜜素（以环己基氨基磺酸计）</w:t>
            </w:r>
          </w:p>
        </w:tc>
        <w:tc>
          <w:tcPr>
            <w:tcW w:w="669" w:type="dxa"/>
            <w:noWrap w:val="0"/>
            <w:vAlign w:val="center"/>
          </w:tcPr>
          <w:p w14:paraId="1572E70A">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1316" w:type="dxa"/>
            <w:noWrap w:val="0"/>
            <w:vAlign w:val="center"/>
          </w:tcPr>
          <w:p w14:paraId="56BBB1C9">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26FE4B1A">
            <w:pPr>
              <w:spacing w:line="240" w:lineRule="auto"/>
              <w:ind w:firstLine="0" w:firstLineChars="0"/>
              <w:jc w:val="center"/>
              <w:textAlignment w:val="center"/>
              <w:rPr>
                <w:rFonts w:hint="eastAsia" w:ascii="Times New Roman" w:hAnsi="Times New Roman" w:eastAsia="宋体" w:cs="Times New Roman"/>
                <w:b/>
                <w:sz w:val="21"/>
                <w:szCs w:val="21"/>
              </w:rPr>
            </w:pPr>
          </w:p>
        </w:tc>
      </w:tr>
      <w:tr w14:paraId="4A884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trPr>
        <w:tc>
          <w:tcPr>
            <w:tcW w:w="690" w:type="dxa"/>
            <w:vMerge w:val="continue"/>
            <w:noWrap w:val="0"/>
            <w:vAlign w:val="center"/>
          </w:tcPr>
          <w:p w14:paraId="5D38441A">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0D95E477">
            <w:pPr>
              <w:spacing w:line="240" w:lineRule="auto"/>
              <w:ind w:firstLine="0" w:firstLineChars="0"/>
              <w:jc w:val="center"/>
              <w:textAlignment w:val="center"/>
              <w:rPr>
                <w:rFonts w:hint="eastAsia" w:ascii="Times New Roman" w:hAnsi="Times New Roman" w:eastAsia="宋体" w:cs="Times New Roman"/>
                <w:sz w:val="21"/>
                <w:szCs w:val="21"/>
              </w:rPr>
            </w:pPr>
          </w:p>
        </w:tc>
        <w:tc>
          <w:tcPr>
            <w:tcW w:w="1140" w:type="dxa"/>
            <w:noWrap w:val="0"/>
            <w:vAlign w:val="center"/>
          </w:tcPr>
          <w:p w14:paraId="56BB3859">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香辛料类</w:t>
            </w:r>
          </w:p>
        </w:tc>
        <w:tc>
          <w:tcPr>
            <w:tcW w:w="1011" w:type="dxa"/>
            <w:noWrap w:val="0"/>
            <w:vAlign w:val="center"/>
          </w:tcPr>
          <w:p w14:paraId="25CAE4BE">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香辛料类</w:t>
            </w:r>
          </w:p>
        </w:tc>
        <w:tc>
          <w:tcPr>
            <w:tcW w:w="1701" w:type="dxa"/>
            <w:noWrap w:val="0"/>
            <w:vAlign w:val="center"/>
          </w:tcPr>
          <w:p w14:paraId="43FC038D">
            <w:pPr>
              <w:spacing w:line="240" w:lineRule="auto"/>
              <w:ind w:firstLine="0" w:firstLineChars="0"/>
              <w:jc w:val="left"/>
              <w:textAlignment w:val="center"/>
              <w:rPr>
                <w:rFonts w:hint="eastAsia" w:ascii="Times New Roman" w:hAnsi="Times New Roman" w:eastAsia="宋体" w:cs="Times New Roman"/>
                <w:sz w:val="21"/>
                <w:szCs w:val="21"/>
                <w:lang w:eastAsia="zh-CN"/>
              </w:rPr>
            </w:pPr>
            <w:r>
              <w:rPr>
                <w:rFonts w:hint="eastAsia" w:ascii="宋体" w:hAnsi="宋体" w:eastAsia="宋体" w:cs="宋体"/>
                <w:color w:val="000000"/>
                <w:sz w:val="20"/>
                <w:szCs w:val="21"/>
                <w:u w:val="none"/>
              </w:rPr>
              <w:t>香辛料调味品（花椒、花椒粉</w:t>
            </w:r>
            <w:r>
              <w:rPr>
                <w:rFonts w:hint="eastAsia" w:ascii="宋体" w:hAnsi="宋体" w:eastAsia="宋体" w:cs="宋体"/>
                <w:color w:val="000000"/>
                <w:sz w:val="20"/>
                <w:szCs w:val="21"/>
                <w:u w:val="none"/>
                <w:lang w:eastAsia="zh-CN"/>
              </w:rPr>
              <w:t>、</w:t>
            </w:r>
            <w:r>
              <w:rPr>
                <w:rFonts w:hint="eastAsia" w:ascii="宋体" w:hAnsi="宋体" w:eastAsia="宋体" w:cs="宋体"/>
                <w:color w:val="000000"/>
                <w:sz w:val="20"/>
                <w:szCs w:val="21"/>
                <w:u w:val="none"/>
              </w:rPr>
              <w:t>辣椒粉、干辣椒</w:t>
            </w:r>
            <w:r>
              <w:rPr>
                <w:rFonts w:hint="eastAsia" w:ascii="宋体" w:hAnsi="宋体" w:eastAsia="宋体" w:cs="宋体"/>
                <w:color w:val="000000"/>
                <w:sz w:val="20"/>
                <w:szCs w:val="21"/>
                <w:u w:val="none"/>
                <w:lang w:eastAsia="zh-CN"/>
              </w:rPr>
              <w:t>）</w:t>
            </w:r>
          </w:p>
        </w:tc>
        <w:tc>
          <w:tcPr>
            <w:tcW w:w="4819" w:type="dxa"/>
            <w:noWrap w:val="0"/>
            <w:vAlign w:val="center"/>
          </w:tcPr>
          <w:p w14:paraId="02FCC426">
            <w:pPr>
              <w:spacing w:line="240" w:lineRule="auto"/>
              <w:ind w:firstLine="0" w:firstLineChars="0"/>
              <w:jc w:val="left"/>
              <w:textAlignment w:val="center"/>
              <w:rPr>
                <w:rFonts w:hint="default" w:ascii="Times New Roman" w:hAnsi="Times New Roman" w:eastAsia="宋体" w:cs="Times New Roman"/>
                <w:sz w:val="21"/>
                <w:szCs w:val="21"/>
                <w:lang w:val="en-US" w:eastAsia="zh-CN"/>
              </w:rPr>
            </w:pPr>
            <w:r>
              <w:rPr>
                <w:rFonts w:hint="eastAsia" w:ascii="宋体" w:hAnsi="宋体" w:eastAsia="宋体" w:cs="宋体"/>
                <w:sz w:val="18"/>
                <w:szCs w:val="18"/>
              </w:rPr>
              <w:t>铅（以Pb计）、脱氢乙酸及其钠盐（以脱氢乙酸计）、山梨酸及其钾盐（以山梨酸计）、二氧化硫残留量、苏丹红Ⅰ、苏丹红Ⅱ、苏丹红Ⅲ、苏丹红Ⅳ、合成着色剂（柠檬黄、日落黄、胭脂红）</w:t>
            </w:r>
            <w:r>
              <w:rPr>
                <w:rFonts w:hint="eastAsia" w:ascii="宋体" w:hAnsi="宋体" w:eastAsia="宋体" w:cs="宋体"/>
                <w:sz w:val="18"/>
                <w:szCs w:val="18"/>
                <w:lang w:eastAsia="zh-CN"/>
              </w:rPr>
              <w:t>、罗丹明</w:t>
            </w:r>
            <w:r>
              <w:rPr>
                <w:rFonts w:hint="eastAsia" w:ascii="宋体" w:hAnsi="宋体" w:eastAsia="宋体" w:cs="宋体"/>
                <w:sz w:val="18"/>
                <w:szCs w:val="18"/>
                <w:lang w:val="en-US" w:eastAsia="zh-CN"/>
              </w:rPr>
              <w:t>B</w:t>
            </w:r>
          </w:p>
        </w:tc>
        <w:tc>
          <w:tcPr>
            <w:tcW w:w="669" w:type="dxa"/>
            <w:noWrap w:val="0"/>
            <w:vAlign w:val="center"/>
          </w:tcPr>
          <w:p w14:paraId="2A261F98">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bCs w:val="0"/>
                <w:sz w:val="21"/>
                <w:szCs w:val="21"/>
                <w:lang w:val="en-US" w:eastAsia="zh-CN"/>
              </w:rPr>
              <w:t>5</w:t>
            </w:r>
          </w:p>
        </w:tc>
        <w:tc>
          <w:tcPr>
            <w:tcW w:w="1316" w:type="dxa"/>
            <w:noWrap w:val="0"/>
            <w:vAlign w:val="center"/>
          </w:tcPr>
          <w:p w14:paraId="65A9B240">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0C58721B">
            <w:pPr>
              <w:spacing w:line="240" w:lineRule="auto"/>
              <w:ind w:firstLine="0" w:firstLineChars="0"/>
              <w:jc w:val="center"/>
              <w:textAlignment w:val="center"/>
              <w:rPr>
                <w:rFonts w:hint="eastAsia" w:ascii="宋体" w:hAnsi="宋体" w:eastAsia="宋体" w:cs="宋体"/>
                <w:sz w:val="21"/>
                <w:szCs w:val="21"/>
              </w:rPr>
            </w:pPr>
          </w:p>
        </w:tc>
      </w:tr>
      <w:tr w14:paraId="33AB5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90" w:type="dxa"/>
            <w:vMerge w:val="continue"/>
            <w:noWrap w:val="0"/>
            <w:vAlign w:val="center"/>
          </w:tcPr>
          <w:p w14:paraId="1CAD17B1">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1A0E35ED">
            <w:pPr>
              <w:widowControl/>
              <w:spacing w:line="240" w:lineRule="auto"/>
              <w:ind w:firstLine="0" w:firstLineChars="0"/>
              <w:jc w:val="center"/>
              <w:textAlignment w:val="center"/>
              <w:rPr>
                <w:rFonts w:hint="eastAsia" w:ascii="宋体" w:hAnsi="宋体" w:eastAsia="宋体" w:cs="宋体"/>
                <w:sz w:val="18"/>
                <w:szCs w:val="18"/>
              </w:rPr>
            </w:pPr>
          </w:p>
        </w:tc>
        <w:tc>
          <w:tcPr>
            <w:tcW w:w="1140" w:type="dxa"/>
            <w:noWrap w:val="0"/>
            <w:vAlign w:val="center"/>
          </w:tcPr>
          <w:p w14:paraId="6392967A">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0"/>
                <w:szCs w:val="21"/>
                <w:u w:val="none"/>
              </w:rPr>
              <w:t>味精</w:t>
            </w:r>
          </w:p>
        </w:tc>
        <w:tc>
          <w:tcPr>
            <w:tcW w:w="1011" w:type="dxa"/>
            <w:noWrap w:val="0"/>
            <w:vAlign w:val="center"/>
          </w:tcPr>
          <w:p w14:paraId="5311F9E1">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0"/>
                <w:szCs w:val="21"/>
                <w:u w:val="none"/>
              </w:rPr>
              <w:t>味精</w:t>
            </w:r>
          </w:p>
        </w:tc>
        <w:tc>
          <w:tcPr>
            <w:tcW w:w="1701" w:type="dxa"/>
            <w:noWrap w:val="0"/>
            <w:vAlign w:val="center"/>
          </w:tcPr>
          <w:p w14:paraId="71EAE07D">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0"/>
                <w:szCs w:val="21"/>
                <w:u w:val="none"/>
              </w:rPr>
              <w:t>味精</w:t>
            </w:r>
          </w:p>
        </w:tc>
        <w:tc>
          <w:tcPr>
            <w:tcW w:w="4819" w:type="dxa"/>
            <w:noWrap w:val="0"/>
            <w:vAlign w:val="center"/>
          </w:tcPr>
          <w:p w14:paraId="6DB664C2">
            <w:pPr>
              <w:widowControl/>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谷氨酸钠、铅（以Pb计）</w:t>
            </w:r>
          </w:p>
        </w:tc>
        <w:tc>
          <w:tcPr>
            <w:tcW w:w="669" w:type="dxa"/>
            <w:noWrap w:val="0"/>
            <w:vAlign w:val="center"/>
          </w:tcPr>
          <w:p w14:paraId="010F316B">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1</w:t>
            </w:r>
          </w:p>
        </w:tc>
        <w:tc>
          <w:tcPr>
            <w:tcW w:w="1316" w:type="dxa"/>
            <w:noWrap w:val="0"/>
            <w:vAlign w:val="center"/>
          </w:tcPr>
          <w:p w14:paraId="48C36E1A">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1040FD10">
            <w:pPr>
              <w:widowControl/>
              <w:spacing w:line="240" w:lineRule="auto"/>
              <w:ind w:firstLine="0" w:firstLineChars="0"/>
              <w:jc w:val="center"/>
              <w:textAlignment w:val="center"/>
              <w:rPr>
                <w:rFonts w:hint="eastAsia" w:ascii="宋体" w:hAnsi="宋体" w:eastAsia="宋体" w:cs="宋体"/>
                <w:sz w:val="21"/>
                <w:szCs w:val="21"/>
              </w:rPr>
            </w:pPr>
          </w:p>
        </w:tc>
      </w:tr>
      <w:tr w14:paraId="7596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690" w:type="dxa"/>
            <w:vMerge w:val="continue"/>
            <w:noWrap w:val="0"/>
            <w:vAlign w:val="center"/>
          </w:tcPr>
          <w:p w14:paraId="54CF4CA2">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31C1E349">
            <w:pPr>
              <w:widowControl/>
              <w:spacing w:line="240" w:lineRule="auto"/>
              <w:ind w:firstLine="0" w:firstLineChars="0"/>
              <w:jc w:val="center"/>
              <w:textAlignment w:val="center"/>
              <w:rPr>
                <w:rFonts w:hint="eastAsia" w:ascii="Times New Roman" w:hAnsi="Times New Roman" w:eastAsia="宋体" w:cs="Times New Roman"/>
                <w:sz w:val="21"/>
                <w:szCs w:val="21"/>
              </w:rPr>
            </w:pPr>
          </w:p>
        </w:tc>
        <w:tc>
          <w:tcPr>
            <w:tcW w:w="1140" w:type="dxa"/>
            <w:noWrap w:val="0"/>
            <w:vAlign w:val="center"/>
          </w:tcPr>
          <w:p w14:paraId="00D5A866">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食用盐</w:t>
            </w:r>
          </w:p>
        </w:tc>
        <w:tc>
          <w:tcPr>
            <w:tcW w:w="1011" w:type="dxa"/>
            <w:noWrap w:val="0"/>
            <w:vAlign w:val="center"/>
          </w:tcPr>
          <w:p w14:paraId="408C261A">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食用盐</w:t>
            </w:r>
          </w:p>
        </w:tc>
        <w:tc>
          <w:tcPr>
            <w:tcW w:w="1701" w:type="dxa"/>
            <w:noWrap w:val="0"/>
            <w:vAlign w:val="center"/>
          </w:tcPr>
          <w:p w14:paraId="068F4D01">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普通食用盐、低钠食用盐</w:t>
            </w:r>
          </w:p>
        </w:tc>
        <w:tc>
          <w:tcPr>
            <w:tcW w:w="4819" w:type="dxa"/>
            <w:noWrap w:val="0"/>
            <w:vAlign w:val="center"/>
          </w:tcPr>
          <w:p w14:paraId="1F9E2535">
            <w:pPr>
              <w:spacing w:line="240" w:lineRule="auto"/>
              <w:ind w:firstLine="0" w:firstLineChars="0"/>
              <w:jc w:val="left"/>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氯化钠、碘（以I计）、</w:t>
            </w:r>
            <w:r>
              <w:rPr>
                <w:rFonts w:hint="eastAsia" w:ascii="宋体" w:hAnsi="宋体" w:eastAsia="宋体" w:cs="宋体"/>
                <w:sz w:val="18"/>
                <w:szCs w:val="18"/>
              </w:rPr>
              <w:t>铅（以Pb计）</w:t>
            </w:r>
            <w:r>
              <w:rPr>
                <w:rFonts w:hint="eastAsia" w:ascii="宋体" w:hAnsi="宋体" w:eastAsia="宋体" w:cs="宋体"/>
                <w:sz w:val="18"/>
                <w:szCs w:val="18"/>
                <w:lang w:eastAsia="zh-CN"/>
              </w:rPr>
              <w:t>、</w:t>
            </w:r>
            <w:r>
              <w:rPr>
                <w:rFonts w:hint="eastAsia" w:ascii="宋体" w:hAnsi="宋体" w:eastAsia="宋体" w:cs="宋体"/>
                <w:color w:val="000000"/>
                <w:sz w:val="18"/>
                <w:szCs w:val="18"/>
                <w:u w:val="none"/>
              </w:rPr>
              <w:t>总砷（以As计）、镉（以Cd计）、总汞（以Hg计）、亚铁氰化钾/亚铁氰化钠（以亚铁氰根计）、氯化钾（低钠盐测定）、钡（以Ba计）、</w:t>
            </w:r>
          </w:p>
        </w:tc>
        <w:tc>
          <w:tcPr>
            <w:tcW w:w="669" w:type="dxa"/>
            <w:noWrap w:val="0"/>
            <w:vAlign w:val="center"/>
          </w:tcPr>
          <w:p w14:paraId="2228A4AD">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3</w:t>
            </w:r>
          </w:p>
        </w:tc>
        <w:tc>
          <w:tcPr>
            <w:tcW w:w="1316" w:type="dxa"/>
            <w:noWrap w:val="0"/>
            <w:vAlign w:val="center"/>
          </w:tcPr>
          <w:p w14:paraId="3BCE141E">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3E68C1D9">
            <w:pPr>
              <w:spacing w:line="240" w:lineRule="auto"/>
              <w:ind w:firstLine="0" w:firstLineChars="0"/>
              <w:jc w:val="center"/>
              <w:textAlignment w:val="center"/>
              <w:rPr>
                <w:rFonts w:hint="eastAsia" w:ascii="Times New Roman" w:hAnsi="Times New Roman" w:eastAsia="宋体" w:cs="Times New Roman"/>
                <w:b/>
                <w:sz w:val="21"/>
                <w:szCs w:val="21"/>
              </w:rPr>
            </w:pPr>
          </w:p>
        </w:tc>
      </w:tr>
      <w:tr w14:paraId="6BBF2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690" w:type="dxa"/>
            <w:noWrap w:val="0"/>
            <w:vAlign w:val="center"/>
          </w:tcPr>
          <w:p w14:paraId="43B93799">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color w:val="auto"/>
                <w:sz w:val="21"/>
                <w:szCs w:val="21"/>
                <w:lang w:val="en-US" w:eastAsia="zh-CN"/>
              </w:rPr>
              <w:t>8</w:t>
            </w:r>
          </w:p>
        </w:tc>
        <w:tc>
          <w:tcPr>
            <w:tcW w:w="1095" w:type="dxa"/>
            <w:noWrap w:val="0"/>
            <w:vAlign w:val="center"/>
          </w:tcPr>
          <w:p w14:paraId="12592368">
            <w:pPr>
              <w:spacing w:line="240" w:lineRule="auto"/>
              <w:ind w:firstLine="0" w:firstLineChars="0"/>
              <w:jc w:val="center"/>
              <w:rPr>
                <w:rFonts w:hint="eastAsia" w:ascii="宋体" w:hAnsi="宋体" w:eastAsia="宋体" w:cs="宋体"/>
                <w:bCs/>
                <w:sz w:val="18"/>
                <w:szCs w:val="18"/>
              </w:rPr>
            </w:pPr>
            <w:r>
              <w:rPr>
                <w:rFonts w:hint="eastAsia" w:ascii="宋体" w:hAnsi="宋体" w:eastAsia="宋体" w:cs="宋体"/>
                <w:bCs/>
                <w:sz w:val="18"/>
                <w:szCs w:val="18"/>
              </w:rPr>
              <w:t>方便食品</w:t>
            </w:r>
          </w:p>
        </w:tc>
        <w:tc>
          <w:tcPr>
            <w:tcW w:w="1140" w:type="dxa"/>
            <w:noWrap w:val="0"/>
            <w:vAlign w:val="center"/>
          </w:tcPr>
          <w:p w14:paraId="243F2050">
            <w:pPr>
              <w:spacing w:line="240" w:lineRule="auto"/>
              <w:ind w:firstLine="0" w:firstLineChars="0"/>
              <w:jc w:val="center"/>
              <w:rPr>
                <w:rFonts w:hint="eastAsia" w:ascii="宋体" w:hAnsi="宋体" w:eastAsia="宋体" w:cs="宋体"/>
                <w:bCs/>
                <w:sz w:val="18"/>
                <w:szCs w:val="18"/>
              </w:rPr>
            </w:pPr>
            <w:r>
              <w:rPr>
                <w:rFonts w:hint="eastAsia" w:ascii="宋体" w:hAnsi="宋体" w:eastAsia="宋体" w:cs="宋体"/>
                <w:bCs/>
                <w:sz w:val="18"/>
                <w:szCs w:val="18"/>
              </w:rPr>
              <w:t>方便食品</w:t>
            </w:r>
          </w:p>
        </w:tc>
        <w:tc>
          <w:tcPr>
            <w:tcW w:w="1011" w:type="dxa"/>
            <w:noWrap w:val="0"/>
            <w:vAlign w:val="center"/>
          </w:tcPr>
          <w:p w14:paraId="5EC5A70D">
            <w:pPr>
              <w:spacing w:line="240" w:lineRule="auto"/>
              <w:ind w:firstLine="0" w:firstLineChars="0"/>
              <w:jc w:val="center"/>
              <w:rPr>
                <w:rFonts w:hint="eastAsia" w:ascii="宋体" w:hAnsi="宋体" w:eastAsia="宋体" w:cs="宋体"/>
                <w:bCs/>
                <w:sz w:val="18"/>
                <w:szCs w:val="18"/>
              </w:rPr>
            </w:pPr>
            <w:r>
              <w:rPr>
                <w:rFonts w:hint="eastAsia" w:ascii="宋体" w:hAnsi="宋体" w:eastAsia="宋体" w:cs="宋体"/>
                <w:bCs/>
                <w:sz w:val="18"/>
                <w:szCs w:val="18"/>
              </w:rPr>
              <w:t>方便面</w:t>
            </w:r>
          </w:p>
        </w:tc>
        <w:tc>
          <w:tcPr>
            <w:tcW w:w="1701" w:type="dxa"/>
            <w:noWrap w:val="0"/>
            <w:vAlign w:val="center"/>
          </w:tcPr>
          <w:p w14:paraId="351DF8EF">
            <w:pPr>
              <w:spacing w:line="240" w:lineRule="auto"/>
              <w:ind w:firstLine="0" w:firstLineChars="0"/>
              <w:jc w:val="center"/>
              <w:rPr>
                <w:rFonts w:hint="eastAsia" w:ascii="宋体" w:hAnsi="宋体" w:eastAsia="宋体" w:cs="宋体"/>
                <w:bCs/>
                <w:sz w:val="18"/>
                <w:szCs w:val="18"/>
              </w:rPr>
            </w:pPr>
            <w:r>
              <w:rPr>
                <w:rFonts w:hint="eastAsia" w:ascii="宋体" w:hAnsi="宋体" w:eastAsia="宋体" w:cs="宋体"/>
                <w:bCs/>
                <w:sz w:val="18"/>
                <w:szCs w:val="18"/>
              </w:rPr>
              <w:t>油炸面、非油炸面、方便米粉（米线）、方便粉丝</w:t>
            </w:r>
          </w:p>
          <w:p w14:paraId="2CEEB681">
            <w:pPr>
              <w:spacing w:line="240" w:lineRule="auto"/>
              <w:ind w:firstLine="0" w:firstLineChars="0"/>
              <w:jc w:val="center"/>
              <w:rPr>
                <w:rFonts w:hint="eastAsia" w:ascii="宋体" w:hAnsi="宋体" w:eastAsia="宋体" w:cs="宋体"/>
                <w:bCs/>
                <w:sz w:val="18"/>
                <w:szCs w:val="18"/>
              </w:rPr>
            </w:pPr>
          </w:p>
        </w:tc>
        <w:tc>
          <w:tcPr>
            <w:tcW w:w="4819" w:type="dxa"/>
            <w:noWrap w:val="0"/>
            <w:vAlign w:val="center"/>
          </w:tcPr>
          <w:p w14:paraId="447BB8AA">
            <w:pPr>
              <w:spacing w:line="240" w:lineRule="auto"/>
              <w:ind w:firstLine="0" w:firstLineChars="0"/>
              <w:jc w:val="left"/>
              <w:rPr>
                <w:rFonts w:hint="eastAsia" w:ascii="宋体" w:hAnsi="宋体" w:eastAsia="宋体" w:cs="宋体"/>
                <w:sz w:val="18"/>
                <w:szCs w:val="18"/>
              </w:rPr>
            </w:pPr>
            <w:r>
              <w:rPr>
                <w:rFonts w:hint="eastAsia" w:ascii="宋体" w:hAnsi="宋体" w:eastAsia="宋体" w:cs="宋体"/>
                <w:bCs/>
                <w:sz w:val="18"/>
                <w:szCs w:val="18"/>
              </w:rPr>
              <w:t>过氧化值（以脂肪计）、菌落总数、大肠菌群、</w:t>
            </w:r>
            <w:r>
              <w:rPr>
                <w:rFonts w:hint="eastAsia" w:ascii="宋体" w:hAnsi="宋体" w:eastAsia="宋体" w:cs="宋体"/>
                <w:sz w:val="18"/>
                <w:szCs w:val="18"/>
              </w:rPr>
              <w:t>脱氢乙酸及其钠盐（以脱氢乙酸计）、酸价（以脂肪计）（KOH）</w:t>
            </w:r>
          </w:p>
          <w:p w14:paraId="59F56099">
            <w:pPr>
              <w:spacing w:line="240" w:lineRule="auto"/>
              <w:ind w:firstLine="0" w:firstLineChars="0"/>
              <w:jc w:val="left"/>
              <w:rPr>
                <w:rFonts w:hint="eastAsia" w:ascii="宋体" w:hAnsi="宋体" w:eastAsia="宋体" w:cs="宋体"/>
                <w:bCs/>
                <w:sz w:val="18"/>
                <w:szCs w:val="18"/>
              </w:rPr>
            </w:pPr>
          </w:p>
        </w:tc>
        <w:tc>
          <w:tcPr>
            <w:tcW w:w="669" w:type="dxa"/>
            <w:noWrap w:val="0"/>
            <w:vAlign w:val="center"/>
          </w:tcPr>
          <w:p w14:paraId="6A919658">
            <w:pPr>
              <w:spacing w:line="240" w:lineRule="auto"/>
              <w:ind w:firstLine="0" w:firstLineChars="0"/>
              <w:jc w:val="center"/>
              <w:rPr>
                <w:rFonts w:hint="eastAsia" w:ascii="宋体" w:hAnsi="宋体" w:eastAsia="宋体" w:cs="宋体"/>
                <w:color w:val="000000"/>
                <w:kern w:val="0"/>
                <w:sz w:val="21"/>
                <w:szCs w:val="21"/>
                <w:lang w:eastAsia="zh-CN" w:bidi="ar"/>
              </w:rPr>
            </w:pPr>
            <w:r>
              <w:rPr>
                <w:rFonts w:hint="eastAsia" w:ascii="宋体" w:hAnsi="宋体" w:eastAsia="宋体" w:cs="宋体"/>
                <w:b/>
                <w:sz w:val="21"/>
                <w:szCs w:val="21"/>
                <w:lang w:val="en-US" w:eastAsia="zh-CN"/>
              </w:rPr>
              <w:t>7</w:t>
            </w:r>
          </w:p>
        </w:tc>
        <w:tc>
          <w:tcPr>
            <w:tcW w:w="1316" w:type="dxa"/>
            <w:noWrap w:val="0"/>
            <w:vAlign w:val="center"/>
          </w:tcPr>
          <w:p w14:paraId="4EBA31A1">
            <w:pPr>
              <w:spacing w:line="240" w:lineRule="auto"/>
              <w:ind w:left="0" w:leftChars="0" w:firstLine="0" w:firstLineChars="0"/>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6ABDD23B">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lang w:eastAsia="zh-CN"/>
              </w:rPr>
              <w:t>经营</w:t>
            </w:r>
            <w:r>
              <w:rPr>
                <w:rFonts w:hint="eastAsia" w:ascii="宋体" w:hAnsi="宋体" w:eastAsia="宋体" w:cs="宋体"/>
                <w:sz w:val="18"/>
                <w:szCs w:val="18"/>
              </w:rPr>
              <w:t>环节</w:t>
            </w:r>
          </w:p>
        </w:tc>
      </w:tr>
      <w:tr w14:paraId="5BC36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690" w:type="dxa"/>
            <w:vMerge w:val="restart"/>
            <w:noWrap w:val="0"/>
            <w:vAlign w:val="center"/>
          </w:tcPr>
          <w:p w14:paraId="27AD94A2">
            <w:pPr>
              <w:spacing w:line="240" w:lineRule="auto"/>
              <w:ind w:firstLine="0" w:firstLineChars="0"/>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9</w:t>
            </w:r>
          </w:p>
        </w:tc>
        <w:tc>
          <w:tcPr>
            <w:tcW w:w="1095" w:type="dxa"/>
            <w:vMerge w:val="restart"/>
            <w:noWrap w:val="0"/>
            <w:vAlign w:val="center"/>
          </w:tcPr>
          <w:p w14:paraId="27697222">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淀粉及淀粉制品</w:t>
            </w:r>
          </w:p>
        </w:tc>
        <w:tc>
          <w:tcPr>
            <w:tcW w:w="1140" w:type="dxa"/>
            <w:vMerge w:val="restart"/>
            <w:noWrap w:val="0"/>
            <w:vAlign w:val="center"/>
          </w:tcPr>
          <w:p w14:paraId="5EA9A2DB">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18"/>
                <w:szCs w:val="18"/>
                <w:u w:val="none"/>
              </w:rPr>
              <w:t>淀粉及淀粉制品</w:t>
            </w:r>
          </w:p>
        </w:tc>
        <w:tc>
          <w:tcPr>
            <w:tcW w:w="1011" w:type="dxa"/>
            <w:noWrap w:val="0"/>
            <w:vAlign w:val="center"/>
          </w:tcPr>
          <w:p w14:paraId="6FF2516A">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淀粉</w:t>
            </w:r>
          </w:p>
        </w:tc>
        <w:tc>
          <w:tcPr>
            <w:tcW w:w="1701" w:type="dxa"/>
            <w:noWrap w:val="0"/>
            <w:vAlign w:val="center"/>
          </w:tcPr>
          <w:p w14:paraId="61143660">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淀粉（谷类、薯类、豆类淀粉）</w:t>
            </w:r>
          </w:p>
        </w:tc>
        <w:tc>
          <w:tcPr>
            <w:tcW w:w="4819" w:type="dxa"/>
            <w:noWrap w:val="0"/>
            <w:vAlign w:val="center"/>
          </w:tcPr>
          <w:p w14:paraId="3D99626F">
            <w:pPr>
              <w:spacing w:line="240" w:lineRule="auto"/>
              <w:ind w:firstLine="0" w:firstLineChars="0"/>
              <w:jc w:val="left"/>
              <w:textAlignment w:val="center"/>
              <w:rPr>
                <w:rFonts w:hint="default" w:ascii="宋体" w:hAnsi="宋体" w:eastAsia="宋体" w:cs="宋体"/>
                <w:sz w:val="18"/>
                <w:szCs w:val="18"/>
                <w:lang w:val="en-US"/>
              </w:rPr>
            </w:pPr>
            <w:r>
              <w:rPr>
                <w:rFonts w:hint="eastAsia" w:ascii="宋体" w:hAnsi="宋体" w:eastAsia="宋体" w:cs="宋体"/>
                <w:sz w:val="18"/>
                <w:szCs w:val="18"/>
              </w:rPr>
              <w:t>铅（以Pb计）、二氧化硫残留量、霉菌和酵母、脱氢乙酸及其钠盐（以脱氢乙酸计）</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水分、氢氰酸（限木薯淀粉检测）</w:t>
            </w:r>
          </w:p>
        </w:tc>
        <w:tc>
          <w:tcPr>
            <w:tcW w:w="669" w:type="dxa"/>
            <w:noWrap w:val="0"/>
            <w:vAlign w:val="center"/>
          </w:tcPr>
          <w:p w14:paraId="373BA52D">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6</w:t>
            </w:r>
          </w:p>
        </w:tc>
        <w:tc>
          <w:tcPr>
            <w:tcW w:w="1316" w:type="dxa"/>
            <w:noWrap w:val="0"/>
            <w:vAlign w:val="center"/>
          </w:tcPr>
          <w:p w14:paraId="56A3A78D">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55CFD47E">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sz w:val="18"/>
                <w:szCs w:val="18"/>
                <w:lang w:eastAsia="zh-CN"/>
              </w:rPr>
              <w:t>经营</w:t>
            </w:r>
            <w:r>
              <w:rPr>
                <w:rFonts w:hint="eastAsia" w:ascii="宋体" w:hAnsi="宋体" w:eastAsia="宋体" w:cs="宋体"/>
                <w:sz w:val="18"/>
                <w:szCs w:val="18"/>
              </w:rPr>
              <w:t>环节</w:t>
            </w:r>
          </w:p>
        </w:tc>
      </w:tr>
      <w:tr w14:paraId="2FBA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690" w:type="dxa"/>
            <w:vMerge w:val="continue"/>
            <w:noWrap w:val="0"/>
            <w:vAlign w:val="center"/>
          </w:tcPr>
          <w:p w14:paraId="7809EDB5">
            <w:pPr>
              <w:spacing w:line="240" w:lineRule="auto"/>
              <w:ind w:firstLine="0" w:firstLineChars="0"/>
              <w:jc w:val="center"/>
              <w:rPr>
                <w:rFonts w:hint="eastAsia" w:ascii="宋体" w:hAnsi="宋体" w:eastAsia="宋体" w:cs="宋体"/>
                <w:b/>
                <w:bCs/>
                <w:sz w:val="21"/>
                <w:szCs w:val="21"/>
              </w:rPr>
            </w:pPr>
          </w:p>
        </w:tc>
        <w:tc>
          <w:tcPr>
            <w:tcW w:w="1095" w:type="dxa"/>
            <w:vMerge w:val="continue"/>
            <w:noWrap w:val="0"/>
            <w:vAlign w:val="center"/>
          </w:tcPr>
          <w:p w14:paraId="2FC75892">
            <w:pPr>
              <w:spacing w:line="240" w:lineRule="auto"/>
              <w:ind w:firstLine="0" w:firstLineChars="0"/>
              <w:jc w:val="center"/>
              <w:rPr>
                <w:rFonts w:hint="eastAsia" w:ascii="宋体" w:hAnsi="宋体" w:eastAsia="宋体" w:cs="宋体"/>
                <w:bCs/>
                <w:sz w:val="18"/>
                <w:szCs w:val="18"/>
              </w:rPr>
            </w:pPr>
          </w:p>
        </w:tc>
        <w:tc>
          <w:tcPr>
            <w:tcW w:w="1140" w:type="dxa"/>
            <w:vMerge w:val="continue"/>
            <w:noWrap w:val="0"/>
            <w:vAlign w:val="center"/>
          </w:tcPr>
          <w:p w14:paraId="2B6B3F2E">
            <w:pPr>
              <w:spacing w:line="240" w:lineRule="auto"/>
              <w:ind w:firstLine="0" w:firstLineChars="0"/>
              <w:jc w:val="center"/>
              <w:rPr>
                <w:rFonts w:hint="eastAsia" w:ascii="宋体" w:hAnsi="宋体" w:eastAsia="宋体" w:cs="宋体"/>
                <w:bCs/>
                <w:sz w:val="18"/>
                <w:szCs w:val="18"/>
              </w:rPr>
            </w:pPr>
          </w:p>
        </w:tc>
        <w:tc>
          <w:tcPr>
            <w:tcW w:w="1011" w:type="dxa"/>
            <w:noWrap w:val="0"/>
            <w:vAlign w:val="center"/>
          </w:tcPr>
          <w:p w14:paraId="10020301">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淀粉制品</w:t>
            </w:r>
          </w:p>
        </w:tc>
        <w:tc>
          <w:tcPr>
            <w:tcW w:w="1701" w:type="dxa"/>
            <w:noWrap w:val="0"/>
            <w:vAlign w:val="center"/>
          </w:tcPr>
          <w:p w14:paraId="691C743E">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粉丝、粉条</w:t>
            </w:r>
          </w:p>
        </w:tc>
        <w:tc>
          <w:tcPr>
            <w:tcW w:w="4819" w:type="dxa"/>
            <w:noWrap w:val="0"/>
            <w:vAlign w:val="center"/>
          </w:tcPr>
          <w:p w14:paraId="52995BBB">
            <w:pPr>
              <w:spacing w:line="240" w:lineRule="auto"/>
              <w:ind w:firstLine="0" w:firstLineChars="0"/>
              <w:jc w:val="left"/>
              <w:textAlignment w:val="center"/>
              <w:rPr>
                <w:rFonts w:hint="eastAsia" w:ascii="宋体" w:hAnsi="宋体" w:eastAsia="宋体" w:cs="宋体"/>
                <w:sz w:val="18"/>
                <w:szCs w:val="18"/>
                <w:lang w:eastAsia="zh-CN"/>
              </w:rPr>
            </w:pPr>
            <w:r>
              <w:rPr>
                <w:rFonts w:hint="eastAsia" w:ascii="宋体" w:hAnsi="宋体" w:eastAsia="宋体" w:cs="宋体"/>
                <w:sz w:val="18"/>
                <w:szCs w:val="18"/>
              </w:rPr>
              <w:t>铅（以Pb计）、二氧化硫残留量、</w:t>
            </w:r>
            <w:r>
              <w:rPr>
                <w:rFonts w:hint="eastAsia" w:ascii="宋体" w:hAnsi="宋体" w:eastAsia="宋体" w:cs="宋体"/>
                <w:color w:val="000000"/>
                <w:sz w:val="20"/>
                <w:szCs w:val="21"/>
                <w:u w:val="none"/>
              </w:rPr>
              <w:t>铝的残留量（干样品，以Al计）、</w:t>
            </w:r>
            <w:bookmarkStart w:id="35" w:name="OLE_LINK15"/>
            <w:r>
              <w:rPr>
                <w:rFonts w:hint="eastAsia" w:ascii="宋体" w:hAnsi="宋体" w:eastAsia="宋体" w:cs="宋体"/>
                <w:sz w:val="18"/>
                <w:szCs w:val="18"/>
              </w:rPr>
              <w:t>苯甲酸及其钠盐</w:t>
            </w:r>
            <w:r>
              <w:rPr>
                <w:rFonts w:hint="eastAsia" w:ascii="Times New Roman" w:hAnsi="Times New Roman" w:eastAsia="宋体" w:cs="Times New Roman"/>
                <w:sz w:val="18"/>
                <w:szCs w:val="18"/>
              </w:rPr>
              <w:t>（以苯甲酸计）、</w:t>
            </w:r>
            <w:r>
              <w:rPr>
                <w:rFonts w:hint="eastAsia" w:ascii="宋体" w:hAnsi="宋体" w:eastAsia="宋体" w:cs="宋体"/>
                <w:sz w:val="18"/>
                <w:szCs w:val="18"/>
              </w:rPr>
              <w:t>山梨酸及其钾盐（以山梨酸计）、</w:t>
            </w:r>
            <w:bookmarkEnd w:id="35"/>
            <w:r>
              <w:rPr>
                <w:rFonts w:hint="eastAsia" w:ascii="宋体" w:hAnsi="宋体" w:eastAsia="宋体" w:cs="宋体"/>
                <w:sz w:val="18"/>
                <w:szCs w:val="18"/>
              </w:rPr>
              <w:t>脱氢乙酸及其钠盐（以脱氢乙酸计）</w:t>
            </w:r>
            <w:r>
              <w:rPr>
                <w:rFonts w:hint="eastAsia" w:ascii="宋体" w:hAnsi="宋体" w:eastAsia="宋体" w:cs="宋体"/>
                <w:sz w:val="18"/>
                <w:szCs w:val="18"/>
                <w:lang w:eastAsia="zh-CN"/>
              </w:rPr>
              <w:t>、</w:t>
            </w:r>
            <w:r>
              <w:rPr>
                <w:rFonts w:hint="eastAsia" w:ascii="宋体" w:hAnsi="宋体" w:eastAsia="宋体" w:cs="宋体"/>
                <w:sz w:val="18"/>
                <w:szCs w:val="18"/>
              </w:rPr>
              <w:t>合成着色剂（视色泽而定）</w:t>
            </w:r>
          </w:p>
        </w:tc>
        <w:tc>
          <w:tcPr>
            <w:tcW w:w="669" w:type="dxa"/>
            <w:noWrap w:val="0"/>
            <w:vAlign w:val="center"/>
          </w:tcPr>
          <w:p w14:paraId="2CADE02E">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6</w:t>
            </w:r>
          </w:p>
        </w:tc>
        <w:tc>
          <w:tcPr>
            <w:tcW w:w="1316" w:type="dxa"/>
            <w:noWrap w:val="0"/>
            <w:vAlign w:val="center"/>
          </w:tcPr>
          <w:p w14:paraId="26F3954D">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06533745">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sz w:val="18"/>
                <w:szCs w:val="18"/>
                <w:lang w:eastAsia="zh-CN"/>
              </w:rPr>
              <w:t>经营</w:t>
            </w:r>
            <w:r>
              <w:rPr>
                <w:rFonts w:hint="eastAsia" w:ascii="宋体" w:hAnsi="宋体" w:eastAsia="宋体" w:cs="宋体"/>
                <w:sz w:val="18"/>
                <w:szCs w:val="18"/>
              </w:rPr>
              <w:t>环节</w:t>
            </w:r>
          </w:p>
        </w:tc>
      </w:tr>
      <w:tr w14:paraId="19685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690" w:type="dxa"/>
            <w:vMerge w:val="restart"/>
            <w:noWrap w:val="0"/>
            <w:vAlign w:val="center"/>
          </w:tcPr>
          <w:p w14:paraId="7D0A6258">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rPr>
              <w:t>1</w:t>
            </w:r>
            <w:r>
              <w:rPr>
                <w:rFonts w:hint="eastAsia" w:ascii="宋体" w:hAnsi="宋体" w:eastAsia="宋体" w:cs="宋体"/>
                <w:b/>
                <w:sz w:val="21"/>
                <w:szCs w:val="21"/>
                <w:lang w:val="en-US" w:eastAsia="zh-CN"/>
              </w:rPr>
              <w:t>0</w:t>
            </w:r>
          </w:p>
        </w:tc>
        <w:tc>
          <w:tcPr>
            <w:tcW w:w="1095" w:type="dxa"/>
            <w:vMerge w:val="restart"/>
            <w:noWrap w:val="0"/>
            <w:vAlign w:val="center"/>
          </w:tcPr>
          <w:p w14:paraId="05F381B3">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饮料</w:t>
            </w:r>
          </w:p>
        </w:tc>
        <w:tc>
          <w:tcPr>
            <w:tcW w:w="1140" w:type="dxa"/>
            <w:vMerge w:val="restart"/>
            <w:noWrap w:val="0"/>
            <w:vAlign w:val="center"/>
          </w:tcPr>
          <w:p w14:paraId="4E90EBB5">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饮料</w:t>
            </w:r>
          </w:p>
        </w:tc>
        <w:tc>
          <w:tcPr>
            <w:tcW w:w="1011" w:type="dxa"/>
            <w:noWrap w:val="0"/>
            <w:vAlign w:val="center"/>
          </w:tcPr>
          <w:p w14:paraId="0132442B">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蛋白饮料</w:t>
            </w:r>
          </w:p>
        </w:tc>
        <w:tc>
          <w:tcPr>
            <w:tcW w:w="1701" w:type="dxa"/>
            <w:noWrap w:val="0"/>
            <w:vAlign w:val="center"/>
          </w:tcPr>
          <w:p w14:paraId="1D56E878">
            <w:pPr>
              <w:widowControl/>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蛋白饮料</w:t>
            </w:r>
          </w:p>
        </w:tc>
        <w:tc>
          <w:tcPr>
            <w:tcW w:w="4819" w:type="dxa"/>
            <w:noWrap w:val="0"/>
            <w:vAlign w:val="center"/>
          </w:tcPr>
          <w:p w14:paraId="2EB53D55">
            <w:pPr>
              <w:widowControl/>
              <w:spacing w:line="240" w:lineRule="auto"/>
              <w:ind w:firstLine="0" w:firstLineChars="0"/>
              <w:jc w:val="left"/>
              <w:textAlignment w:val="center"/>
              <w:rPr>
                <w:rFonts w:hint="eastAsia" w:ascii="宋体" w:hAnsi="宋体" w:eastAsia="宋体" w:cs="宋体"/>
                <w:sz w:val="18"/>
                <w:szCs w:val="18"/>
                <w:lang w:eastAsia="zh-CN"/>
              </w:rPr>
            </w:pPr>
            <w:r>
              <w:rPr>
                <w:rFonts w:hint="eastAsia" w:ascii="宋体" w:hAnsi="宋体" w:eastAsia="宋体" w:cs="宋体"/>
                <w:sz w:val="18"/>
                <w:szCs w:val="18"/>
              </w:rPr>
              <w:t>蛋白质、三聚氰胺、</w:t>
            </w:r>
            <w:bookmarkStart w:id="36" w:name="OLE_LINK19"/>
            <w:bookmarkStart w:id="37" w:name="OLE_LINK18"/>
            <w:r>
              <w:rPr>
                <w:rFonts w:hint="eastAsia" w:ascii="宋体" w:hAnsi="宋体" w:eastAsia="宋体" w:cs="宋体"/>
                <w:sz w:val="18"/>
                <w:szCs w:val="18"/>
              </w:rPr>
              <w:t>脱氢乙酸及其钠盐（以脱氢乙酸计）、</w:t>
            </w:r>
            <w:bookmarkEnd w:id="36"/>
            <w:bookmarkEnd w:id="37"/>
            <w:r>
              <w:rPr>
                <w:rFonts w:hint="eastAsia" w:ascii="宋体" w:hAnsi="宋体" w:eastAsia="宋体" w:cs="宋体"/>
                <w:sz w:val="18"/>
                <w:szCs w:val="18"/>
              </w:rPr>
              <w:t>菌落总数、大肠菌群、商业无菌</w:t>
            </w:r>
            <w:r>
              <w:rPr>
                <w:rFonts w:hint="eastAsia" w:ascii="宋体" w:hAnsi="宋体" w:eastAsia="宋体" w:cs="宋体"/>
                <w:sz w:val="18"/>
                <w:szCs w:val="18"/>
                <w:lang w:eastAsia="zh-CN"/>
              </w:rPr>
              <w:t>、霉菌、酵母、乳酸菌数、氰化物（以</w:t>
            </w:r>
            <w:r>
              <w:rPr>
                <w:rFonts w:hint="eastAsia" w:ascii="宋体" w:hAnsi="宋体" w:eastAsia="宋体" w:cs="宋体"/>
                <w:sz w:val="18"/>
                <w:szCs w:val="18"/>
                <w:lang w:val="en-US" w:eastAsia="zh-CN"/>
              </w:rPr>
              <w:t>HCN计</w:t>
            </w:r>
            <w:r>
              <w:rPr>
                <w:rFonts w:hint="eastAsia" w:ascii="宋体" w:hAnsi="宋体" w:eastAsia="宋体" w:cs="宋体"/>
                <w:sz w:val="18"/>
                <w:szCs w:val="18"/>
                <w:lang w:eastAsia="zh-CN"/>
              </w:rPr>
              <w:t>）、安赛蜜、</w:t>
            </w:r>
            <w:r>
              <w:rPr>
                <w:rFonts w:hint="eastAsia" w:ascii="宋体" w:hAnsi="宋体" w:eastAsia="宋体" w:cs="宋体"/>
                <w:color w:val="000000"/>
                <w:sz w:val="20"/>
                <w:szCs w:val="21"/>
                <w:u w:val="none"/>
              </w:rPr>
              <w:t>甜蜜素（以环己基氨基磺酸计）</w:t>
            </w:r>
            <w:r>
              <w:rPr>
                <w:rFonts w:hint="eastAsia" w:ascii="宋体" w:hAnsi="宋体" w:eastAsia="宋体" w:cs="宋体"/>
                <w:color w:val="000000"/>
                <w:sz w:val="20"/>
                <w:szCs w:val="21"/>
                <w:u w:val="none"/>
                <w:lang w:eastAsia="zh-CN"/>
              </w:rPr>
              <w:t>、阿斯巴甜</w:t>
            </w:r>
          </w:p>
        </w:tc>
        <w:tc>
          <w:tcPr>
            <w:tcW w:w="669" w:type="dxa"/>
            <w:noWrap w:val="0"/>
            <w:vAlign w:val="center"/>
          </w:tcPr>
          <w:p w14:paraId="32A7DA5B">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6</w:t>
            </w:r>
          </w:p>
        </w:tc>
        <w:tc>
          <w:tcPr>
            <w:tcW w:w="1316" w:type="dxa"/>
            <w:noWrap w:val="0"/>
            <w:vAlign w:val="center"/>
          </w:tcPr>
          <w:p w14:paraId="08FC0651">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restart"/>
            <w:noWrap w:val="0"/>
            <w:vAlign w:val="center"/>
          </w:tcPr>
          <w:p w14:paraId="0E149454">
            <w:pPr>
              <w:widowControl/>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校园专项（含自助售卖机）、经营</w:t>
            </w:r>
            <w:r>
              <w:rPr>
                <w:rFonts w:hint="eastAsia" w:ascii="宋体" w:hAnsi="宋体" w:eastAsia="宋体" w:cs="宋体"/>
                <w:sz w:val="18"/>
                <w:szCs w:val="18"/>
              </w:rPr>
              <w:t>环节</w:t>
            </w:r>
          </w:p>
        </w:tc>
      </w:tr>
      <w:tr w14:paraId="063F9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trPr>
        <w:tc>
          <w:tcPr>
            <w:tcW w:w="690" w:type="dxa"/>
            <w:vMerge w:val="continue"/>
            <w:noWrap w:val="0"/>
            <w:vAlign w:val="center"/>
          </w:tcPr>
          <w:p w14:paraId="7EDC709D">
            <w:pPr>
              <w:spacing w:line="240" w:lineRule="auto"/>
              <w:ind w:firstLine="0" w:firstLineChars="0"/>
              <w:jc w:val="center"/>
              <w:rPr>
                <w:rFonts w:hint="eastAsia" w:ascii="宋体" w:hAnsi="宋体" w:eastAsia="宋体" w:cs="宋体"/>
                <w:b/>
                <w:sz w:val="21"/>
                <w:szCs w:val="21"/>
              </w:rPr>
            </w:pPr>
            <w:bookmarkStart w:id="38" w:name="OLE_LINK11" w:colFirst="7" w:colLast="72"/>
            <w:bookmarkStart w:id="39" w:name="_Hlk194564878"/>
            <w:bookmarkStart w:id="40" w:name="OLE_LINK9" w:colFirst="7" w:colLast="72"/>
            <w:bookmarkStart w:id="41" w:name="OLE_LINK10" w:colFirst="7" w:colLast="72"/>
          </w:p>
        </w:tc>
        <w:tc>
          <w:tcPr>
            <w:tcW w:w="1095" w:type="dxa"/>
            <w:vMerge w:val="continue"/>
            <w:noWrap w:val="0"/>
            <w:vAlign w:val="center"/>
          </w:tcPr>
          <w:p w14:paraId="38883109">
            <w:pPr>
              <w:spacing w:line="240" w:lineRule="auto"/>
              <w:ind w:firstLine="0" w:firstLineChars="0"/>
              <w:jc w:val="center"/>
              <w:rPr>
                <w:rFonts w:hint="eastAsia" w:ascii="宋体" w:hAnsi="宋体" w:eastAsia="宋体" w:cs="宋体"/>
                <w:b/>
                <w:sz w:val="21"/>
                <w:szCs w:val="21"/>
              </w:rPr>
            </w:pPr>
          </w:p>
        </w:tc>
        <w:tc>
          <w:tcPr>
            <w:tcW w:w="1140" w:type="dxa"/>
            <w:vMerge w:val="continue"/>
            <w:noWrap w:val="0"/>
            <w:vAlign w:val="center"/>
          </w:tcPr>
          <w:p w14:paraId="4F0EE203">
            <w:pPr>
              <w:widowControl/>
              <w:spacing w:line="240" w:lineRule="auto"/>
              <w:ind w:firstLine="0" w:firstLineChars="0"/>
              <w:jc w:val="center"/>
              <w:textAlignment w:val="center"/>
              <w:rPr>
                <w:rFonts w:hint="eastAsia" w:ascii="宋体" w:hAnsi="宋体" w:eastAsia="宋体" w:cs="宋体"/>
                <w:kern w:val="0"/>
                <w:sz w:val="21"/>
                <w:szCs w:val="21"/>
              </w:rPr>
            </w:pPr>
          </w:p>
        </w:tc>
        <w:tc>
          <w:tcPr>
            <w:tcW w:w="1011" w:type="dxa"/>
            <w:noWrap w:val="0"/>
            <w:vAlign w:val="center"/>
          </w:tcPr>
          <w:p w14:paraId="7448E563">
            <w:pPr>
              <w:widowControl/>
              <w:spacing w:line="240" w:lineRule="auto"/>
              <w:ind w:firstLine="0" w:firstLineChars="0"/>
              <w:jc w:val="center"/>
              <w:textAlignment w:val="center"/>
              <w:rPr>
                <w:rFonts w:hint="eastAsia" w:ascii="宋体" w:hAnsi="宋体" w:eastAsia="宋体" w:cs="宋体"/>
                <w:kern w:val="0"/>
                <w:sz w:val="18"/>
                <w:szCs w:val="18"/>
              </w:rPr>
            </w:pPr>
            <w:bookmarkStart w:id="42" w:name="OLE_LINK12"/>
            <w:r>
              <w:rPr>
                <w:rFonts w:hint="eastAsia" w:ascii="宋体" w:hAnsi="宋体" w:eastAsia="宋体" w:cs="宋体"/>
                <w:kern w:val="0"/>
                <w:sz w:val="18"/>
                <w:szCs w:val="18"/>
              </w:rPr>
              <w:t>碳酸饮料（汽水）</w:t>
            </w:r>
            <w:bookmarkEnd w:id="42"/>
          </w:p>
        </w:tc>
        <w:tc>
          <w:tcPr>
            <w:tcW w:w="1701" w:type="dxa"/>
            <w:noWrap w:val="0"/>
            <w:vAlign w:val="center"/>
          </w:tcPr>
          <w:p w14:paraId="6E74EC1A">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碳酸饮料（汽水）</w:t>
            </w:r>
          </w:p>
        </w:tc>
        <w:tc>
          <w:tcPr>
            <w:tcW w:w="4819" w:type="dxa"/>
            <w:noWrap w:val="0"/>
            <w:vAlign w:val="center"/>
          </w:tcPr>
          <w:p w14:paraId="47810390">
            <w:pPr>
              <w:spacing w:line="240" w:lineRule="auto"/>
              <w:ind w:firstLine="0" w:firstLineChars="0"/>
              <w:jc w:val="left"/>
              <w:textAlignment w:val="center"/>
              <w:rPr>
                <w:rFonts w:hint="eastAsia" w:ascii="宋体" w:hAnsi="宋体" w:eastAsia="宋体" w:cs="宋体"/>
                <w:kern w:val="0"/>
                <w:sz w:val="18"/>
                <w:szCs w:val="18"/>
              </w:rPr>
            </w:pPr>
            <w:r>
              <w:rPr>
                <w:rFonts w:hint="eastAsia" w:ascii="宋体" w:hAnsi="宋体" w:eastAsia="宋体" w:cs="宋体"/>
                <w:kern w:val="0"/>
                <w:sz w:val="18"/>
                <w:szCs w:val="18"/>
              </w:rPr>
              <w:t>二氧化碳气容量、</w:t>
            </w:r>
            <w:r>
              <w:rPr>
                <w:rFonts w:hint="eastAsia" w:ascii="宋体" w:hAnsi="宋体" w:eastAsia="宋体" w:cs="宋体"/>
                <w:sz w:val="18"/>
                <w:szCs w:val="18"/>
              </w:rPr>
              <w:t>苯甲酸及其钠盐</w:t>
            </w:r>
            <w:r>
              <w:rPr>
                <w:rFonts w:hint="eastAsia" w:ascii="Times New Roman" w:hAnsi="Times New Roman" w:eastAsia="宋体" w:cs="Times New Roman"/>
                <w:sz w:val="18"/>
                <w:szCs w:val="18"/>
              </w:rPr>
              <w:t>（以苯甲酸计）、</w:t>
            </w:r>
            <w:r>
              <w:rPr>
                <w:rFonts w:hint="eastAsia" w:ascii="宋体" w:hAnsi="宋体" w:eastAsia="宋体" w:cs="宋体"/>
                <w:sz w:val="18"/>
                <w:szCs w:val="18"/>
              </w:rPr>
              <w:t>山梨酸及其钾盐（以山梨酸计）、</w:t>
            </w:r>
            <w:r>
              <w:rPr>
                <w:rFonts w:hint="eastAsia" w:ascii="宋体" w:hAnsi="宋体" w:eastAsia="宋体" w:cs="宋体"/>
                <w:color w:val="000000"/>
                <w:sz w:val="20"/>
                <w:szCs w:val="21"/>
                <w:u w:val="none"/>
              </w:rPr>
              <w:t>防腐剂混合使用时各自用量占其最大使用量比例之和、</w:t>
            </w:r>
            <w:r>
              <w:rPr>
                <w:rFonts w:hint="eastAsia" w:ascii="宋体" w:hAnsi="宋体" w:eastAsia="宋体" w:cs="宋体"/>
                <w:sz w:val="18"/>
                <w:szCs w:val="18"/>
                <w:lang w:eastAsia="zh-CN"/>
              </w:rPr>
              <w:t>安赛蜜、</w:t>
            </w:r>
            <w:r>
              <w:rPr>
                <w:rFonts w:hint="eastAsia" w:ascii="宋体" w:hAnsi="宋体" w:eastAsia="宋体" w:cs="宋体"/>
                <w:color w:val="000000"/>
                <w:sz w:val="20"/>
                <w:szCs w:val="21"/>
                <w:u w:val="none"/>
                <w:lang w:eastAsia="zh-CN"/>
              </w:rPr>
              <w:t>阿斯巴甜、</w:t>
            </w:r>
            <w:bookmarkStart w:id="43" w:name="OLE_LINK20"/>
            <w:bookmarkStart w:id="44" w:name="OLE_LINK21"/>
            <w:r>
              <w:rPr>
                <w:rFonts w:hint="eastAsia" w:ascii="宋体" w:hAnsi="宋体" w:eastAsia="宋体" w:cs="宋体"/>
                <w:color w:val="000000"/>
                <w:sz w:val="20"/>
                <w:szCs w:val="21"/>
                <w:u w:val="none"/>
              </w:rPr>
              <w:t>甜蜜素（以环己基氨基磺酸计）</w:t>
            </w:r>
            <w:bookmarkEnd w:id="43"/>
            <w:bookmarkEnd w:id="44"/>
            <w:r>
              <w:rPr>
                <w:rFonts w:hint="eastAsia" w:ascii="宋体" w:hAnsi="宋体" w:eastAsia="宋体" w:cs="宋体"/>
                <w:color w:val="000000"/>
                <w:sz w:val="20"/>
                <w:szCs w:val="21"/>
                <w:u w:val="none"/>
              </w:rPr>
              <w:t>、霉菌</w:t>
            </w:r>
            <w:r>
              <w:rPr>
                <w:rFonts w:hint="eastAsia" w:ascii="宋体" w:hAnsi="宋体" w:eastAsia="宋体" w:cs="宋体"/>
                <w:color w:val="000000"/>
                <w:sz w:val="20"/>
                <w:szCs w:val="21"/>
                <w:u w:val="none"/>
                <w:lang w:eastAsia="zh-CN"/>
              </w:rPr>
              <w:t>、</w:t>
            </w:r>
            <w:r>
              <w:rPr>
                <w:rFonts w:hint="eastAsia" w:ascii="宋体" w:hAnsi="宋体" w:eastAsia="宋体" w:cs="宋体"/>
                <w:kern w:val="0"/>
                <w:sz w:val="18"/>
                <w:szCs w:val="18"/>
              </w:rPr>
              <w:t>菌落总数、酵母</w:t>
            </w:r>
          </w:p>
        </w:tc>
        <w:tc>
          <w:tcPr>
            <w:tcW w:w="669" w:type="dxa"/>
            <w:noWrap w:val="0"/>
            <w:vAlign w:val="center"/>
          </w:tcPr>
          <w:p w14:paraId="43D94292">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4</w:t>
            </w:r>
          </w:p>
        </w:tc>
        <w:tc>
          <w:tcPr>
            <w:tcW w:w="1316" w:type="dxa"/>
            <w:noWrap w:val="0"/>
            <w:vAlign w:val="center"/>
          </w:tcPr>
          <w:p w14:paraId="46B3D9DB">
            <w:pPr>
              <w:spacing w:line="240" w:lineRule="auto"/>
              <w:ind w:left="0" w:leftChars="0" w:firstLine="0" w:firstLineChars="0"/>
              <w:jc w:val="center"/>
              <w:textAlignment w:val="center"/>
              <w:rPr>
                <w:rFonts w:hint="eastAsia" w:ascii="宋体" w:hAnsi="宋体" w:eastAsia="宋体" w:cs="宋体"/>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5DA80919">
            <w:pPr>
              <w:widowControl/>
              <w:spacing w:line="240" w:lineRule="auto"/>
              <w:ind w:firstLine="0" w:firstLineChars="0"/>
              <w:jc w:val="center"/>
              <w:textAlignment w:val="center"/>
              <w:rPr>
                <w:rFonts w:hint="eastAsia" w:ascii="宋体" w:hAnsi="宋体" w:eastAsia="宋体" w:cs="宋体"/>
                <w:sz w:val="18"/>
                <w:szCs w:val="18"/>
              </w:rPr>
            </w:pPr>
          </w:p>
        </w:tc>
      </w:tr>
      <w:bookmarkEnd w:id="38"/>
      <w:bookmarkEnd w:id="39"/>
      <w:bookmarkEnd w:id="40"/>
      <w:bookmarkEnd w:id="41"/>
      <w:tr w14:paraId="136A1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690" w:type="dxa"/>
            <w:vMerge w:val="continue"/>
            <w:noWrap w:val="0"/>
            <w:vAlign w:val="center"/>
          </w:tcPr>
          <w:p w14:paraId="6BCBF7E8">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2C32DE8D">
            <w:pPr>
              <w:spacing w:line="240" w:lineRule="auto"/>
              <w:ind w:firstLine="0" w:firstLineChars="0"/>
              <w:jc w:val="center"/>
              <w:rPr>
                <w:rFonts w:hint="eastAsia" w:ascii="宋体" w:hAnsi="宋体" w:eastAsia="宋体" w:cs="宋体"/>
                <w:b/>
                <w:sz w:val="21"/>
                <w:szCs w:val="21"/>
              </w:rPr>
            </w:pPr>
          </w:p>
        </w:tc>
        <w:tc>
          <w:tcPr>
            <w:tcW w:w="1140" w:type="dxa"/>
            <w:vMerge w:val="continue"/>
            <w:noWrap w:val="0"/>
            <w:vAlign w:val="center"/>
          </w:tcPr>
          <w:p w14:paraId="444481DD">
            <w:pPr>
              <w:widowControl/>
              <w:spacing w:line="240" w:lineRule="auto"/>
              <w:ind w:firstLine="0" w:firstLineChars="0"/>
              <w:jc w:val="center"/>
              <w:textAlignment w:val="center"/>
              <w:rPr>
                <w:rFonts w:hint="eastAsia" w:ascii="宋体" w:hAnsi="宋体" w:eastAsia="宋体" w:cs="宋体"/>
                <w:kern w:val="0"/>
                <w:sz w:val="21"/>
                <w:szCs w:val="21"/>
              </w:rPr>
            </w:pPr>
          </w:p>
        </w:tc>
        <w:tc>
          <w:tcPr>
            <w:tcW w:w="1011" w:type="dxa"/>
            <w:noWrap w:val="0"/>
            <w:vAlign w:val="center"/>
          </w:tcPr>
          <w:p w14:paraId="0036C1F7">
            <w:pPr>
              <w:widowControl/>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茶饮料</w:t>
            </w:r>
          </w:p>
        </w:tc>
        <w:tc>
          <w:tcPr>
            <w:tcW w:w="1701" w:type="dxa"/>
            <w:noWrap w:val="0"/>
            <w:vAlign w:val="center"/>
          </w:tcPr>
          <w:p w14:paraId="45203611">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茶饮料</w:t>
            </w:r>
          </w:p>
        </w:tc>
        <w:tc>
          <w:tcPr>
            <w:tcW w:w="4819" w:type="dxa"/>
            <w:noWrap w:val="0"/>
            <w:vAlign w:val="center"/>
          </w:tcPr>
          <w:p w14:paraId="53DA1F10">
            <w:pPr>
              <w:spacing w:line="240" w:lineRule="auto"/>
              <w:ind w:firstLine="0" w:firstLineChars="0"/>
              <w:jc w:val="left"/>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茶多酚</w:t>
            </w:r>
            <w:r>
              <w:rPr>
                <w:rFonts w:hint="eastAsia" w:ascii="宋体" w:hAnsi="宋体" w:eastAsia="宋体" w:cs="宋体"/>
                <w:kern w:val="0"/>
                <w:sz w:val="18"/>
                <w:szCs w:val="18"/>
                <w:lang w:eastAsia="zh-CN"/>
              </w:rPr>
              <w:t>（奶茶饮料不检测）</w:t>
            </w:r>
            <w:r>
              <w:rPr>
                <w:rFonts w:hint="eastAsia" w:ascii="宋体" w:hAnsi="宋体" w:eastAsia="宋体" w:cs="宋体"/>
                <w:kern w:val="0"/>
                <w:sz w:val="18"/>
                <w:szCs w:val="18"/>
              </w:rPr>
              <w:t>、</w:t>
            </w:r>
            <w:r>
              <w:rPr>
                <w:rFonts w:hint="eastAsia" w:ascii="宋体" w:hAnsi="宋体" w:eastAsia="宋体" w:cs="宋体"/>
                <w:sz w:val="18"/>
                <w:szCs w:val="18"/>
              </w:rPr>
              <w:t>脱氢乙酸及其钠盐（以脱氢乙酸计）、</w:t>
            </w:r>
            <w:r>
              <w:rPr>
                <w:rFonts w:hint="eastAsia" w:ascii="宋体" w:hAnsi="宋体" w:eastAsia="宋体" w:cs="宋体"/>
                <w:color w:val="000000"/>
                <w:sz w:val="20"/>
                <w:szCs w:val="21"/>
                <w:u w:val="none"/>
              </w:rPr>
              <w:t>甜蜜素（以环己基氨基磺酸计）</w:t>
            </w:r>
            <w:r>
              <w:rPr>
                <w:rFonts w:hint="eastAsia" w:ascii="宋体" w:hAnsi="宋体" w:eastAsia="宋体" w:cs="宋体"/>
                <w:color w:val="000000"/>
                <w:sz w:val="20"/>
                <w:szCs w:val="21"/>
                <w:u w:val="none"/>
                <w:lang w:eastAsia="zh-CN"/>
              </w:rPr>
              <w:t>、</w:t>
            </w:r>
            <w:r>
              <w:rPr>
                <w:rFonts w:hint="eastAsia" w:ascii="宋体" w:hAnsi="宋体" w:eastAsia="宋体" w:cs="宋体"/>
                <w:sz w:val="18"/>
                <w:szCs w:val="18"/>
                <w:lang w:eastAsia="zh-CN"/>
              </w:rPr>
              <w:t>安赛蜜、</w:t>
            </w:r>
            <w:r>
              <w:rPr>
                <w:rFonts w:hint="eastAsia" w:ascii="宋体" w:hAnsi="宋体" w:eastAsia="宋体" w:cs="宋体"/>
                <w:color w:val="000000"/>
                <w:sz w:val="20"/>
                <w:szCs w:val="21"/>
                <w:u w:val="none"/>
                <w:lang w:eastAsia="zh-CN"/>
              </w:rPr>
              <w:t>阿斯巴甜、咖啡因、</w:t>
            </w:r>
            <w:r>
              <w:rPr>
                <w:rFonts w:hint="eastAsia" w:ascii="宋体" w:hAnsi="宋体" w:eastAsia="宋体" w:cs="宋体"/>
                <w:kern w:val="0"/>
                <w:sz w:val="18"/>
                <w:szCs w:val="18"/>
              </w:rPr>
              <w:t>菌落总数</w:t>
            </w:r>
          </w:p>
        </w:tc>
        <w:tc>
          <w:tcPr>
            <w:tcW w:w="669" w:type="dxa"/>
            <w:noWrap w:val="0"/>
            <w:vAlign w:val="center"/>
          </w:tcPr>
          <w:p w14:paraId="4F67B306">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4</w:t>
            </w:r>
          </w:p>
        </w:tc>
        <w:tc>
          <w:tcPr>
            <w:tcW w:w="1316" w:type="dxa"/>
            <w:noWrap w:val="0"/>
            <w:vAlign w:val="center"/>
          </w:tcPr>
          <w:p w14:paraId="1AB88CD7">
            <w:pPr>
              <w:spacing w:line="240" w:lineRule="auto"/>
              <w:ind w:left="0" w:leftChars="0" w:firstLine="0" w:firstLineChars="0"/>
              <w:jc w:val="center"/>
              <w:textAlignment w:val="center"/>
              <w:rPr>
                <w:rFonts w:hint="eastAsia" w:ascii="宋体" w:hAnsi="宋体" w:eastAsia="宋体" w:cs="宋体"/>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2BA68C02">
            <w:pPr>
              <w:widowControl/>
              <w:spacing w:line="240" w:lineRule="auto"/>
              <w:ind w:firstLine="0" w:firstLineChars="0"/>
              <w:jc w:val="center"/>
              <w:textAlignment w:val="center"/>
              <w:rPr>
                <w:rFonts w:hint="eastAsia" w:ascii="宋体" w:hAnsi="宋体" w:eastAsia="宋体" w:cs="宋体"/>
                <w:sz w:val="18"/>
                <w:szCs w:val="18"/>
              </w:rPr>
            </w:pPr>
          </w:p>
        </w:tc>
      </w:tr>
      <w:tr w14:paraId="3B56E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trPr>
        <w:tc>
          <w:tcPr>
            <w:tcW w:w="690" w:type="dxa"/>
            <w:vMerge w:val="continue"/>
            <w:noWrap w:val="0"/>
            <w:vAlign w:val="center"/>
          </w:tcPr>
          <w:p w14:paraId="37B391A2">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1CD6F01C">
            <w:pPr>
              <w:spacing w:line="240" w:lineRule="auto"/>
              <w:ind w:firstLine="0" w:firstLineChars="0"/>
              <w:jc w:val="center"/>
              <w:rPr>
                <w:rFonts w:hint="eastAsia" w:ascii="宋体" w:hAnsi="宋体" w:eastAsia="宋体" w:cs="宋体"/>
                <w:b/>
                <w:sz w:val="21"/>
                <w:szCs w:val="21"/>
              </w:rPr>
            </w:pPr>
          </w:p>
        </w:tc>
        <w:tc>
          <w:tcPr>
            <w:tcW w:w="1140" w:type="dxa"/>
            <w:vMerge w:val="continue"/>
            <w:noWrap w:val="0"/>
            <w:vAlign w:val="center"/>
          </w:tcPr>
          <w:p w14:paraId="3C038CC6">
            <w:pPr>
              <w:widowControl/>
              <w:spacing w:line="240" w:lineRule="auto"/>
              <w:ind w:firstLine="0" w:firstLineChars="0"/>
              <w:jc w:val="center"/>
              <w:textAlignment w:val="center"/>
              <w:rPr>
                <w:rFonts w:hint="eastAsia" w:ascii="宋体" w:hAnsi="宋体" w:eastAsia="宋体" w:cs="宋体"/>
                <w:kern w:val="0"/>
                <w:sz w:val="21"/>
                <w:szCs w:val="21"/>
              </w:rPr>
            </w:pPr>
          </w:p>
        </w:tc>
        <w:tc>
          <w:tcPr>
            <w:tcW w:w="1011" w:type="dxa"/>
            <w:noWrap w:val="0"/>
            <w:vAlign w:val="center"/>
          </w:tcPr>
          <w:p w14:paraId="6ACBEE17">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其他饮料</w:t>
            </w:r>
          </w:p>
        </w:tc>
        <w:tc>
          <w:tcPr>
            <w:tcW w:w="1701" w:type="dxa"/>
            <w:noWrap w:val="0"/>
            <w:vAlign w:val="center"/>
          </w:tcPr>
          <w:p w14:paraId="20D0A505">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其他饮料：特殊用途饮料类、咖啡饮料类、植物饮料类、风味饮料</w:t>
            </w:r>
          </w:p>
        </w:tc>
        <w:tc>
          <w:tcPr>
            <w:tcW w:w="4819" w:type="dxa"/>
            <w:noWrap w:val="0"/>
            <w:vAlign w:val="center"/>
          </w:tcPr>
          <w:p w14:paraId="4FD8F2FA">
            <w:pPr>
              <w:spacing w:line="240" w:lineRule="auto"/>
              <w:ind w:firstLine="0" w:firstLineChars="0"/>
              <w:jc w:val="left"/>
              <w:textAlignment w:val="center"/>
              <w:rPr>
                <w:rFonts w:hint="eastAsia" w:ascii="宋体" w:hAnsi="宋体" w:eastAsia="宋体" w:cs="宋体"/>
                <w:kern w:val="0"/>
                <w:sz w:val="18"/>
                <w:szCs w:val="18"/>
                <w:lang w:eastAsia="zh-CN"/>
              </w:rPr>
            </w:pPr>
            <w:r>
              <w:rPr>
                <w:rFonts w:hint="eastAsia" w:ascii="宋体" w:hAnsi="宋体" w:eastAsia="宋体" w:cs="宋体"/>
                <w:color w:val="000000"/>
                <w:sz w:val="20"/>
                <w:szCs w:val="21"/>
                <w:u w:val="none"/>
              </w:rPr>
              <w:t>苯甲酸及其钠盐（以苯甲酸计）、山梨酸及其钾盐（以山梨酸计）、</w:t>
            </w:r>
            <w:r>
              <w:rPr>
                <w:rFonts w:hint="eastAsia" w:ascii="宋体" w:hAnsi="宋体" w:eastAsia="宋体" w:cs="宋体"/>
                <w:sz w:val="18"/>
                <w:szCs w:val="18"/>
              </w:rPr>
              <w:t>脱氢乙酸及其钠盐（以脱氢乙酸计）、</w:t>
            </w:r>
            <w:r>
              <w:rPr>
                <w:rFonts w:hint="eastAsia" w:ascii="宋体" w:hAnsi="宋体" w:eastAsia="宋体" w:cs="宋体"/>
                <w:color w:val="000000"/>
                <w:sz w:val="20"/>
                <w:szCs w:val="21"/>
                <w:u w:val="none"/>
              </w:rPr>
              <w:t>防腐剂混合使用时各自用量占其最大使用量比例之和、糖精钠（以糖精计）、甜蜜素（以环己基氨基磺酸计）</w:t>
            </w:r>
            <w:r>
              <w:rPr>
                <w:rFonts w:hint="eastAsia" w:ascii="宋体" w:hAnsi="宋体" w:eastAsia="宋体" w:cs="宋体"/>
                <w:color w:val="000000"/>
                <w:sz w:val="20"/>
                <w:szCs w:val="21"/>
                <w:u w:val="none"/>
                <w:lang w:eastAsia="zh-CN"/>
              </w:rPr>
              <w:t>、阿斯巴甜、</w:t>
            </w:r>
            <w:r>
              <w:rPr>
                <w:rFonts w:hint="eastAsia" w:ascii="宋体" w:hAnsi="宋体" w:eastAsia="宋体" w:cs="宋体"/>
                <w:sz w:val="18"/>
                <w:szCs w:val="18"/>
              </w:rPr>
              <w:t>安赛蜜、合成着色剂（视色泽而定）</w:t>
            </w:r>
            <w:r>
              <w:rPr>
                <w:rFonts w:hint="eastAsia" w:ascii="宋体" w:hAnsi="宋体" w:eastAsia="宋体" w:cs="宋体"/>
                <w:sz w:val="18"/>
                <w:szCs w:val="18"/>
                <w:lang w:eastAsia="zh-CN"/>
              </w:rPr>
              <w:t>、</w:t>
            </w:r>
            <w:r>
              <w:rPr>
                <w:rFonts w:hint="eastAsia" w:ascii="宋体" w:hAnsi="宋体" w:eastAsia="宋体" w:cs="宋体"/>
                <w:kern w:val="0"/>
                <w:sz w:val="18"/>
                <w:szCs w:val="18"/>
              </w:rPr>
              <w:t>菌落总数、大肠菌群、</w:t>
            </w:r>
            <w:r>
              <w:rPr>
                <w:rFonts w:hint="eastAsia" w:ascii="宋体" w:hAnsi="宋体" w:eastAsia="宋体" w:cs="宋体"/>
                <w:kern w:val="0"/>
                <w:sz w:val="18"/>
                <w:szCs w:val="18"/>
                <w:lang w:eastAsia="zh-CN"/>
              </w:rPr>
              <w:t>霉菌、酵母</w:t>
            </w:r>
          </w:p>
        </w:tc>
        <w:tc>
          <w:tcPr>
            <w:tcW w:w="669" w:type="dxa"/>
            <w:noWrap w:val="0"/>
            <w:vAlign w:val="center"/>
          </w:tcPr>
          <w:p w14:paraId="1EEF6779">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4</w:t>
            </w:r>
          </w:p>
        </w:tc>
        <w:tc>
          <w:tcPr>
            <w:tcW w:w="1316" w:type="dxa"/>
            <w:noWrap w:val="0"/>
            <w:vAlign w:val="center"/>
          </w:tcPr>
          <w:p w14:paraId="3FB98893">
            <w:pPr>
              <w:spacing w:line="240" w:lineRule="auto"/>
              <w:ind w:left="0" w:leftChars="0" w:firstLine="0" w:firstLineChars="0"/>
              <w:jc w:val="center"/>
              <w:textAlignment w:val="center"/>
              <w:rPr>
                <w:rFonts w:hint="eastAsia" w:ascii="宋体" w:hAnsi="宋体" w:eastAsia="宋体" w:cs="宋体"/>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5CA9EFA3">
            <w:pPr>
              <w:widowControl/>
              <w:spacing w:line="240" w:lineRule="auto"/>
              <w:ind w:firstLine="0" w:firstLineChars="0"/>
              <w:jc w:val="center"/>
              <w:textAlignment w:val="center"/>
              <w:rPr>
                <w:rFonts w:hint="eastAsia" w:ascii="宋体" w:hAnsi="宋体" w:eastAsia="宋体" w:cs="宋体"/>
                <w:sz w:val="18"/>
                <w:szCs w:val="18"/>
              </w:rPr>
            </w:pPr>
          </w:p>
        </w:tc>
      </w:tr>
      <w:tr w14:paraId="23E9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690" w:type="dxa"/>
            <w:noWrap w:val="0"/>
            <w:vAlign w:val="center"/>
          </w:tcPr>
          <w:p w14:paraId="34DAE43E">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11</w:t>
            </w:r>
          </w:p>
        </w:tc>
        <w:tc>
          <w:tcPr>
            <w:tcW w:w="1095" w:type="dxa"/>
            <w:noWrap w:val="0"/>
            <w:vAlign w:val="center"/>
          </w:tcPr>
          <w:p w14:paraId="27BD4D41">
            <w:pPr>
              <w:spacing w:line="240" w:lineRule="auto"/>
              <w:ind w:firstLine="0" w:firstLineChars="0"/>
              <w:jc w:val="center"/>
              <w:textAlignment w:val="center"/>
              <w:rPr>
                <w:rFonts w:hint="eastAsia" w:ascii="宋体" w:hAnsi="宋体" w:eastAsia="宋体" w:cs="宋体"/>
                <w:b/>
                <w:sz w:val="21"/>
                <w:szCs w:val="21"/>
                <w:lang w:eastAsia="zh-CN"/>
              </w:rPr>
            </w:pPr>
            <w:r>
              <w:rPr>
                <w:rFonts w:hint="eastAsia" w:ascii="宋体" w:hAnsi="宋体" w:eastAsia="宋体" w:cs="宋体"/>
                <w:color w:val="000000"/>
                <w:sz w:val="20"/>
                <w:szCs w:val="21"/>
                <w:u w:val="none"/>
                <w:lang w:eastAsia="zh-CN"/>
              </w:rPr>
              <w:t>薯类和膨化食品</w:t>
            </w:r>
          </w:p>
        </w:tc>
        <w:tc>
          <w:tcPr>
            <w:tcW w:w="1140" w:type="dxa"/>
            <w:noWrap w:val="0"/>
            <w:vAlign w:val="center"/>
          </w:tcPr>
          <w:p w14:paraId="584E99AE">
            <w:pPr>
              <w:widowControl/>
              <w:spacing w:line="240" w:lineRule="auto"/>
              <w:ind w:firstLine="0" w:firstLineChars="0"/>
              <w:jc w:val="center"/>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膨化食品</w:t>
            </w:r>
          </w:p>
        </w:tc>
        <w:tc>
          <w:tcPr>
            <w:tcW w:w="1011" w:type="dxa"/>
            <w:noWrap w:val="0"/>
            <w:vAlign w:val="center"/>
          </w:tcPr>
          <w:p w14:paraId="3526776F">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21"/>
                <w:szCs w:val="21"/>
                <w:lang w:eastAsia="zh-CN"/>
              </w:rPr>
              <w:t>膨化食品</w:t>
            </w:r>
          </w:p>
        </w:tc>
        <w:tc>
          <w:tcPr>
            <w:tcW w:w="1701" w:type="dxa"/>
            <w:noWrap w:val="0"/>
            <w:vAlign w:val="center"/>
          </w:tcPr>
          <w:p w14:paraId="6FC17383">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21"/>
                <w:szCs w:val="21"/>
                <w:lang w:eastAsia="zh-CN"/>
              </w:rPr>
              <w:t>膨化食品</w:t>
            </w:r>
          </w:p>
        </w:tc>
        <w:tc>
          <w:tcPr>
            <w:tcW w:w="4819" w:type="dxa"/>
            <w:noWrap w:val="0"/>
            <w:vAlign w:val="center"/>
          </w:tcPr>
          <w:p w14:paraId="61A4D7CB">
            <w:pPr>
              <w:spacing w:line="240" w:lineRule="auto"/>
              <w:ind w:firstLine="0" w:firstLineChars="0"/>
              <w:jc w:val="left"/>
              <w:textAlignment w:val="center"/>
              <w:rPr>
                <w:rFonts w:hint="default" w:ascii="Times New Roman" w:hAnsi="Times New Roman" w:eastAsia="宋体" w:cs="Times New Roman"/>
                <w:sz w:val="21"/>
                <w:szCs w:val="21"/>
                <w:lang w:val="en-US" w:eastAsia="zh-CN"/>
              </w:rPr>
            </w:pPr>
            <w:r>
              <w:rPr>
                <w:rFonts w:hint="eastAsia" w:ascii="宋体" w:hAnsi="宋体" w:eastAsia="宋体" w:cs="宋体"/>
                <w:color w:val="000000"/>
                <w:sz w:val="20"/>
                <w:szCs w:val="21"/>
                <w:u w:val="none"/>
                <w:lang w:eastAsia="zh-CN"/>
              </w:rPr>
              <w:t>水分、过氧化值</w:t>
            </w:r>
            <w:r>
              <w:rPr>
                <w:rFonts w:hint="eastAsia" w:ascii="宋体" w:hAnsi="宋体" w:eastAsia="宋体" w:cs="宋体"/>
                <w:color w:val="000000"/>
                <w:sz w:val="20"/>
                <w:szCs w:val="21"/>
                <w:u w:val="none"/>
              </w:rPr>
              <w:t>（以脂肪计）</w:t>
            </w:r>
            <w:r>
              <w:rPr>
                <w:rFonts w:hint="eastAsia" w:ascii="宋体" w:hAnsi="宋体" w:eastAsia="宋体" w:cs="宋体"/>
                <w:color w:val="000000"/>
                <w:sz w:val="20"/>
                <w:szCs w:val="21"/>
                <w:u w:val="none"/>
                <w:vertAlign w:val="superscript"/>
                <w:lang w:val="en-US" w:eastAsia="zh-CN"/>
              </w:rPr>
              <w:t>a</w:t>
            </w:r>
            <w:r>
              <w:rPr>
                <w:rFonts w:hint="eastAsia" w:ascii="宋体" w:hAnsi="宋体" w:eastAsia="宋体" w:cs="宋体"/>
                <w:color w:val="000000"/>
                <w:sz w:val="20"/>
                <w:szCs w:val="21"/>
                <w:u w:val="none"/>
              </w:rPr>
              <w:t>、</w:t>
            </w:r>
            <w:r>
              <w:rPr>
                <w:rFonts w:hint="eastAsia" w:ascii="宋体" w:hAnsi="宋体" w:eastAsia="宋体" w:cs="宋体"/>
                <w:color w:val="000000"/>
                <w:sz w:val="20"/>
                <w:szCs w:val="21"/>
                <w:u w:val="none"/>
                <w:lang w:eastAsia="zh-CN"/>
              </w:rPr>
              <w:t>黄曲霉毒素</w:t>
            </w:r>
            <w:r>
              <w:rPr>
                <w:rFonts w:hint="eastAsia" w:ascii="宋体" w:hAnsi="宋体" w:eastAsia="宋体" w:cs="宋体"/>
                <w:color w:val="000000"/>
                <w:sz w:val="20"/>
                <w:szCs w:val="21"/>
                <w:u w:val="none"/>
                <w:lang w:val="en-US" w:eastAsia="zh-CN"/>
              </w:rPr>
              <w:t>B</w:t>
            </w:r>
            <w:r>
              <w:rPr>
                <w:rFonts w:hint="eastAsia" w:ascii="宋体" w:hAnsi="宋体" w:eastAsia="宋体" w:cs="宋体"/>
                <w:color w:val="000000"/>
                <w:sz w:val="20"/>
                <w:szCs w:val="21"/>
                <w:u w:val="none"/>
                <w:vertAlign w:val="subscript"/>
                <w:lang w:val="en-US" w:eastAsia="zh-CN"/>
              </w:rPr>
              <w:t>1</w:t>
            </w:r>
            <w:r>
              <w:rPr>
                <w:rFonts w:hint="eastAsia" w:ascii="宋体" w:hAnsi="宋体" w:eastAsia="宋体" w:cs="宋体"/>
                <w:color w:val="000000"/>
                <w:sz w:val="20"/>
                <w:szCs w:val="21"/>
                <w:u w:val="none"/>
                <w:lang w:val="en-US" w:eastAsia="zh-CN"/>
              </w:rPr>
              <w:t>（以玉米为原料的产品检测）、</w:t>
            </w:r>
            <w:r>
              <w:rPr>
                <w:rFonts w:hint="eastAsia" w:ascii="宋体" w:hAnsi="宋体" w:eastAsia="宋体" w:cs="宋体"/>
                <w:color w:val="000000"/>
                <w:sz w:val="20"/>
                <w:szCs w:val="21"/>
                <w:u w:val="none"/>
              </w:rPr>
              <w:t>糖精钠（以糖精计）、甜蜜素（以环己基氨基磺酸计）、</w:t>
            </w:r>
            <w:r>
              <w:rPr>
                <w:rFonts w:hint="eastAsia" w:ascii="宋体" w:hAnsi="宋体" w:eastAsia="宋体" w:cs="宋体"/>
                <w:color w:val="000000"/>
                <w:sz w:val="20"/>
                <w:szCs w:val="21"/>
                <w:u w:val="none"/>
                <w:lang w:eastAsia="zh-CN"/>
              </w:rPr>
              <w:t>三氯蔗糖、纽甜、合成着色剂（视色泽而定）、菌落总数</w:t>
            </w:r>
            <w:r>
              <w:rPr>
                <w:rFonts w:hint="eastAsia" w:ascii="宋体" w:hAnsi="宋体" w:eastAsia="宋体" w:cs="宋体"/>
                <w:color w:val="000000"/>
                <w:sz w:val="20"/>
                <w:szCs w:val="21"/>
                <w:u w:val="none"/>
                <w:vertAlign w:val="superscript"/>
                <w:lang w:val="en-US" w:eastAsia="zh-CN"/>
              </w:rPr>
              <w:t>a</w:t>
            </w:r>
            <w:r>
              <w:rPr>
                <w:rFonts w:hint="eastAsia" w:ascii="宋体" w:hAnsi="宋体" w:eastAsia="宋体" w:cs="宋体"/>
                <w:color w:val="000000"/>
                <w:sz w:val="20"/>
                <w:szCs w:val="21"/>
                <w:u w:val="none"/>
                <w:lang w:val="en-US" w:eastAsia="zh-CN"/>
              </w:rPr>
              <w:t>、大肠菌群</w:t>
            </w:r>
            <w:r>
              <w:rPr>
                <w:rFonts w:hint="eastAsia" w:ascii="宋体" w:hAnsi="宋体" w:eastAsia="宋体" w:cs="宋体"/>
                <w:color w:val="000000"/>
                <w:sz w:val="20"/>
                <w:szCs w:val="21"/>
                <w:u w:val="none"/>
                <w:vertAlign w:val="superscript"/>
                <w:lang w:val="en-US" w:eastAsia="zh-CN"/>
              </w:rPr>
              <w:t>a</w:t>
            </w:r>
            <w:r>
              <w:rPr>
                <w:rFonts w:hint="eastAsia" w:ascii="宋体" w:hAnsi="宋体" w:eastAsia="宋体" w:cs="宋体"/>
                <w:color w:val="000000"/>
                <w:sz w:val="20"/>
                <w:szCs w:val="21"/>
                <w:u w:val="none"/>
                <w:lang w:val="en-US" w:eastAsia="zh-CN"/>
              </w:rPr>
              <w:t>、沙门氏菌</w:t>
            </w:r>
            <w:r>
              <w:rPr>
                <w:rFonts w:hint="eastAsia" w:ascii="宋体" w:hAnsi="宋体" w:eastAsia="宋体" w:cs="宋体"/>
                <w:color w:val="000000"/>
                <w:sz w:val="20"/>
                <w:szCs w:val="21"/>
                <w:u w:val="none"/>
                <w:vertAlign w:val="superscript"/>
                <w:lang w:val="en-US" w:eastAsia="zh-CN"/>
              </w:rPr>
              <w:t>b</w:t>
            </w:r>
            <w:r>
              <w:rPr>
                <w:rFonts w:hint="eastAsia" w:ascii="宋体" w:hAnsi="宋体" w:eastAsia="宋体" w:cs="宋体"/>
                <w:color w:val="000000"/>
                <w:sz w:val="20"/>
                <w:szCs w:val="21"/>
                <w:u w:val="none"/>
                <w:lang w:val="en-US" w:eastAsia="zh-CN"/>
              </w:rPr>
              <w:t>、金黄色葡萄球菌</w:t>
            </w:r>
            <w:r>
              <w:rPr>
                <w:rFonts w:hint="eastAsia" w:ascii="宋体" w:hAnsi="宋体" w:eastAsia="宋体" w:cs="宋体"/>
                <w:color w:val="000000"/>
                <w:sz w:val="20"/>
                <w:szCs w:val="21"/>
                <w:u w:val="none"/>
                <w:vertAlign w:val="superscript"/>
                <w:lang w:val="en-US" w:eastAsia="zh-CN"/>
              </w:rPr>
              <w:t>b</w:t>
            </w:r>
          </w:p>
        </w:tc>
        <w:tc>
          <w:tcPr>
            <w:tcW w:w="669" w:type="dxa"/>
            <w:noWrap w:val="0"/>
            <w:vAlign w:val="center"/>
          </w:tcPr>
          <w:p w14:paraId="161C5169">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12</w:t>
            </w:r>
          </w:p>
        </w:tc>
        <w:tc>
          <w:tcPr>
            <w:tcW w:w="1316" w:type="dxa"/>
            <w:noWrap w:val="0"/>
            <w:vAlign w:val="center"/>
          </w:tcPr>
          <w:p w14:paraId="7078F984">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6C8AAAA4">
            <w:pPr>
              <w:widowControl/>
              <w:spacing w:line="240" w:lineRule="auto"/>
              <w:ind w:firstLine="0" w:firstLineChars="0"/>
              <w:jc w:val="left"/>
              <w:textAlignment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a.产品明示标准为GB/T的非定量包装食品不检此项；b.预包装食品按GB29921判定，预先包装但需要计量称重的散装即食食品按GB31607判定。</w:t>
            </w:r>
          </w:p>
        </w:tc>
      </w:tr>
      <w:tr w14:paraId="7F255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7" w:hRule="atLeast"/>
        </w:trPr>
        <w:tc>
          <w:tcPr>
            <w:tcW w:w="690" w:type="dxa"/>
            <w:vMerge w:val="restart"/>
            <w:noWrap w:val="0"/>
            <w:vAlign w:val="center"/>
          </w:tcPr>
          <w:p w14:paraId="43DDBDC3">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rPr>
              <w:t>1</w:t>
            </w:r>
            <w:r>
              <w:rPr>
                <w:rFonts w:hint="eastAsia" w:ascii="宋体" w:hAnsi="宋体" w:eastAsia="宋体" w:cs="宋体"/>
                <w:b/>
                <w:sz w:val="21"/>
                <w:szCs w:val="21"/>
                <w:lang w:val="en-US" w:eastAsia="zh-CN"/>
              </w:rPr>
              <w:t>2</w:t>
            </w:r>
          </w:p>
        </w:tc>
        <w:tc>
          <w:tcPr>
            <w:tcW w:w="1095" w:type="dxa"/>
            <w:vMerge w:val="restart"/>
            <w:noWrap w:val="0"/>
            <w:vAlign w:val="center"/>
          </w:tcPr>
          <w:p w14:paraId="5656790F">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糕点</w:t>
            </w:r>
          </w:p>
        </w:tc>
        <w:tc>
          <w:tcPr>
            <w:tcW w:w="1140" w:type="dxa"/>
            <w:noWrap w:val="0"/>
            <w:vAlign w:val="center"/>
          </w:tcPr>
          <w:p w14:paraId="042623A3">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糕点</w:t>
            </w:r>
          </w:p>
        </w:tc>
        <w:tc>
          <w:tcPr>
            <w:tcW w:w="1011" w:type="dxa"/>
            <w:noWrap w:val="0"/>
            <w:vAlign w:val="center"/>
          </w:tcPr>
          <w:p w14:paraId="3C2BF41D">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糕点</w:t>
            </w:r>
          </w:p>
        </w:tc>
        <w:tc>
          <w:tcPr>
            <w:tcW w:w="1701" w:type="dxa"/>
            <w:noWrap w:val="0"/>
            <w:vAlign w:val="center"/>
          </w:tcPr>
          <w:p w14:paraId="7C307CB9">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糕点</w:t>
            </w:r>
          </w:p>
        </w:tc>
        <w:tc>
          <w:tcPr>
            <w:tcW w:w="4819" w:type="dxa"/>
            <w:noWrap w:val="0"/>
            <w:vAlign w:val="center"/>
          </w:tcPr>
          <w:p w14:paraId="12BFA568">
            <w:pPr>
              <w:spacing w:line="240" w:lineRule="auto"/>
              <w:ind w:firstLine="0" w:firstLineChars="0"/>
              <w:jc w:val="left"/>
              <w:textAlignment w:val="center"/>
              <w:rPr>
                <w:rFonts w:hint="eastAsia" w:ascii="Times New Roman" w:hAnsi="Times New Roman" w:eastAsia="宋体" w:cs="Times New Roman"/>
                <w:sz w:val="21"/>
                <w:szCs w:val="21"/>
                <w:lang w:eastAsia="zh-CN"/>
              </w:rPr>
            </w:pPr>
            <w:r>
              <w:rPr>
                <w:rFonts w:hint="eastAsia" w:ascii="宋体" w:hAnsi="宋体" w:eastAsia="宋体" w:cs="宋体"/>
                <w:color w:val="000000"/>
                <w:sz w:val="20"/>
                <w:szCs w:val="21"/>
                <w:u w:val="none"/>
              </w:rPr>
              <w:t>酸价（以脂肪计）（KOH）、过氧化值（以脂肪计）、苯甲酸及其钠盐（以苯甲酸计）、山梨酸及其钾盐（以山梨酸计）、</w:t>
            </w:r>
            <w:r>
              <w:rPr>
                <w:rFonts w:hint="eastAsia" w:ascii="宋体" w:hAnsi="宋体" w:eastAsia="宋体" w:cs="宋体"/>
                <w:sz w:val="18"/>
                <w:szCs w:val="18"/>
              </w:rPr>
              <w:t>脱氢乙酸及其钠盐（以脱氢乙酸计）、丙酸钙及其钠盐、钙盐（以丙酸计）、</w:t>
            </w:r>
            <w:r>
              <w:rPr>
                <w:rFonts w:hint="eastAsia" w:ascii="宋体" w:hAnsi="宋体" w:eastAsia="宋体" w:cs="宋体"/>
                <w:color w:val="000000"/>
                <w:sz w:val="20"/>
                <w:szCs w:val="21"/>
                <w:u w:val="none"/>
              </w:rPr>
              <w:t>防腐剂混合使用时各自用量占其最大使用量比例之和、铝的残留量（干样品，以Al计）、糖精钠（以糖精计）、</w:t>
            </w:r>
            <w:bookmarkStart w:id="45" w:name="OLE_LINK16"/>
            <w:bookmarkStart w:id="46" w:name="OLE_LINK17"/>
            <w:r>
              <w:rPr>
                <w:rFonts w:hint="eastAsia" w:ascii="宋体" w:hAnsi="宋体" w:eastAsia="宋体" w:cs="宋体"/>
                <w:color w:val="000000"/>
                <w:sz w:val="20"/>
                <w:szCs w:val="21"/>
                <w:u w:val="none"/>
              </w:rPr>
              <w:t>甜蜜素（以环己基氨基磺酸计）、</w:t>
            </w:r>
            <w:r>
              <w:rPr>
                <w:rFonts w:hint="eastAsia" w:ascii="宋体" w:hAnsi="宋体" w:eastAsia="宋体" w:cs="宋体"/>
                <w:color w:val="000000"/>
                <w:sz w:val="20"/>
                <w:szCs w:val="21"/>
                <w:u w:val="none"/>
                <w:lang w:eastAsia="zh-CN"/>
              </w:rPr>
              <w:t>安赛蜜、</w:t>
            </w:r>
            <w:r>
              <w:rPr>
                <w:rFonts w:hint="eastAsia" w:ascii="宋体" w:hAnsi="宋体" w:eastAsia="宋体" w:cs="宋体"/>
                <w:color w:val="000000"/>
                <w:sz w:val="20"/>
                <w:szCs w:val="21"/>
                <w:u w:val="none"/>
              </w:rPr>
              <w:t>菌落总数、大肠菌群、霉菌</w:t>
            </w:r>
            <w:bookmarkEnd w:id="45"/>
            <w:bookmarkEnd w:id="46"/>
            <w:r>
              <w:rPr>
                <w:rFonts w:hint="eastAsia" w:ascii="宋体" w:hAnsi="宋体" w:eastAsia="宋体" w:cs="宋体"/>
                <w:color w:val="000000"/>
                <w:sz w:val="20"/>
                <w:szCs w:val="21"/>
                <w:u w:val="none"/>
                <w:lang w:eastAsia="zh-CN"/>
              </w:rPr>
              <w:t>、金黄色葡萄球菌、沙门氏菌、</w:t>
            </w: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、富马酸二甲酯、纳他霉素、三氯蔗糖、丙二醇、合成着色剂（柠檬黄、日落黄、胭脂红、苋菜红、亮蓝、赤藓红、诱惑红）</w:t>
            </w:r>
          </w:p>
        </w:tc>
        <w:tc>
          <w:tcPr>
            <w:tcW w:w="669" w:type="dxa"/>
            <w:noWrap w:val="0"/>
            <w:vAlign w:val="center"/>
          </w:tcPr>
          <w:p w14:paraId="3E104DCF">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20</w:t>
            </w:r>
          </w:p>
        </w:tc>
        <w:tc>
          <w:tcPr>
            <w:tcW w:w="1316" w:type="dxa"/>
            <w:noWrap w:val="0"/>
            <w:vAlign w:val="center"/>
          </w:tcPr>
          <w:p w14:paraId="4811FB93">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7C0D0C0E">
            <w:pPr>
              <w:spacing w:line="240" w:lineRule="auto"/>
              <w:ind w:firstLine="0" w:firstLineChars="0"/>
              <w:jc w:val="center"/>
              <w:textAlignment w:val="center"/>
              <w:rPr>
                <w:rFonts w:hint="eastAsia" w:ascii="Times New Roman" w:hAnsi="Times New Roman" w:eastAsia="宋体" w:cs="Times New Roman"/>
                <w:sz w:val="18"/>
                <w:szCs w:val="18"/>
              </w:rPr>
            </w:pPr>
          </w:p>
        </w:tc>
      </w:tr>
      <w:tr w14:paraId="4F424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9" w:hRule="atLeast"/>
        </w:trPr>
        <w:tc>
          <w:tcPr>
            <w:tcW w:w="690" w:type="dxa"/>
            <w:vMerge w:val="continue"/>
            <w:noWrap w:val="0"/>
            <w:vAlign w:val="center"/>
          </w:tcPr>
          <w:p w14:paraId="2108B258">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7280926E">
            <w:pPr>
              <w:spacing w:line="240" w:lineRule="auto"/>
              <w:ind w:firstLine="0" w:firstLineChars="0"/>
              <w:jc w:val="center"/>
              <w:textAlignment w:val="center"/>
              <w:rPr>
                <w:rFonts w:hint="eastAsia" w:ascii="Times New Roman" w:hAnsi="Times New Roman" w:eastAsia="宋体" w:cs="Times New Roman"/>
                <w:sz w:val="21"/>
                <w:szCs w:val="21"/>
              </w:rPr>
            </w:pPr>
          </w:p>
        </w:tc>
        <w:tc>
          <w:tcPr>
            <w:tcW w:w="1140" w:type="dxa"/>
            <w:noWrap w:val="0"/>
            <w:vAlign w:val="center"/>
          </w:tcPr>
          <w:p w14:paraId="43B56D68">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面包</w:t>
            </w:r>
          </w:p>
        </w:tc>
        <w:tc>
          <w:tcPr>
            <w:tcW w:w="1011" w:type="dxa"/>
            <w:noWrap w:val="0"/>
            <w:vAlign w:val="center"/>
          </w:tcPr>
          <w:p w14:paraId="125CD555">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面包</w:t>
            </w:r>
          </w:p>
        </w:tc>
        <w:tc>
          <w:tcPr>
            <w:tcW w:w="1701" w:type="dxa"/>
            <w:noWrap w:val="0"/>
            <w:vAlign w:val="center"/>
          </w:tcPr>
          <w:p w14:paraId="2DA7E2CD">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面包</w:t>
            </w:r>
          </w:p>
        </w:tc>
        <w:tc>
          <w:tcPr>
            <w:tcW w:w="4819" w:type="dxa"/>
            <w:noWrap w:val="0"/>
            <w:vAlign w:val="center"/>
          </w:tcPr>
          <w:p w14:paraId="1AC04ACD">
            <w:pPr>
              <w:spacing w:line="240" w:lineRule="auto"/>
              <w:ind w:firstLine="0" w:firstLineChars="0"/>
              <w:jc w:val="left"/>
              <w:textAlignment w:val="center"/>
              <w:rPr>
                <w:rFonts w:hint="eastAsia" w:ascii="宋体" w:hAnsi="宋体" w:eastAsia="宋体" w:cs="宋体"/>
                <w:b/>
                <w:sz w:val="18"/>
                <w:szCs w:val="18"/>
              </w:rPr>
            </w:pPr>
            <w:r>
              <w:rPr>
                <w:rFonts w:hint="eastAsia" w:ascii="宋体" w:hAnsi="宋体" w:eastAsia="宋体" w:cs="宋体"/>
                <w:color w:val="000000"/>
                <w:sz w:val="20"/>
                <w:szCs w:val="21"/>
                <w:u w:val="none"/>
              </w:rPr>
              <w:t>酸价（以脂肪计）（KOH）、过氧化值（以脂肪计）、</w:t>
            </w: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、富马酸二甲酯、</w:t>
            </w:r>
            <w:r>
              <w:rPr>
                <w:rFonts w:hint="eastAsia" w:ascii="宋体" w:hAnsi="宋体" w:eastAsia="宋体" w:cs="宋体"/>
                <w:color w:val="000000"/>
                <w:sz w:val="20"/>
                <w:szCs w:val="21"/>
                <w:u w:val="none"/>
              </w:rPr>
              <w:t>苯甲酸及其钠盐（以苯甲酸计）、山梨酸及其钾盐（以山梨酸计）、糖精钠（以糖精计）、甜蜜素（以环己基氨基磺酸计）、</w:t>
            </w:r>
            <w:r>
              <w:rPr>
                <w:rFonts w:hint="eastAsia" w:ascii="宋体" w:hAnsi="宋体" w:eastAsia="宋体" w:cs="宋体"/>
                <w:color w:val="000000"/>
                <w:sz w:val="20"/>
                <w:szCs w:val="21"/>
                <w:u w:val="none"/>
                <w:lang w:eastAsia="zh-CN"/>
              </w:rPr>
              <w:t>安赛蜜、</w:t>
            </w:r>
            <w:r>
              <w:rPr>
                <w:rFonts w:hint="eastAsia" w:ascii="宋体" w:hAnsi="宋体" w:eastAsia="宋体" w:cs="宋体"/>
                <w:color w:val="000000"/>
                <w:sz w:val="20"/>
                <w:szCs w:val="21"/>
                <w:u w:val="none"/>
              </w:rPr>
              <w:t>铝的残留量（干样品，以Al计）、</w:t>
            </w:r>
            <w:r>
              <w:rPr>
                <w:rFonts w:hint="eastAsia" w:ascii="宋体" w:hAnsi="宋体" w:eastAsia="宋体" w:cs="宋体"/>
                <w:sz w:val="18"/>
                <w:szCs w:val="18"/>
              </w:rPr>
              <w:t>丙酸钙及其钠盐、钙盐（以丙酸计）、脱氢乙酸及其钠盐（以脱氢乙酸计）、</w:t>
            </w:r>
            <w:r>
              <w:rPr>
                <w:rFonts w:hint="eastAsia" w:ascii="宋体" w:hAnsi="宋体" w:eastAsia="宋体" w:cs="宋体"/>
                <w:kern w:val="0"/>
                <w:sz w:val="18"/>
                <w:szCs w:val="18"/>
                <w:lang w:eastAsia="zh-CN"/>
              </w:rPr>
              <w:t>三氯蔗糖、合成着色剂（柠檬黄、日落黄、胭脂红、苋菜红、亮蓝、诱惑红、酸性红）、</w:t>
            </w:r>
            <w:r>
              <w:rPr>
                <w:rFonts w:hint="eastAsia" w:ascii="宋体" w:hAnsi="宋体" w:eastAsia="宋体" w:cs="宋体"/>
                <w:color w:val="000000"/>
                <w:sz w:val="20"/>
                <w:szCs w:val="21"/>
                <w:u w:val="none"/>
              </w:rPr>
              <w:t>防腐剂混合使用时各自用量占其最大使用量比例之和、菌落总数、大肠菌群、</w:t>
            </w:r>
            <w:r>
              <w:rPr>
                <w:rFonts w:hint="eastAsia" w:ascii="宋体" w:hAnsi="宋体" w:eastAsia="宋体" w:cs="宋体"/>
                <w:color w:val="000000"/>
                <w:sz w:val="20"/>
                <w:szCs w:val="21"/>
                <w:u w:val="none"/>
                <w:lang w:eastAsia="zh-CN"/>
              </w:rPr>
              <w:t>金黄色葡萄球菌、沙门氏菌、</w:t>
            </w:r>
            <w:r>
              <w:rPr>
                <w:rFonts w:hint="eastAsia" w:ascii="宋体" w:hAnsi="宋体" w:eastAsia="宋体" w:cs="宋体"/>
                <w:color w:val="000000"/>
                <w:sz w:val="20"/>
                <w:szCs w:val="21"/>
                <w:u w:val="none"/>
              </w:rPr>
              <w:t>霉菌</w:t>
            </w:r>
          </w:p>
        </w:tc>
        <w:tc>
          <w:tcPr>
            <w:tcW w:w="669" w:type="dxa"/>
            <w:noWrap w:val="0"/>
            <w:vAlign w:val="center"/>
          </w:tcPr>
          <w:p w14:paraId="5C9CD414">
            <w:pPr>
              <w:spacing w:line="240" w:lineRule="auto"/>
              <w:ind w:firstLine="0" w:firstLineChars="0"/>
              <w:jc w:val="center"/>
              <w:rPr>
                <w:rFonts w:hint="eastAsia" w:ascii="宋体" w:hAnsi="宋体" w:eastAsia="宋体" w:cs="宋体"/>
                <w:b/>
                <w:sz w:val="18"/>
                <w:szCs w:val="18"/>
              </w:rPr>
            </w:pPr>
            <w:r>
              <w:rPr>
                <w:rFonts w:hint="eastAsia" w:ascii="宋体" w:hAnsi="宋体" w:eastAsia="宋体" w:cs="宋体"/>
                <w:b/>
                <w:sz w:val="18"/>
                <w:szCs w:val="18"/>
              </w:rPr>
              <w:t>14</w:t>
            </w:r>
          </w:p>
        </w:tc>
        <w:tc>
          <w:tcPr>
            <w:tcW w:w="1316" w:type="dxa"/>
            <w:noWrap w:val="0"/>
            <w:vAlign w:val="center"/>
          </w:tcPr>
          <w:p w14:paraId="5BB0C812">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2766A124">
            <w:pPr>
              <w:spacing w:line="240" w:lineRule="auto"/>
              <w:ind w:firstLine="0" w:firstLineChars="0"/>
              <w:jc w:val="center"/>
              <w:textAlignment w:val="center"/>
              <w:rPr>
                <w:rFonts w:hint="eastAsia" w:ascii="Times New Roman" w:hAnsi="Times New Roman" w:eastAsia="宋体" w:cs="Times New Roman"/>
                <w:sz w:val="18"/>
                <w:szCs w:val="18"/>
              </w:rPr>
            </w:pPr>
          </w:p>
        </w:tc>
      </w:tr>
      <w:tr w14:paraId="014E5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5" w:hRule="atLeast"/>
        </w:trPr>
        <w:tc>
          <w:tcPr>
            <w:tcW w:w="690" w:type="dxa"/>
            <w:noWrap w:val="0"/>
            <w:vAlign w:val="center"/>
          </w:tcPr>
          <w:p w14:paraId="6F61DE96">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12</w:t>
            </w:r>
          </w:p>
        </w:tc>
        <w:tc>
          <w:tcPr>
            <w:tcW w:w="1095" w:type="dxa"/>
            <w:noWrap w:val="0"/>
            <w:vAlign w:val="center"/>
          </w:tcPr>
          <w:p w14:paraId="52E83DFE">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糕点</w:t>
            </w:r>
          </w:p>
        </w:tc>
        <w:tc>
          <w:tcPr>
            <w:tcW w:w="1140" w:type="dxa"/>
            <w:noWrap w:val="0"/>
            <w:vAlign w:val="center"/>
          </w:tcPr>
          <w:p w14:paraId="31851CB3">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月饼</w:t>
            </w:r>
          </w:p>
        </w:tc>
        <w:tc>
          <w:tcPr>
            <w:tcW w:w="1011" w:type="dxa"/>
            <w:noWrap w:val="0"/>
            <w:vAlign w:val="center"/>
          </w:tcPr>
          <w:p w14:paraId="12CDF205">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月饼</w:t>
            </w:r>
          </w:p>
        </w:tc>
        <w:tc>
          <w:tcPr>
            <w:tcW w:w="1701" w:type="dxa"/>
            <w:noWrap w:val="0"/>
            <w:vAlign w:val="center"/>
          </w:tcPr>
          <w:p w14:paraId="1C42465A">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月饼</w:t>
            </w:r>
          </w:p>
        </w:tc>
        <w:tc>
          <w:tcPr>
            <w:tcW w:w="4819" w:type="dxa"/>
            <w:noWrap w:val="0"/>
            <w:vAlign w:val="center"/>
          </w:tcPr>
          <w:p w14:paraId="7423FBC2">
            <w:pPr>
              <w:spacing w:line="240" w:lineRule="auto"/>
              <w:ind w:firstLine="0" w:firstLineChars="0"/>
              <w:jc w:val="left"/>
              <w:textAlignment w:val="center"/>
              <w:rPr>
                <w:rFonts w:hint="eastAsia" w:ascii="Times New Roman" w:hAnsi="Times New Roman" w:eastAsia="宋体" w:cs="Times New Roman"/>
                <w:sz w:val="21"/>
                <w:szCs w:val="21"/>
                <w:lang w:eastAsia="zh-CN"/>
              </w:rPr>
            </w:pPr>
            <w:bookmarkStart w:id="47" w:name="OLE_LINK108"/>
            <w:r>
              <w:rPr>
                <w:rFonts w:hint="eastAsia" w:ascii="宋体" w:hAnsi="宋体" w:eastAsia="宋体" w:cs="宋体"/>
                <w:color w:val="000000"/>
                <w:sz w:val="20"/>
                <w:szCs w:val="21"/>
                <w:u w:val="none"/>
              </w:rPr>
              <w:t>酸价（以脂肪计）（KOH）、过氧化值（以脂肪计）、苯甲酸及其钠盐（以苯甲酸计）、山梨酸及其钾盐（以山梨酸计）、</w:t>
            </w:r>
            <w:r>
              <w:rPr>
                <w:rFonts w:hint="eastAsia" w:ascii="宋体" w:hAnsi="宋体" w:eastAsia="宋体" w:cs="宋体"/>
                <w:sz w:val="18"/>
                <w:szCs w:val="18"/>
              </w:rPr>
              <w:t>丙酸钙及其钠盐、钙盐（以丙酸计）、脱氢乙酸及其钠盐（以脱氢乙酸计）、</w:t>
            </w:r>
            <w:r>
              <w:rPr>
                <w:rFonts w:hint="eastAsia" w:ascii="宋体" w:hAnsi="宋体" w:eastAsia="宋体" w:cs="宋体"/>
                <w:color w:val="000000"/>
                <w:sz w:val="20"/>
                <w:szCs w:val="21"/>
                <w:u w:val="none"/>
              </w:rPr>
              <w:t>防腐剂混合使用时各自用量占其最大使用量比例之和、铝的残留量（干样品，以A</w:t>
            </w:r>
            <w:r>
              <w:rPr>
                <w:rFonts w:hint="eastAsia" w:ascii="宋体" w:hAnsi="宋体" w:eastAsia="宋体" w:cs="宋体"/>
                <w:color w:val="000000"/>
                <w:sz w:val="20"/>
                <w:szCs w:val="21"/>
                <w:u w:val="none"/>
                <w:lang w:val="en-US" w:eastAsia="zh-CN"/>
              </w:rPr>
              <w:t>l</w:t>
            </w:r>
            <w:r>
              <w:rPr>
                <w:rFonts w:hint="eastAsia" w:ascii="宋体" w:hAnsi="宋体" w:eastAsia="宋体" w:cs="宋体"/>
                <w:color w:val="000000"/>
                <w:sz w:val="20"/>
                <w:szCs w:val="21"/>
                <w:u w:val="none"/>
              </w:rPr>
              <w:t>计）、糖精钠（以糖精计）、甜蜜素（以环己基氨基磺酸计）、菌落总数、大肠菌群、霉菌</w:t>
            </w:r>
            <w:bookmarkEnd w:id="47"/>
            <w:r>
              <w:rPr>
                <w:rFonts w:hint="eastAsia" w:ascii="宋体" w:hAnsi="宋体" w:eastAsia="宋体" w:cs="宋体"/>
                <w:color w:val="000000"/>
                <w:sz w:val="20"/>
                <w:szCs w:val="21"/>
                <w:u w:val="none"/>
                <w:lang w:eastAsia="zh-CN"/>
              </w:rPr>
              <w:t>、金黄色葡萄球菌、沙门氏菌、</w:t>
            </w: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、富马酸二甲酯、纳他霉素、三氯蔗糖、丙二醇、合成着色剂（柠檬黄、日落黄、胭脂红、苋菜红、亮蓝、赤藓红、诱惑红）</w:t>
            </w:r>
          </w:p>
        </w:tc>
        <w:tc>
          <w:tcPr>
            <w:tcW w:w="669" w:type="dxa"/>
            <w:noWrap w:val="0"/>
            <w:vAlign w:val="center"/>
          </w:tcPr>
          <w:p w14:paraId="4EC63358">
            <w:pPr>
              <w:spacing w:line="240" w:lineRule="auto"/>
              <w:ind w:firstLine="0" w:firstLineChars="0"/>
              <w:jc w:val="center"/>
              <w:rPr>
                <w:rFonts w:hint="eastAsia" w:ascii="宋体" w:hAnsi="宋体" w:eastAsia="宋体" w:cs="宋体"/>
                <w:b/>
                <w:sz w:val="18"/>
                <w:szCs w:val="18"/>
              </w:rPr>
            </w:pPr>
            <w:r>
              <w:rPr>
                <w:rFonts w:hint="eastAsia" w:ascii="宋体" w:hAnsi="宋体" w:eastAsia="宋体" w:cs="宋体"/>
                <w:b/>
                <w:sz w:val="18"/>
                <w:szCs w:val="18"/>
              </w:rPr>
              <w:t>7</w:t>
            </w:r>
          </w:p>
        </w:tc>
        <w:tc>
          <w:tcPr>
            <w:tcW w:w="1316" w:type="dxa"/>
            <w:noWrap w:val="0"/>
            <w:vAlign w:val="center"/>
          </w:tcPr>
          <w:p w14:paraId="7A253271">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9月</w:t>
            </w:r>
          </w:p>
        </w:tc>
        <w:tc>
          <w:tcPr>
            <w:tcW w:w="1914" w:type="dxa"/>
            <w:noWrap w:val="0"/>
            <w:vAlign w:val="center"/>
          </w:tcPr>
          <w:p w14:paraId="48CBF7DC">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节令食品</w:t>
            </w:r>
          </w:p>
        </w:tc>
      </w:tr>
      <w:tr w14:paraId="5DEEC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6" w:hRule="atLeast"/>
        </w:trPr>
        <w:tc>
          <w:tcPr>
            <w:tcW w:w="690" w:type="dxa"/>
            <w:vMerge w:val="restart"/>
            <w:noWrap w:val="0"/>
            <w:vAlign w:val="center"/>
          </w:tcPr>
          <w:p w14:paraId="2897E509">
            <w:pPr>
              <w:spacing w:line="240" w:lineRule="auto"/>
              <w:ind w:firstLine="0" w:firstLineChars="0"/>
              <w:jc w:val="center"/>
              <w:rPr>
                <w:rFonts w:hint="eastAsia" w:ascii="宋体" w:hAnsi="宋体" w:eastAsia="宋体" w:cs="宋体"/>
                <w:bCs/>
                <w:sz w:val="21"/>
                <w:szCs w:val="21"/>
                <w:lang w:eastAsia="zh-CN"/>
              </w:rPr>
            </w:pPr>
            <w:r>
              <w:rPr>
                <w:rFonts w:hint="eastAsia" w:ascii="宋体" w:hAnsi="宋体" w:eastAsia="宋体" w:cs="宋体"/>
                <w:b/>
                <w:sz w:val="21"/>
                <w:szCs w:val="21"/>
              </w:rPr>
              <w:t>1</w:t>
            </w:r>
            <w:r>
              <w:rPr>
                <w:rFonts w:hint="eastAsia" w:ascii="宋体" w:hAnsi="宋体" w:eastAsia="宋体" w:cs="宋体"/>
                <w:b/>
                <w:sz w:val="21"/>
                <w:szCs w:val="21"/>
                <w:lang w:val="en-US" w:eastAsia="zh-CN"/>
              </w:rPr>
              <w:t>3</w:t>
            </w:r>
          </w:p>
        </w:tc>
        <w:tc>
          <w:tcPr>
            <w:tcW w:w="1095" w:type="dxa"/>
            <w:vMerge w:val="restart"/>
            <w:noWrap w:val="0"/>
            <w:vAlign w:val="center"/>
          </w:tcPr>
          <w:p w14:paraId="68F43632">
            <w:pPr>
              <w:widowControl/>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糖果制品</w:t>
            </w:r>
          </w:p>
        </w:tc>
        <w:tc>
          <w:tcPr>
            <w:tcW w:w="1140" w:type="dxa"/>
            <w:vMerge w:val="restart"/>
            <w:noWrap w:val="0"/>
            <w:vAlign w:val="center"/>
          </w:tcPr>
          <w:p w14:paraId="6452F53E">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糖果制品（含巧克力制品）</w:t>
            </w:r>
          </w:p>
        </w:tc>
        <w:tc>
          <w:tcPr>
            <w:tcW w:w="1011" w:type="dxa"/>
            <w:noWrap w:val="0"/>
            <w:vAlign w:val="center"/>
          </w:tcPr>
          <w:p w14:paraId="7FCF61AF">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糖果</w:t>
            </w:r>
          </w:p>
        </w:tc>
        <w:tc>
          <w:tcPr>
            <w:tcW w:w="1701" w:type="dxa"/>
            <w:noWrap w:val="0"/>
            <w:vAlign w:val="center"/>
          </w:tcPr>
          <w:p w14:paraId="5DA2F18F">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糖果</w:t>
            </w:r>
          </w:p>
        </w:tc>
        <w:tc>
          <w:tcPr>
            <w:tcW w:w="4819" w:type="dxa"/>
            <w:noWrap w:val="0"/>
            <w:vAlign w:val="center"/>
          </w:tcPr>
          <w:p w14:paraId="2B1CC9F5">
            <w:pPr>
              <w:spacing w:line="240" w:lineRule="auto"/>
              <w:ind w:firstLine="0" w:firstLineChars="0"/>
              <w:jc w:val="left"/>
              <w:rPr>
                <w:rFonts w:hint="default" w:ascii="宋体" w:hAnsi="宋体" w:eastAsia="宋体" w:cs="宋体"/>
                <w:sz w:val="18"/>
                <w:szCs w:val="18"/>
                <w:vertAlign w:val="superscript"/>
                <w:lang w:val="en-US" w:eastAsia="zh-CN"/>
              </w:rPr>
            </w:pPr>
            <w:r>
              <w:rPr>
                <w:rFonts w:hint="eastAsia" w:ascii="宋体" w:hAnsi="宋体" w:eastAsia="宋体" w:cs="宋体"/>
                <w:color w:val="000000"/>
                <w:sz w:val="20"/>
                <w:szCs w:val="21"/>
                <w:u w:val="none"/>
              </w:rPr>
              <w:t>糖精钠（以糖精计）、甜蜜素（以环己基氨基磺酸计）</w:t>
            </w:r>
            <w:r>
              <w:rPr>
                <w:rFonts w:hint="eastAsia" w:ascii="宋体" w:hAnsi="宋体" w:eastAsia="宋体" w:cs="宋体"/>
                <w:color w:val="000000"/>
                <w:sz w:val="20"/>
                <w:szCs w:val="21"/>
                <w:u w:val="none"/>
                <w:lang w:eastAsia="zh-CN"/>
              </w:rPr>
              <w:t>、</w:t>
            </w:r>
            <w:r>
              <w:rPr>
                <w:rFonts w:hint="eastAsia" w:ascii="宋体" w:hAnsi="宋体" w:eastAsia="宋体" w:cs="宋体"/>
                <w:sz w:val="18"/>
                <w:szCs w:val="18"/>
              </w:rPr>
              <w:t>合成着色剂（视色泽而定）、</w:t>
            </w:r>
            <w:r>
              <w:rPr>
                <w:rFonts w:hint="eastAsia" w:ascii="宋体" w:hAnsi="宋体" w:eastAsia="宋体" w:cs="宋体"/>
                <w:sz w:val="18"/>
                <w:szCs w:val="18"/>
                <w:lang w:eastAsia="zh-CN"/>
              </w:rPr>
              <w:t>相同色泽着色剂混合使用时各自用量占其最大使用量的比例之和、二氧化硫残留量、</w:t>
            </w: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w:t>
            </w:r>
            <w:r>
              <w:rPr>
                <w:rFonts w:hint="eastAsia" w:ascii="宋体" w:hAnsi="宋体" w:eastAsia="宋体" w:cs="宋体"/>
                <w:sz w:val="18"/>
                <w:szCs w:val="18"/>
              </w:rPr>
              <w:t>菌落总数</w:t>
            </w:r>
            <w:r>
              <w:rPr>
                <w:rFonts w:hint="eastAsia" w:ascii="宋体" w:hAnsi="宋体" w:eastAsia="宋体" w:cs="宋体"/>
                <w:sz w:val="18"/>
                <w:szCs w:val="18"/>
                <w:vertAlign w:val="superscript"/>
                <w:lang w:val="en-US" w:eastAsia="zh-CN"/>
              </w:rPr>
              <w:t>a</w:t>
            </w:r>
            <w:r>
              <w:rPr>
                <w:rFonts w:hint="eastAsia" w:ascii="宋体" w:hAnsi="宋体" w:eastAsia="宋体" w:cs="宋体"/>
                <w:sz w:val="18"/>
                <w:szCs w:val="18"/>
              </w:rPr>
              <w:t>、大肠菌群、</w:t>
            </w:r>
            <w:r>
              <w:rPr>
                <w:rFonts w:hint="eastAsia" w:ascii="宋体" w:hAnsi="宋体" w:eastAsia="宋体" w:cs="宋体"/>
                <w:sz w:val="18"/>
                <w:szCs w:val="18"/>
                <w:lang w:eastAsia="zh-CN"/>
              </w:rPr>
              <w:t>西地那非</w:t>
            </w:r>
            <w:r>
              <w:rPr>
                <w:rFonts w:hint="eastAsia" w:ascii="宋体" w:hAnsi="宋体" w:eastAsia="宋体" w:cs="宋体"/>
                <w:sz w:val="18"/>
                <w:szCs w:val="18"/>
                <w:vertAlign w:val="superscript"/>
                <w:lang w:val="en-US" w:eastAsia="zh-CN"/>
              </w:rPr>
              <w:t>b</w:t>
            </w:r>
            <w:r>
              <w:rPr>
                <w:rFonts w:hint="eastAsia" w:ascii="宋体" w:hAnsi="宋体" w:eastAsia="宋体" w:cs="宋体"/>
                <w:sz w:val="18"/>
                <w:szCs w:val="18"/>
                <w:lang w:val="en-US" w:eastAsia="zh-CN"/>
              </w:rPr>
              <w:t>、他达拉非</w:t>
            </w:r>
            <w:r>
              <w:rPr>
                <w:rFonts w:hint="eastAsia" w:ascii="宋体" w:hAnsi="宋体" w:eastAsia="宋体" w:cs="宋体"/>
                <w:sz w:val="18"/>
                <w:szCs w:val="18"/>
                <w:vertAlign w:val="superscript"/>
                <w:lang w:val="en-US" w:eastAsia="zh-CN"/>
              </w:rPr>
              <w:t>b</w:t>
            </w:r>
            <w:r>
              <w:rPr>
                <w:rFonts w:hint="eastAsia" w:ascii="宋体" w:hAnsi="宋体" w:eastAsia="宋体" w:cs="宋体"/>
                <w:sz w:val="18"/>
                <w:szCs w:val="18"/>
                <w:lang w:val="en-US" w:eastAsia="zh-CN"/>
              </w:rPr>
              <w:t>、酚丁</w:t>
            </w:r>
            <w:r>
              <w:rPr>
                <w:rFonts w:hint="eastAsia" w:ascii="宋体" w:hAnsi="宋体" w:eastAsia="宋体" w:cs="宋体"/>
                <w:sz w:val="18"/>
                <w:szCs w:val="18"/>
                <w:vertAlign w:val="superscript"/>
                <w:lang w:val="en-US" w:eastAsia="zh-CN"/>
              </w:rPr>
              <w:t>c</w:t>
            </w:r>
            <w:r>
              <w:rPr>
                <w:rFonts w:hint="eastAsia" w:ascii="宋体" w:hAnsi="宋体" w:eastAsia="宋体" w:cs="宋体"/>
                <w:sz w:val="18"/>
                <w:szCs w:val="18"/>
                <w:lang w:val="en-US" w:eastAsia="zh-CN"/>
              </w:rPr>
              <w:t>、双酚沙丁</w:t>
            </w:r>
            <w:r>
              <w:rPr>
                <w:rFonts w:hint="eastAsia" w:ascii="宋体" w:hAnsi="宋体" w:eastAsia="宋体" w:cs="宋体"/>
                <w:sz w:val="18"/>
                <w:szCs w:val="18"/>
                <w:vertAlign w:val="superscript"/>
                <w:lang w:val="en-US" w:eastAsia="zh-CN"/>
              </w:rPr>
              <w:t>c</w:t>
            </w:r>
            <w:r>
              <w:rPr>
                <w:rFonts w:hint="eastAsia" w:ascii="宋体" w:hAnsi="宋体" w:eastAsia="宋体" w:cs="宋体"/>
                <w:sz w:val="18"/>
                <w:szCs w:val="18"/>
                <w:lang w:val="en-US" w:eastAsia="zh-CN"/>
              </w:rPr>
              <w:t>、双丙酚丁</w:t>
            </w:r>
            <w:r>
              <w:rPr>
                <w:rFonts w:hint="eastAsia" w:ascii="宋体" w:hAnsi="宋体" w:eastAsia="宋体" w:cs="宋体"/>
                <w:sz w:val="18"/>
                <w:szCs w:val="18"/>
                <w:vertAlign w:val="superscript"/>
                <w:lang w:val="en-US" w:eastAsia="zh-CN"/>
              </w:rPr>
              <w:t>c</w:t>
            </w:r>
            <w:r>
              <w:rPr>
                <w:rFonts w:hint="eastAsia" w:ascii="宋体" w:hAnsi="宋体" w:eastAsia="宋体" w:cs="宋体"/>
                <w:sz w:val="18"/>
                <w:szCs w:val="18"/>
                <w:lang w:val="en-US" w:eastAsia="zh-CN"/>
              </w:rPr>
              <w:t>、脱乙酰比沙可啶</w:t>
            </w:r>
            <w:r>
              <w:rPr>
                <w:rFonts w:hint="eastAsia" w:ascii="宋体" w:hAnsi="宋体" w:eastAsia="宋体" w:cs="宋体"/>
                <w:sz w:val="18"/>
                <w:szCs w:val="18"/>
                <w:vertAlign w:val="superscript"/>
                <w:lang w:val="en-US" w:eastAsia="zh-CN"/>
              </w:rPr>
              <w:t>c</w:t>
            </w:r>
          </w:p>
        </w:tc>
        <w:tc>
          <w:tcPr>
            <w:tcW w:w="669" w:type="dxa"/>
            <w:noWrap w:val="0"/>
            <w:vAlign w:val="center"/>
          </w:tcPr>
          <w:p w14:paraId="75E556A6">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12</w:t>
            </w:r>
          </w:p>
        </w:tc>
        <w:tc>
          <w:tcPr>
            <w:tcW w:w="1316" w:type="dxa"/>
            <w:noWrap w:val="0"/>
            <w:vAlign w:val="center"/>
          </w:tcPr>
          <w:p w14:paraId="6402523D">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21C9193E">
            <w:pPr>
              <w:widowControl/>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a.不适用于添加活性菌种（好氧和兼性厌氧益生菌）的产品；b.限标签、说明书、网页、直播等宣称或暗示缓解体力疲劳类/提高免疫力雷产品检测；c.限标签、说明书、网页、直播等宣称或暗示减肥类产品检测。</w:t>
            </w:r>
          </w:p>
        </w:tc>
      </w:tr>
      <w:tr w14:paraId="70F49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690" w:type="dxa"/>
            <w:vMerge w:val="continue"/>
            <w:noWrap w:val="0"/>
            <w:vAlign w:val="center"/>
          </w:tcPr>
          <w:p w14:paraId="63881B3C">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5313C20A">
            <w:pPr>
              <w:widowControl/>
              <w:spacing w:line="240" w:lineRule="auto"/>
              <w:ind w:firstLine="0" w:firstLineChars="0"/>
              <w:jc w:val="center"/>
              <w:textAlignment w:val="center"/>
              <w:rPr>
                <w:rFonts w:hint="eastAsia" w:ascii="宋体" w:hAnsi="宋体" w:eastAsia="宋体" w:cs="宋体"/>
                <w:kern w:val="0"/>
                <w:sz w:val="18"/>
                <w:szCs w:val="18"/>
              </w:rPr>
            </w:pPr>
          </w:p>
        </w:tc>
        <w:tc>
          <w:tcPr>
            <w:tcW w:w="1140" w:type="dxa"/>
            <w:vMerge w:val="continue"/>
            <w:noWrap w:val="0"/>
            <w:vAlign w:val="center"/>
          </w:tcPr>
          <w:p w14:paraId="5116A562">
            <w:pPr>
              <w:spacing w:line="240" w:lineRule="auto"/>
              <w:ind w:firstLine="0" w:firstLineChars="0"/>
              <w:jc w:val="center"/>
              <w:textAlignment w:val="center"/>
              <w:rPr>
                <w:rFonts w:hint="eastAsia" w:ascii="宋体" w:hAnsi="宋体" w:eastAsia="宋体" w:cs="宋体"/>
                <w:sz w:val="18"/>
                <w:szCs w:val="18"/>
              </w:rPr>
            </w:pPr>
          </w:p>
        </w:tc>
        <w:tc>
          <w:tcPr>
            <w:tcW w:w="1011" w:type="dxa"/>
            <w:noWrap w:val="0"/>
            <w:vAlign w:val="center"/>
          </w:tcPr>
          <w:p w14:paraId="61D71EFC">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巧克力及巧克力制品</w:t>
            </w:r>
          </w:p>
        </w:tc>
        <w:tc>
          <w:tcPr>
            <w:tcW w:w="1701" w:type="dxa"/>
            <w:noWrap w:val="0"/>
            <w:vAlign w:val="center"/>
          </w:tcPr>
          <w:p w14:paraId="6E09DA6F">
            <w:pPr>
              <w:spacing w:line="240" w:lineRule="auto"/>
              <w:ind w:firstLine="0" w:firstLineChars="0"/>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巧克力、巧克力制品、代可可脂巧克力及代可可脂巧克力制品</w:t>
            </w:r>
          </w:p>
        </w:tc>
        <w:tc>
          <w:tcPr>
            <w:tcW w:w="4819" w:type="dxa"/>
            <w:noWrap w:val="0"/>
            <w:vAlign w:val="center"/>
          </w:tcPr>
          <w:p w14:paraId="6106DEEA">
            <w:pPr>
              <w:spacing w:line="240" w:lineRule="auto"/>
              <w:ind w:firstLine="0" w:firstLineChars="0"/>
              <w:jc w:val="left"/>
              <w:rPr>
                <w:rFonts w:hint="default" w:ascii="宋体" w:hAnsi="宋体" w:eastAsia="宋体" w:cs="宋体"/>
                <w:sz w:val="18"/>
                <w:szCs w:val="18"/>
                <w:vertAlign w:val="superscript"/>
                <w:lang w:val="en-US" w:eastAsia="zh-CN"/>
              </w:rPr>
            </w:pP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、沙门氏菌</w:t>
            </w:r>
          </w:p>
        </w:tc>
        <w:tc>
          <w:tcPr>
            <w:tcW w:w="669" w:type="dxa"/>
            <w:noWrap w:val="0"/>
            <w:vAlign w:val="center"/>
          </w:tcPr>
          <w:p w14:paraId="07CDFB62">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6</w:t>
            </w:r>
          </w:p>
        </w:tc>
        <w:tc>
          <w:tcPr>
            <w:tcW w:w="1316" w:type="dxa"/>
            <w:noWrap w:val="0"/>
            <w:vAlign w:val="center"/>
          </w:tcPr>
          <w:p w14:paraId="6D0F7E6D">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2835A031">
            <w:pPr>
              <w:widowControl/>
              <w:spacing w:line="240" w:lineRule="auto"/>
              <w:ind w:firstLine="0" w:firstLineChars="0"/>
              <w:jc w:val="left"/>
              <w:textAlignment w:val="center"/>
              <w:rPr>
                <w:rFonts w:hint="default" w:ascii="Times New Roman" w:hAnsi="Times New Roman" w:eastAsia="宋体" w:cs="Times New Roman"/>
                <w:sz w:val="18"/>
                <w:szCs w:val="18"/>
                <w:lang w:val="en-US" w:eastAsia="zh-CN"/>
              </w:rPr>
            </w:pPr>
          </w:p>
        </w:tc>
      </w:tr>
      <w:tr w14:paraId="51411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trPr>
        <w:tc>
          <w:tcPr>
            <w:tcW w:w="690" w:type="dxa"/>
            <w:noWrap w:val="0"/>
            <w:vAlign w:val="center"/>
          </w:tcPr>
          <w:p w14:paraId="322A4D38">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13</w:t>
            </w:r>
          </w:p>
        </w:tc>
        <w:tc>
          <w:tcPr>
            <w:tcW w:w="1095" w:type="dxa"/>
            <w:noWrap w:val="0"/>
            <w:vAlign w:val="center"/>
          </w:tcPr>
          <w:p w14:paraId="4DDA1963">
            <w:pPr>
              <w:widowControl/>
              <w:spacing w:line="240" w:lineRule="auto"/>
              <w:ind w:firstLine="0" w:firstLineChars="0"/>
              <w:jc w:val="center"/>
              <w:textAlignment w:val="center"/>
              <w:rPr>
                <w:rFonts w:hint="eastAsia" w:ascii="宋体" w:hAnsi="宋体" w:eastAsia="宋体" w:cs="宋体"/>
                <w:kern w:val="0"/>
                <w:sz w:val="18"/>
                <w:szCs w:val="18"/>
                <w:lang w:val="en-US" w:eastAsia="zh-CN" w:bidi="ar-SA"/>
              </w:rPr>
            </w:pPr>
            <w:r>
              <w:rPr>
                <w:rFonts w:hint="eastAsia" w:ascii="宋体" w:hAnsi="宋体" w:eastAsia="宋体" w:cs="宋体"/>
                <w:kern w:val="0"/>
                <w:sz w:val="18"/>
                <w:szCs w:val="18"/>
              </w:rPr>
              <w:t>糖果制品</w:t>
            </w:r>
          </w:p>
        </w:tc>
        <w:tc>
          <w:tcPr>
            <w:tcW w:w="1140" w:type="dxa"/>
            <w:noWrap w:val="0"/>
            <w:vAlign w:val="center"/>
          </w:tcPr>
          <w:p w14:paraId="2AFB4CC8">
            <w:pPr>
              <w:spacing w:line="240" w:lineRule="auto"/>
              <w:ind w:firstLine="0" w:firstLineChars="0"/>
              <w:jc w:val="center"/>
              <w:textAlignment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rPr>
              <w:t>糖果制品（含巧克力制品）</w:t>
            </w:r>
          </w:p>
        </w:tc>
        <w:tc>
          <w:tcPr>
            <w:tcW w:w="1011" w:type="dxa"/>
            <w:noWrap w:val="0"/>
            <w:vAlign w:val="center"/>
          </w:tcPr>
          <w:p w14:paraId="5E02FE64">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果冻</w:t>
            </w:r>
          </w:p>
        </w:tc>
        <w:tc>
          <w:tcPr>
            <w:tcW w:w="1701" w:type="dxa"/>
            <w:noWrap w:val="0"/>
            <w:vAlign w:val="center"/>
          </w:tcPr>
          <w:p w14:paraId="2EC297E5">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果冻</w:t>
            </w:r>
          </w:p>
        </w:tc>
        <w:tc>
          <w:tcPr>
            <w:tcW w:w="4819" w:type="dxa"/>
            <w:noWrap w:val="0"/>
            <w:vAlign w:val="center"/>
          </w:tcPr>
          <w:p w14:paraId="62385B25">
            <w:pPr>
              <w:spacing w:line="240" w:lineRule="auto"/>
              <w:ind w:firstLine="0" w:firstLineChars="0"/>
              <w:jc w:val="left"/>
              <w:rPr>
                <w:rFonts w:hint="eastAsia" w:ascii="宋体" w:hAnsi="宋体" w:eastAsia="宋体" w:cs="宋体"/>
                <w:sz w:val="18"/>
                <w:szCs w:val="18"/>
                <w:lang w:eastAsia="zh-CN"/>
              </w:rPr>
            </w:pPr>
            <w:r>
              <w:rPr>
                <w:rFonts w:hint="eastAsia" w:ascii="宋体" w:hAnsi="宋体" w:eastAsia="宋体" w:cs="宋体"/>
                <w:color w:val="000000"/>
                <w:sz w:val="20"/>
                <w:szCs w:val="21"/>
                <w:u w:val="none"/>
              </w:rPr>
              <w:t>糖精钠（以糖精计）、甜蜜素（以环己基氨基磺酸计）、山梨酸及其钾盐（以山梨酸计）、</w:t>
            </w:r>
            <w:bookmarkStart w:id="48" w:name="OLE_LINK25"/>
            <w:bookmarkStart w:id="49" w:name="OLE_LINK24"/>
            <w:r>
              <w:rPr>
                <w:rFonts w:hint="eastAsia" w:ascii="宋体" w:hAnsi="宋体" w:eastAsia="宋体" w:cs="宋体"/>
                <w:color w:val="000000"/>
                <w:sz w:val="20"/>
                <w:szCs w:val="21"/>
                <w:u w:val="none"/>
              </w:rPr>
              <w:t>苯甲酸及其钠盐（以苯甲酸计）</w:t>
            </w:r>
            <w:bookmarkEnd w:id="48"/>
            <w:bookmarkEnd w:id="49"/>
            <w:r>
              <w:rPr>
                <w:rFonts w:hint="eastAsia" w:ascii="宋体" w:hAnsi="宋体" w:eastAsia="宋体" w:cs="宋体"/>
                <w:color w:val="000000"/>
                <w:sz w:val="20"/>
                <w:szCs w:val="21"/>
                <w:u w:val="none"/>
              </w:rPr>
              <w:t>、</w:t>
            </w:r>
            <w:r>
              <w:rPr>
                <w:rFonts w:hint="eastAsia" w:ascii="宋体" w:hAnsi="宋体" w:eastAsia="宋体" w:cs="宋体"/>
                <w:sz w:val="18"/>
                <w:szCs w:val="18"/>
              </w:rPr>
              <w:t>合成着色剂（视色泽而定）</w:t>
            </w:r>
            <w:r>
              <w:rPr>
                <w:rFonts w:hint="eastAsia" w:ascii="宋体" w:hAnsi="宋体" w:eastAsia="宋体" w:cs="宋体"/>
                <w:sz w:val="18"/>
                <w:szCs w:val="18"/>
                <w:lang w:eastAsia="zh-CN"/>
              </w:rPr>
              <w:t>、相同色泽着色剂混合使用时各自用量占其最大使用量的比例之和、安赛蜜、双丙酚丁</w:t>
            </w:r>
            <w:r>
              <w:rPr>
                <w:rFonts w:hint="eastAsia" w:ascii="宋体" w:hAnsi="宋体" w:eastAsia="宋体" w:cs="宋体"/>
                <w:sz w:val="18"/>
                <w:szCs w:val="18"/>
                <w:lang w:val="en-US" w:eastAsia="zh-CN"/>
              </w:rPr>
              <w:t>a、脱乙酰比沙可啶a、</w:t>
            </w:r>
            <w:r>
              <w:rPr>
                <w:rFonts w:hint="eastAsia" w:ascii="宋体" w:hAnsi="宋体" w:eastAsia="宋体" w:cs="宋体"/>
                <w:sz w:val="18"/>
                <w:szCs w:val="18"/>
              </w:rPr>
              <w:t>菌落总数、大肠菌群、</w:t>
            </w:r>
            <w:r>
              <w:rPr>
                <w:rFonts w:hint="eastAsia" w:ascii="宋体" w:hAnsi="宋体" w:eastAsia="宋体" w:cs="宋体"/>
                <w:sz w:val="18"/>
                <w:szCs w:val="18"/>
                <w:lang w:eastAsia="zh-CN"/>
              </w:rPr>
              <w:t>霉菌、酵母</w:t>
            </w:r>
          </w:p>
        </w:tc>
        <w:tc>
          <w:tcPr>
            <w:tcW w:w="669" w:type="dxa"/>
            <w:noWrap w:val="0"/>
            <w:vAlign w:val="center"/>
          </w:tcPr>
          <w:p w14:paraId="0C7F17D5">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8</w:t>
            </w:r>
          </w:p>
        </w:tc>
        <w:tc>
          <w:tcPr>
            <w:tcW w:w="1316" w:type="dxa"/>
            <w:noWrap w:val="0"/>
            <w:vAlign w:val="center"/>
          </w:tcPr>
          <w:p w14:paraId="4481EBCF">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18F55FD0">
            <w:pPr>
              <w:widowControl/>
              <w:spacing w:line="240" w:lineRule="auto"/>
              <w:ind w:firstLine="0" w:firstLineChars="0"/>
              <w:jc w:val="left"/>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a.限标签、说明书、网页、直播等宣称或暗示减肥类产品检测。</w:t>
            </w:r>
          </w:p>
        </w:tc>
      </w:tr>
      <w:tr w14:paraId="0689C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690" w:type="dxa"/>
            <w:vMerge w:val="restart"/>
            <w:noWrap w:val="0"/>
            <w:vAlign w:val="center"/>
          </w:tcPr>
          <w:p w14:paraId="77128811">
            <w:pPr>
              <w:spacing w:line="240" w:lineRule="auto"/>
              <w:ind w:firstLine="0" w:firstLineChars="0"/>
              <w:jc w:val="center"/>
              <w:rPr>
                <w:rFonts w:hint="default" w:ascii="宋体" w:hAnsi="宋体" w:eastAsia="宋体" w:cs="宋体"/>
                <w:b/>
                <w:sz w:val="21"/>
                <w:szCs w:val="21"/>
                <w:lang w:val="en-US" w:eastAsia="zh-CN"/>
              </w:rPr>
            </w:pPr>
            <w:bookmarkStart w:id="50" w:name="OLE_LINK22" w:colFirst="0" w:colLast="65"/>
            <w:bookmarkStart w:id="51" w:name="_Hlk194566086"/>
            <w:bookmarkStart w:id="52" w:name="OLE_LINK23" w:colFirst="0" w:colLast="65"/>
            <w:r>
              <w:rPr>
                <w:rFonts w:hint="eastAsia" w:ascii="宋体" w:hAnsi="宋体" w:eastAsia="宋体" w:cs="宋体"/>
                <w:b/>
                <w:sz w:val="21"/>
                <w:szCs w:val="21"/>
                <w:lang w:val="en-US" w:eastAsia="zh-CN"/>
              </w:rPr>
              <w:t>14</w:t>
            </w:r>
          </w:p>
        </w:tc>
        <w:tc>
          <w:tcPr>
            <w:tcW w:w="1095" w:type="dxa"/>
            <w:vMerge w:val="restart"/>
            <w:noWrap w:val="0"/>
            <w:vAlign w:val="center"/>
          </w:tcPr>
          <w:p w14:paraId="44ED935E">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酒类</w:t>
            </w:r>
          </w:p>
        </w:tc>
        <w:tc>
          <w:tcPr>
            <w:tcW w:w="1140" w:type="dxa"/>
            <w:noWrap w:val="0"/>
            <w:vAlign w:val="center"/>
          </w:tcPr>
          <w:p w14:paraId="58299C6B">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lang w:eastAsia="zh-CN"/>
              </w:rPr>
              <w:t>蒸馏酒</w:t>
            </w:r>
          </w:p>
        </w:tc>
        <w:tc>
          <w:tcPr>
            <w:tcW w:w="1011" w:type="dxa"/>
            <w:noWrap w:val="0"/>
            <w:vAlign w:val="center"/>
          </w:tcPr>
          <w:p w14:paraId="3FBA6458">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白酒</w:t>
            </w:r>
          </w:p>
        </w:tc>
        <w:tc>
          <w:tcPr>
            <w:tcW w:w="1701" w:type="dxa"/>
            <w:noWrap w:val="0"/>
            <w:vAlign w:val="center"/>
          </w:tcPr>
          <w:p w14:paraId="463879FF">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白酒</w:t>
            </w:r>
            <w:r>
              <w:rPr>
                <w:rFonts w:hint="eastAsia" w:ascii="宋体" w:hAnsi="宋体" w:eastAsia="宋体" w:cs="宋体"/>
                <w:sz w:val="18"/>
                <w:szCs w:val="18"/>
                <w:lang w:eastAsia="zh-CN"/>
              </w:rPr>
              <w:t>、白酒（液态）、白酒（原酒）</w:t>
            </w:r>
          </w:p>
        </w:tc>
        <w:tc>
          <w:tcPr>
            <w:tcW w:w="4819" w:type="dxa"/>
            <w:noWrap w:val="0"/>
            <w:vAlign w:val="center"/>
          </w:tcPr>
          <w:p w14:paraId="52985AF9">
            <w:pPr>
              <w:widowControl/>
              <w:spacing w:line="240" w:lineRule="auto"/>
              <w:ind w:firstLine="0" w:firstLineChars="0"/>
              <w:jc w:val="left"/>
              <w:textAlignment w:val="center"/>
              <w:rPr>
                <w:rFonts w:hint="eastAsia" w:ascii="Times New Roman" w:hAnsi="Times New Roman" w:eastAsia="宋体" w:cs="Times New Roman"/>
                <w:sz w:val="21"/>
                <w:szCs w:val="21"/>
              </w:rPr>
            </w:pPr>
            <w:r>
              <w:rPr>
                <w:rFonts w:hint="eastAsia" w:ascii="宋体" w:hAnsi="宋体" w:eastAsia="宋体" w:cs="宋体"/>
                <w:color w:val="000000"/>
                <w:sz w:val="18"/>
                <w:szCs w:val="18"/>
                <w:u w:val="none"/>
              </w:rPr>
              <w:t>酒精度、甲醇、</w:t>
            </w: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w:t>
            </w:r>
            <w:r>
              <w:rPr>
                <w:rFonts w:hint="eastAsia" w:ascii="宋体" w:hAnsi="宋体" w:eastAsia="宋体" w:cs="宋体"/>
                <w:color w:val="000000"/>
                <w:sz w:val="18"/>
                <w:szCs w:val="18"/>
                <w:u w:val="none"/>
              </w:rPr>
              <w:t>糖精钠（以糖精计）、甜蜜素（以环已基氨基磺酸计）、</w:t>
            </w:r>
            <w:r>
              <w:rPr>
                <w:rFonts w:hint="eastAsia" w:ascii="宋体" w:hAnsi="宋体" w:eastAsia="宋体" w:cs="宋体"/>
                <w:color w:val="000000"/>
                <w:sz w:val="18"/>
                <w:szCs w:val="18"/>
                <w:u w:val="none"/>
                <w:lang w:eastAsia="zh-CN"/>
              </w:rPr>
              <w:t>三氯蔗糖、安赛蜜、氰化物（以</w:t>
            </w:r>
            <w:r>
              <w:rPr>
                <w:rFonts w:hint="eastAsia" w:ascii="宋体" w:hAnsi="宋体" w:eastAsia="宋体" w:cs="宋体"/>
                <w:color w:val="000000"/>
                <w:sz w:val="18"/>
                <w:szCs w:val="18"/>
                <w:u w:val="none"/>
                <w:lang w:val="en-US" w:eastAsia="zh-CN"/>
              </w:rPr>
              <w:t>HCN计</w:t>
            </w:r>
            <w:r>
              <w:rPr>
                <w:rFonts w:hint="eastAsia" w:ascii="宋体" w:hAnsi="宋体" w:eastAsia="宋体" w:cs="宋体"/>
                <w:color w:val="000000"/>
                <w:sz w:val="18"/>
                <w:szCs w:val="18"/>
                <w:u w:val="none"/>
                <w:lang w:eastAsia="zh-CN"/>
              </w:rPr>
              <w:t>）（限薯类检测）</w:t>
            </w:r>
          </w:p>
        </w:tc>
        <w:tc>
          <w:tcPr>
            <w:tcW w:w="669" w:type="dxa"/>
            <w:noWrap w:val="0"/>
            <w:vAlign w:val="center"/>
          </w:tcPr>
          <w:p w14:paraId="1A10B9E0">
            <w:pPr>
              <w:spacing w:line="240" w:lineRule="auto"/>
              <w:ind w:firstLine="0" w:firstLineChars="0"/>
              <w:jc w:val="center"/>
              <w:rPr>
                <w:rFonts w:hint="eastAsia" w:ascii="宋体" w:hAnsi="宋体" w:eastAsia="宋体" w:cs="宋体"/>
                <w:b/>
                <w:sz w:val="18"/>
                <w:szCs w:val="18"/>
                <w:lang w:val="en-US" w:eastAsia="zh-CN"/>
              </w:rPr>
            </w:pPr>
            <w:r>
              <w:rPr>
                <w:rFonts w:hint="eastAsia" w:ascii="宋体" w:hAnsi="宋体" w:eastAsia="宋体" w:cs="宋体"/>
                <w:b/>
                <w:sz w:val="18"/>
                <w:szCs w:val="18"/>
              </w:rPr>
              <w:t>4</w:t>
            </w:r>
          </w:p>
        </w:tc>
        <w:tc>
          <w:tcPr>
            <w:tcW w:w="1316" w:type="dxa"/>
            <w:noWrap w:val="0"/>
            <w:vAlign w:val="center"/>
          </w:tcPr>
          <w:p w14:paraId="7C6AE31B">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restart"/>
            <w:noWrap w:val="0"/>
            <w:vAlign w:val="center"/>
          </w:tcPr>
          <w:p w14:paraId="319FCC9B">
            <w:pPr>
              <w:spacing w:line="240" w:lineRule="auto"/>
              <w:ind w:firstLine="0" w:firstLineChars="0"/>
              <w:jc w:val="center"/>
              <w:textAlignment w:val="center"/>
              <w:rPr>
                <w:rFonts w:hint="eastAsia" w:ascii="Times New Roman" w:hAnsi="Times New Roman" w:eastAsia="宋体" w:cs="Times New Roman"/>
                <w:sz w:val="18"/>
                <w:szCs w:val="18"/>
                <w:lang w:val="en-US" w:eastAsia="zh-CN"/>
              </w:rPr>
            </w:pPr>
            <w:r>
              <w:rPr>
                <w:rFonts w:hint="eastAsia" w:ascii="宋体" w:hAnsi="宋体" w:eastAsia="宋体" w:cs="宋体"/>
                <w:color w:val="000000"/>
                <w:sz w:val="18"/>
                <w:szCs w:val="18"/>
                <w:u w:val="none"/>
                <w:lang w:eastAsia="zh-CN"/>
              </w:rPr>
              <w:t>经营环节、餐饮环节抽取</w:t>
            </w:r>
          </w:p>
        </w:tc>
      </w:tr>
      <w:tr w14:paraId="6250B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90" w:type="dxa"/>
            <w:vMerge w:val="continue"/>
            <w:noWrap w:val="0"/>
            <w:vAlign w:val="center"/>
          </w:tcPr>
          <w:p w14:paraId="1FB4CF5A">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69A714E7">
            <w:pPr>
              <w:spacing w:line="240" w:lineRule="auto"/>
              <w:ind w:firstLine="0" w:firstLineChars="0"/>
              <w:jc w:val="center"/>
              <w:textAlignment w:val="center"/>
              <w:rPr>
                <w:rFonts w:hint="eastAsia" w:ascii="宋体" w:hAnsi="宋体" w:eastAsia="宋体" w:cs="宋体"/>
                <w:kern w:val="0"/>
                <w:sz w:val="18"/>
                <w:szCs w:val="18"/>
              </w:rPr>
            </w:pPr>
          </w:p>
        </w:tc>
        <w:tc>
          <w:tcPr>
            <w:tcW w:w="1140" w:type="dxa"/>
            <w:noWrap w:val="0"/>
            <w:vAlign w:val="center"/>
          </w:tcPr>
          <w:p w14:paraId="04F3A7C7">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啤酒</w:t>
            </w:r>
          </w:p>
        </w:tc>
        <w:tc>
          <w:tcPr>
            <w:tcW w:w="1011" w:type="dxa"/>
            <w:noWrap w:val="0"/>
            <w:vAlign w:val="center"/>
          </w:tcPr>
          <w:p w14:paraId="3C86C17D">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啤酒</w:t>
            </w:r>
          </w:p>
        </w:tc>
        <w:tc>
          <w:tcPr>
            <w:tcW w:w="1701" w:type="dxa"/>
            <w:noWrap w:val="0"/>
            <w:vAlign w:val="center"/>
          </w:tcPr>
          <w:p w14:paraId="3C4F6C29">
            <w:pPr>
              <w:spacing w:line="240" w:lineRule="auto"/>
              <w:ind w:firstLine="0" w:firstLineChars="0"/>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啤酒</w:t>
            </w:r>
          </w:p>
        </w:tc>
        <w:tc>
          <w:tcPr>
            <w:tcW w:w="4819" w:type="dxa"/>
            <w:noWrap w:val="0"/>
            <w:vAlign w:val="center"/>
          </w:tcPr>
          <w:p w14:paraId="423665F1">
            <w:pPr>
              <w:widowControl/>
              <w:spacing w:line="240" w:lineRule="auto"/>
              <w:ind w:firstLine="0" w:firstLineChars="0"/>
              <w:jc w:val="left"/>
              <w:textAlignment w:val="center"/>
              <w:rPr>
                <w:rFonts w:hint="eastAsia" w:ascii="Times New Roman" w:hAnsi="Times New Roman" w:eastAsia="宋体" w:cs="Times New Roman"/>
                <w:sz w:val="18"/>
                <w:szCs w:val="18"/>
                <w:lang w:eastAsia="zh-CN"/>
              </w:rPr>
            </w:pPr>
            <w:r>
              <w:rPr>
                <w:rFonts w:hint="eastAsia" w:ascii="宋体" w:hAnsi="宋体" w:eastAsia="宋体" w:cs="宋体"/>
                <w:color w:val="000000"/>
                <w:sz w:val="18"/>
                <w:szCs w:val="18"/>
                <w:u w:val="none"/>
                <w:lang w:eastAsia="zh-CN"/>
              </w:rPr>
              <w:t>酒精度、甲醛</w:t>
            </w:r>
          </w:p>
        </w:tc>
        <w:tc>
          <w:tcPr>
            <w:tcW w:w="669" w:type="dxa"/>
            <w:noWrap w:val="0"/>
            <w:vAlign w:val="center"/>
          </w:tcPr>
          <w:p w14:paraId="67ACF76E">
            <w:pPr>
              <w:spacing w:line="240" w:lineRule="auto"/>
              <w:ind w:firstLine="0" w:firstLineChars="0"/>
              <w:jc w:val="center"/>
              <w:rPr>
                <w:rFonts w:hint="eastAsia" w:ascii="宋体" w:hAnsi="宋体" w:eastAsia="宋体" w:cs="宋体"/>
                <w:b/>
                <w:sz w:val="18"/>
                <w:szCs w:val="18"/>
                <w:lang w:val="en-US" w:eastAsia="zh-CN"/>
              </w:rPr>
            </w:pPr>
            <w:r>
              <w:rPr>
                <w:rFonts w:hint="eastAsia" w:ascii="宋体" w:hAnsi="宋体" w:eastAsia="宋体" w:cs="宋体"/>
                <w:b/>
                <w:sz w:val="18"/>
                <w:szCs w:val="18"/>
                <w:lang w:val="en-US" w:eastAsia="zh-CN"/>
              </w:rPr>
              <w:t>6</w:t>
            </w:r>
          </w:p>
        </w:tc>
        <w:tc>
          <w:tcPr>
            <w:tcW w:w="1316" w:type="dxa"/>
            <w:noWrap w:val="0"/>
            <w:vAlign w:val="center"/>
          </w:tcPr>
          <w:p w14:paraId="71F0AD1A">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71DD2588">
            <w:pPr>
              <w:spacing w:line="240" w:lineRule="auto"/>
              <w:ind w:firstLine="0" w:firstLineChars="0"/>
              <w:jc w:val="center"/>
              <w:textAlignment w:val="center"/>
              <w:rPr>
                <w:rFonts w:hint="eastAsia" w:ascii="Times New Roman" w:hAnsi="Times New Roman" w:eastAsia="宋体" w:cs="Times New Roman"/>
                <w:sz w:val="18"/>
                <w:szCs w:val="18"/>
                <w:lang w:eastAsia="zh-CN"/>
              </w:rPr>
            </w:pPr>
          </w:p>
        </w:tc>
      </w:tr>
      <w:tr w14:paraId="27C1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690" w:type="dxa"/>
            <w:vMerge w:val="continue"/>
            <w:noWrap w:val="0"/>
            <w:vAlign w:val="center"/>
          </w:tcPr>
          <w:p w14:paraId="65B72D47">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432D183A">
            <w:pPr>
              <w:spacing w:line="240" w:lineRule="auto"/>
              <w:ind w:firstLine="0" w:firstLineChars="0"/>
              <w:jc w:val="center"/>
              <w:textAlignment w:val="center"/>
              <w:rPr>
                <w:rFonts w:hint="eastAsia" w:ascii="宋体" w:hAnsi="宋体" w:eastAsia="宋体" w:cs="宋体"/>
                <w:kern w:val="0"/>
                <w:sz w:val="18"/>
                <w:szCs w:val="18"/>
              </w:rPr>
            </w:pPr>
          </w:p>
        </w:tc>
        <w:tc>
          <w:tcPr>
            <w:tcW w:w="1140" w:type="dxa"/>
            <w:noWrap w:val="0"/>
            <w:vAlign w:val="center"/>
          </w:tcPr>
          <w:p w14:paraId="571E4648">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其他发酵酒</w:t>
            </w:r>
          </w:p>
        </w:tc>
        <w:tc>
          <w:tcPr>
            <w:tcW w:w="1011" w:type="dxa"/>
            <w:noWrap w:val="0"/>
            <w:vAlign w:val="center"/>
          </w:tcPr>
          <w:p w14:paraId="2632C590">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其他发酵酒</w:t>
            </w:r>
          </w:p>
        </w:tc>
        <w:tc>
          <w:tcPr>
            <w:tcW w:w="1701" w:type="dxa"/>
            <w:noWrap w:val="0"/>
            <w:vAlign w:val="center"/>
          </w:tcPr>
          <w:p w14:paraId="79C9C064">
            <w:pPr>
              <w:spacing w:line="240" w:lineRule="auto"/>
              <w:ind w:firstLine="0" w:firstLineChars="0"/>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清酒、醪糟</w:t>
            </w:r>
          </w:p>
        </w:tc>
        <w:tc>
          <w:tcPr>
            <w:tcW w:w="4819" w:type="dxa"/>
            <w:noWrap w:val="0"/>
            <w:vAlign w:val="center"/>
          </w:tcPr>
          <w:p w14:paraId="4F118A82">
            <w:pPr>
              <w:widowControl/>
              <w:spacing w:line="240" w:lineRule="auto"/>
              <w:ind w:firstLine="0" w:firstLineChars="0"/>
              <w:jc w:val="left"/>
              <w:textAlignment w:val="center"/>
              <w:rPr>
                <w:rFonts w:hint="eastAsia" w:ascii="Times New Roman" w:hAnsi="Times New Roman" w:eastAsia="宋体" w:cs="Times New Roman"/>
                <w:sz w:val="18"/>
                <w:szCs w:val="18"/>
                <w:lang w:eastAsia="zh-CN"/>
              </w:rPr>
            </w:pPr>
            <w:r>
              <w:rPr>
                <w:rFonts w:hint="eastAsia" w:ascii="宋体" w:hAnsi="宋体" w:eastAsia="宋体" w:cs="宋体"/>
                <w:color w:val="000000"/>
                <w:sz w:val="18"/>
                <w:szCs w:val="18"/>
                <w:u w:val="none"/>
                <w:lang w:eastAsia="zh-CN"/>
              </w:rPr>
              <w:t>酒精度（产品明示标准和质量要求）、</w:t>
            </w:r>
            <w:r>
              <w:rPr>
                <w:rFonts w:hint="eastAsia" w:ascii="宋体" w:hAnsi="宋体" w:eastAsia="宋体" w:cs="宋体"/>
                <w:color w:val="000000"/>
                <w:sz w:val="20"/>
                <w:szCs w:val="21"/>
                <w:u w:val="none"/>
              </w:rPr>
              <w:t>苯甲酸及其钠盐（以苯甲酸计）、山梨酸及其钾盐（以山梨酸计）、糖精钠（以糖精计）、甜蜜素（以环己基氨基磺酸计）、</w:t>
            </w:r>
            <w:r>
              <w:rPr>
                <w:rFonts w:hint="eastAsia" w:ascii="宋体" w:hAnsi="宋体" w:eastAsia="宋体" w:cs="宋体"/>
                <w:color w:val="000000"/>
                <w:sz w:val="20"/>
                <w:szCs w:val="21"/>
                <w:u w:val="none"/>
                <w:lang w:eastAsia="zh-CN"/>
              </w:rPr>
              <w:t>安赛蜜</w:t>
            </w:r>
          </w:p>
        </w:tc>
        <w:tc>
          <w:tcPr>
            <w:tcW w:w="669" w:type="dxa"/>
            <w:noWrap w:val="0"/>
            <w:vAlign w:val="center"/>
          </w:tcPr>
          <w:p w14:paraId="39DE2BCA">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4</w:t>
            </w:r>
          </w:p>
        </w:tc>
        <w:tc>
          <w:tcPr>
            <w:tcW w:w="1316" w:type="dxa"/>
            <w:noWrap w:val="0"/>
            <w:vAlign w:val="center"/>
          </w:tcPr>
          <w:p w14:paraId="48635F62">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5ED65211">
            <w:pPr>
              <w:spacing w:line="240" w:lineRule="auto"/>
              <w:ind w:firstLine="0" w:firstLineChars="0"/>
              <w:jc w:val="center"/>
              <w:textAlignment w:val="center"/>
              <w:rPr>
                <w:rFonts w:hint="eastAsia" w:ascii="Times New Roman" w:hAnsi="Times New Roman" w:eastAsia="宋体" w:cs="Times New Roman"/>
                <w:sz w:val="18"/>
                <w:szCs w:val="18"/>
                <w:lang w:eastAsia="zh-CN"/>
              </w:rPr>
            </w:pPr>
          </w:p>
        </w:tc>
      </w:tr>
      <w:tr w14:paraId="7B321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trPr>
        <w:tc>
          <w:tcPr>
            <w:tcW w:w="690" w:type="dxa"/>
            <w:noWrap w:val="0"/>
            <w:vAlign w:val="center"/>
          </w:tcPr>
          <w:p w14:paraId="330BA02A">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15</w:t>
            </w:r>
          </w:p>
        </w:tc>
        <w:tc>
          <w:tcPr>
            <w:tcW w:w="1095" w:type="dxa"/>
            <w:noWrap w:val="0"/>
            <w:vAlign w:val="center"/>
          </w:tcPr>
          <w:p w14:paraId="011DBC90">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冷冻饮品</w:t>
            </w:r>
          </w:p>
        </w:tc>
        <w:tc>
          <w:tcPr>
            <w:tcW w:w="1140" w:type="dxa"/>
            <w:noWrap w:val="0"/>
            <w:vAlign w:val="center"/>
          </w:tcPr>
          <w:p w14:paraId="1FB1B4FD">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冷冻饮品</w:t>
            </w:r>
          </w:p>
        </w:tc>
        <w:tc>
          <w:tcPr>
            <w:tcW w:w="1011" w:type="dxa"/>
            <w:noWrap w:val="0"/>
            <w:vAlign w:val="center"/>
          </w:tcPr>
          <w:p w14:paraId="67CB60D7">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冷冻饮品</w:t>
            </w:r>
          </w:p>
        </w:tc>
        <w:tc>
          <w:tcPr>
            <w:tcW w:w="1701" w:type="dxa"/>
            <w:noWrap w:val="0"/>
            <w:vAlign w:val="center"/>
          </w:tcPr>
          <w:p w14:paraId="101E60B6">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冰淇淋、雪糕、雪泥、冰棍等</w:t>
            </w:r>
          </w:p>
        </w:tc>
        <w:tc>
          <w:tcPr>
            <w:tcW w:w="4819" w:type="dxa"/>
            <w:noWrap w:val="0"/>
            <w:vAlign w:val="center"/>
          </w:tcPr>
          <w:p w14:paraId="1EB181F8">
            <w:pPr>
              <w:spacing w:line="240" w:lineRule="auto"/>
              <w:ind w:firstLine="0" w:firstLineChars="0"/>
              <w:jc w:val="left"/>
              <w:textAlignment w:val="center"/>
              <w:rPr>
                <w:rFonts w:hint="eastAsia" w:ascii="Times New Roman" w:hAnsi="Times New Roman" w:eastAsia="宋体" w:cs="Times New Roman"/>
                <w:sz w:val="21"/>
                <w:szCs w:val="21"/>
              </w:rPr>
            </w:pPr>
            <w:r>
              <w:rPr>
                <w:rFonts w:hint="eastAsia" w:ascii="宋体" w:hAnsi="宋体" w:eastAsia="宋体" w:cs="宋体"/>
                <w:color w:val="000000"/>
                <w:sz w:val="18"/>
                <w:szCs w:val="18"/>
                <w:u w:val="none"/>
              </w:rPr>
              <w:t>蛋白质、糖精钠（以糖精计）、</w:t>
            </w:r>
            <w:r>
              <w:rPr>
                <w:rFonts w:hint="eastAsia" w:ascii="宋体" w:hAnsi="宋体" w:eastAsia="宋体" w:cs="宋体"/>
                <w:sz w:val="18"/>
                <w:szCs w:val="18"/>
              </w:rPr>
              <w:t>安赛蜜、三氯蔗糖、甜蜜素（以环己基氨基磺酸计）、</w:t>
            </w:r>
            <w:r>
              <w:rPr>
                <w:rFonts w:hint="eastAsia" w:ascii="宋体" w:hAnsi="宋体" w:eastAsia="宋体" w:cs="宋体"/>
                <w:sz w:val="18"/>
                <w:szCs w:val="18"/>
                <w:lang w:eastAsia="zh-CN"/>
              </w:rPr>
              <w:t>合成着色剂（视色泽而定）、相同色泽着色剂混合使用时各自用量占其最大使用量的比例之和、</w:t>
            </w:r>
            <w:r>
              <w:rPr>
                <w:rFonts w:hint="eastAsia" w:ascii="宋体" w:hAnsi="宋体" w:eastAsia="宋体" w:cs="宋体"/>
                <w:sz w:val="18"/>
                <w:szCs w:val="18"/>
              </w:rPr>
              <w:t>菌落总数、大肠菌群、沙门氏菌、单核细胞增生李斯特氏菌</w:t>
            </w:r>
          </w:p>
        </w:tc>
        <w:tc>
          <w:tcPr>
            <w:tcW w:w="669" w:type="dxa"/>
            <w:noWrap w:val="0"/>
            <w:vAlign w:val="center"/>
          </w:tcPr>
          <w:p w14:paraId="394C197C">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10</w:t>
            </w:r>
          </w:p>
        </w:tc>
        <w:tc>
          <w:tcPr>
            <w:tcW w:w="1316" w:type="dxa"/>
            <w:noWrap w:val="0"/>
            <w:vAlign w:val="center"/>
          </w:tcPr>
          <w:p w14:paraId="2D881EE9">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4E08F63A">
            <w:pPr>
              <w:spacing w:line="240" w:lineRule="auto"/>
              <w:ind w:firstLine="0" w:firstLineChars="0"/>
              <w:jc w:val="center"/>
              <w:textAlignment w:val="center"/>
              <w:rPr>
                <w:rFonts w:hint="eastAsia" w:ascii="Times New Roman" w:hAnsi="Times New Roman" w:eastAsia="宋体" w:cs="Times New Roman"/>
                <w:sz w:val="18"/>
                <w:szCs w:val="18"/>
                <w:lang w:val="en-US" w:eastAsia="zh-CN"/>
              </w:rPr>
            </w:pPr>
            <w:r>
              <w:rPr>
                <w:rFonts w:hint="eastAsia" w:ascii="宋体" w:hAnsi="宋体" w:eastAsia="宋体" w:cs="宋体"/>
                <w:color w:val="000000"/>
                <w:sz w:val="18"/>
                <w:szCs w:val="18"/>
                <w:u w:val="none"/>
                <w:lang w:eastAsia="zh-CN"/>
              </w:rPr>
              <w:t>经营</w:t>
            </w:r>
            <w:r>
              <w:rPr>
                <w:rFonts w:hint="eastAsia" w:ascii="宋体" w:hAnsi="宋体" w:eastAsia="宋体" w:cs="宋体"/>
                <w:color w:val="000000"/>
                <w:sz w:val="18"/>
                <w:szCs w:val="18"/>
                <w:u w:val="none"/>
              </w:rPr>
              <w:t>环节</w:t>
            </w:r>
          </w:p>
        </w:tc>
      </w:tr>
      <w:tr w14:paraId="579C5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4" w:hRule="atLeast"/>
        </w:trPr>
        <w:tc>
          <w:tcPr>
            <w:tcW w:w="690" w:type="dxa"/>
            <w:noWrap w:val="0"/>
            <w:vAlign w:val="center"/>
          </w:tcPr>
          <w:p w14:paraId="00DDE61D">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16</w:t>
            </w:r>
          </w:p>
        </w:tc>
        <w:tc>
          <w:tcPr>
            <w:tcW w:w="1095" w:type="dxa"/>
            <w:noWrap w:val="0"/>
            <w:vAlign w:val="center"/>
          </w:tcPr>
          <w:p w14:paraId="20858165">
            <w:pPr>
              <w:spacing w:line="240" w:lineRule="auto"/>
              <w:ind w:firstLine="0" w:firstLineChars="0"/>
              <w:jc w:val="center"/>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罐头</w:t>
            </w:r>
          </w:p>
        </w:tc>
        <w:tc>
          <w:tcPr>
            <w:tcW w:w="1140" w:type="dxa"/>
            <w:noWrap w:val="0"/>
            <w:vAlign w:val="center"/>
          </w:tcPr>
          <w:p w14:paraId="046807C1">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罐头</w:t>
            </w:r>
          </w:p>
        </w:tc>
        <w:tc>
          <w:tcPr>
            <w:tcW w:w="1011" w:type="dxa"/>
            <w:noWrap w:val="0"/>
            <w:vAlign w:val="center"/>
          </w:tcPr>
          <w:p w14:paraId="6F26C90E">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水果类罐头</w:t>
            </w:r>
          </w:p>
        </w:tc>
        <w:tc>
          <w:tcPr>
            <w:tcW w:w="1701" w:type="dxa"/>
            <w:noWrap w:val="0"/>
            <w:vAlign w:val="center"/>
          </w:tcPr>
          <w:p w14:paraId="30687FC9">
            <w:pPr>
              <w:spacing w:line="240" w:lineRule="auto"/>
              <w:ind w:firstLine="0" w:firstLineChars="0"/>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水果类罐头</w:t>
            </w:r>
          </w:p>
        </w:tc>
        <w:tc>
          <w:tcPr>
            <w:tcW w:w="4819" w:type="dxa"/>
            <w:noWrap w:val="0"/>
            <w:vAlign w:val="center"/>
          </w:tcPr>
          <w:p w14:paraId="54CAFCE0">
            <w:pPr>
              <w:spacing w:line="240" w:lineRule="auto"/>
              <w:ind w:firstLine="0" w:firstLineChars="0"/>
              <w:jc w:val="left"/>
              <w:textAlignment w:val="center"/>
              <w:rPr>
                <w:rFonts w:hint="eastAsia" w:ascii="Times New Roman" w:hAnsi="Times New Roman" w:eastAsia="宋体" w:cs="Times New Roman"/>
                <w:sz w:val="18"/>
                <w:szCs w:val="18"/>
                <w:lang w:eastAsia="zh-CN"/>
              </w:rPr>
            </w:pP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、合成着色剂（柠檬黄、日落黄、苋菜红、胭脂红、赤藓红、诱惑红、亮蓝，视色泽而定）、</w:t>
            </w:r>
            <w:r>
              <w:rPr>
                <w:rFonts w:hint="eastAsia" w:ascii="宋体" w:hAnsi="宋体" w:eastAsia="宋体" w:cs="宋体"/>
                <w:sz w:val="18"/>
                <w:szCs w:val="18"/>
              </w:rPr>
              <w:t>脱氢乙酸及其钠盐（以脱氢乙酸计）、</w:t>
            </w:r>
            <w:r>
              <w:rPr>
                <w:rFonts w:hint="eastAsia" w:ascii="宋体" w:hAnsi="宋体" w:eastAsia="宋体" w:cs="宋体"/>
                <w:color w:val="000000"/>
                <w:sz w:val="20"/>
                <w:szCs w:val="21"/>
                <w:u w:val="none"/>
              </w:rPr>
              <w:t>苯甲酸及其钠盐（以苯甲酸计）、山梨酸及其钾盐（以山梨酸计）、</w:t>
            </w:r>
            <w:r>
              <w:rPr>
                <w:rFonts w:hint="eastAsia" w:ascii="宋体" w:hAnsi="宋体" w:eastAsia="宋体" w:cs="宋体"/>
                <w:color w:val="000000"/>
                <w:sz w:val="18"/>
                <w:szCs w:val="18"/>
                <w:u w:val="none"/>
              </w:rPr>
              <w:t>糖精钠（以糖精计）、甜蜜素（以环已基氨基磺酸计）、</w:t>
            </w:r>
            <w:r>
              <w:rPr>
                <w:rFonts w:hint="eastAsia" w:ascii="宋体" w:hAnsi="宋体" w:eastAsia="宋体" w:cs="宋体"/>
                <w:color w:val="000000"/>
                <w:sz w:val="18"/>
                <w:szCs w:val="18"/>
                <w:u w:val="none"/>
                <w:lang w:eastAsia="zh-CN"/>
              </w:rPr>
              <w:t>二氧化硫残留量、商业无菌</w:t>
            </w:r>
          </w:p>
        </w:tc>
        <w:tc>
          <w:tcPr>
            <w:tcW w:w="669" w:type="dxa"/>
            <w:noWrap w:val="0"/>
            <w:vAlign w:val="center"/>
          </w:tcPr>
          <w:p w14:paraId="08DA281E">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12</w:t>
            </w:r>
          </w:p>
        </w:tc>
        <w:tc>
          <w:tcPr>
            <w:tcW w:w="1316" w:type="dxa"/>
            <w:noWrap w:val="0"/>
            <w:vAlign w:val="center"/>
          </w:tcPr>
          <w:p w14:paraId="6011F7FD">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1C837000">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eastAsia="zh-CN"/>
              </w:rPr>
              <w:t>经营</w:t>
            </w:r>
            <w:r>
              <w:rPr>
                <w:rFonts w:hint="eastAsia" w:ascii="宋体" w:hAnsi="宋体" w:eastAsia="宋体" w:cs="宋体"/>
                <w:color w:val="000000"/>
                <w:sz w:val="18"/>
                <w:szCs w:val="18"/>
                <w:u w:val="none"/>
              </w:rPr>
              <w:t>环节</w:t>
            </w:r>
          </w:p>
        </w:tc>
      </w:tr>
      <w:tr w14:paraId="4C003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7" w:hRule="atLeast"/>
        </w:trPr>
        <w:tc>
          <w:tcPr>
            <w:tcW w:w="690" w:type="dxa"/>
            <w:vMerge w:val="restart"/>
            <w:noWrap w:val="0"/>
            <w:vAlign w:val="center"/>
          </w:tcPr>
          <w:p w14:paraId="209BFE5B">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17</w:t>
            </w:r>
          </w:p>
        </w:tc>
        <w:tc>
          <w:tcPr>
            <w:tcW w:w="1095" w:type="dxa"/>
            <w:vMerge w:val="restart"/>
            <w:noWrap w:val="0"/>
            <w:vAlign w:val="center"/>
          </w:tcPr>
          <w:p w14:paraId="68645F96">
            <w:pPr>
              <w:spacing w:line="240" w:lineRule="auto"/>
              <w:ind w:firstLine="0" w:firstLineChars="0"/>
              <w:jc w:val="center"/>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水果制品</w:t>
            </w:r>
          </w:p>
        </w:tc>
        <w:tc>
          <w:tcPr>
            <w:tcW w:w="1140" w:type="dxa"/>
            <w:noWrap w:val="0"/>
            <w:vAlign w:val="center"/>
          </w:tcPr>
          <w:p w14:paraId="2FC4D776">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蜜饯</w:t>
            </w:r>
          </w:p>
        </w:tc>
        <w:tc>
          <w:tcPr>
            <w:tcW w:w="1011" w:type="dxa"/>
            <w:noWrap w:val="0"/>
            <w:vAlign w:val="center"/>
          </w:tcPr>
          <w:p w14:paraId="57ECB6C4">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蜜饯</w:t>
            </w:r>
          </w:p>
        </w:tc>
        <w:tc>
          <w:tcPr>
            <w:tcW w:w="1701" w:type="dxa"/>
            <w:noWrap w:val="0"/>
            <w:vAlign w:val="center"/>
          </w:tcPr>
          <w:p w14:paraId="37C4CB54">
            <w:pPr>
              <w:spacing w:line="240" w:lineRule="auto"/>
              <w:ind w:firstLine="0" w:firstLineChars="0"/>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蜜饯</w:t>
            </w:r>
          </w:p>
        </w:tc>
        <w:tc>
          <w:tcPr>
            <w:tcW w:w="4819" w:type="dxa"/>
            <w:noWrap w:val="0"/>
            <w:vAlign w:val="center"/>
          </w:tcPr>
          <w:p w14:paraId="0E4C7609">
            <w:pPr>
              <w:spacing w:line="240" w:lineRule="auto"/>
              <w:ind w:firstLine="0" w:firstLineChars="0"/>
              <w:jc w:val="left"/>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w:t>
            </w:r>
            <w:r>
              <w:rPr>
                <w:rFonts w:hint="eastAsia" w:ascii="宋体" w:hAnsi="宋体" w:eastAsia="宋体" w:cs="宋体"/>
                <w:color w:val="000000"/>
                <w:sz w:val="20"/>
                <w:szCs w:val="21"/>
                <w:u w:val="none"/>
              </w:rPr>
              <w:t>苯甲酸及其钠盐（以苯甲酸计）、山梨酸及其钾盐（以山梨酸计）、</w:t>
            </w:r>
            <w:r>
              <w:rPr>
                <w:rFonts w:hint="eastAsia" w:ascii="宋体" w:hAnsi="宋体" w:eastAsia="宋体" w:cs="宋体"/>
                <w:sz w:val="18"/>
                <w:szCs w:val="18"/>
              </w:rPr>
              <w:t>脱氢乙酸及其钠盐（以脱氢乙酸计）、</w:t>
            </w:r>
            <w:r>
              <w:rPr>
                <w:rFonts w:hint="eastAsia" w:ascii="宋体" w:hAnsi="宋体" w:eastAsia="宋体" w:cs="宋体"/>
                <w:color w:val="000000"/>
                <w:sz w:val="20"/>
                <w:szCs w:val="21"/>
                <w:u w:val="none"/>
              </w:rPr>
              <w:t>防腐剂混合使用时各自用量占其最大使用量比例之和、糖精钠（以糖精计）、甜蜜素（以环己基氨基磺酸计）、</w:t>
            </w:r>
            <w:r>
              <w:rPr>
                <w:rFonts w:hint="eastAsia" w:ascii="宋体" w:hAnsi="宋体" w:eastAsia="宋体" w:cs="宋体"/>
                <w:color w:val="000000"/>
                <w:sz w:val="20"/>
                <w:szCs w:val="21"/>
                <w:u w:val="none"/>
                <w:lang w:eastAsia="zh-CN"/>
              </w:rPr>
              <w:t>安赛蜜、二氧化硫残留量、合成着色剂（视色泽而定）、</w:t>
            </w:r>
            <w:r>
              <w:rPr>
                <w:rFonts w:hint="eastAsia" w:ascii="宋体" w:hAnsi="宋体" w:eastAsia="宋体" w:cs="宋体"/>
                <w:sz w:val="18"/>
                <w:szCs w:val="18"/>
                <w:lang w:eastAsia="zh-CN"/>
              </w:rPr>
              <w:t>相同色泽着色剂混合使用时各自用量占其最大使用量的比例之和、乙二胺四乙酸二钠（限果铺类产品检测）、菌落总数、大肠菌群</w:t>
            </w:r>
          </w:p>
        </w:tc>
        <w:tc>
          <w:tcPr>
            <w:tcW w:w="669" w:type="dxa"/>
            <w:noWrap w:val="0"/>
            <w:vAlign w:val="center"/>
          </w:tcPr>
          <w:p w14:paraId="30A6465A">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8</w:t>
            </w:r>
          </w:p>
        </w:tc>
        <w:tc>
          <w:tcPr>
            <w:tcW w:w="1316" w:type="dxa"/>
            <w:noWrap w:val="0"/>
            <w:vAlign w:val="center"/>
          </w:tcPr>
          <w:p w14:paraId="2A0DC148">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018ADC2B">
            <w:pPr>
              <w:spacing w:line="240" w:lineRule="auto"/>
              <w:ind w:firstLine="0" w:firstLineChars="0"/>
              <w:jc w:val="center"/>
              <w:textAlignment w:val="center"/>
              <w:rPr>
                <w:rFonts w:hint="eastAsia" w:ascii="Times New Roman" w:hAnsi="Times New Roman" w:eastAsia="宋体" w:cs="Times New Roman"/>
                <w:sz w:val="18"/>
                <w:szCs w:val="18"/>
                <w:lang w:eastAsia="zh-CN"/>
              </w:rPr>
            </w:pPr>
            <w:r>
              <w:rPr>
                <w:rFonts w:hint="eastAsia" w:ascii="宋体" w:hAnsi="宋体" w:eastAsia="宋体" w:cs="宋体"/>
                <w:color w:val="000000"/>
                <w:sz w:val="18"/>
                <w:szCs w:val="18"/>
                <w:u w:val="none"/>
                <w:lang w:eastAsia="zh-CN"/>
              </w:rPr>
              <w:t>经营</w:t>
            </w:r>
            <w:r>
              <w:rPr>
                <w:rFonts w:hint="eastAsia" w:ascii="宋体" w:hAnsi="宋体" w:eastAsia="宋体" w:cs="宋体"/>
                <w:color w:val="000000"/>
                <w:sz w:val="18"/>
                <w:szCs w:val="18"/>
                <w:u w:val="none"/>
              </w:rPr>
              <w:t>环节</w:t>
            </w:r>
          </w:p>
        </w:tc>
      </w:tr>
      <w:tr w14:paraId="2E80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690" w:type="dxa"/>
            <w:vMerge w:val="continue"/>
            <w:noWrap w:val="0"/>
            <w:vAlign w:val="center"/>
          </w:tcPr>
          <w:p w14:paraId="59C8BC01">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1D598CA4">
            <w:pPr>
              <w:spacing w:line="240" w:lineRule="auto"/>
              <w:ind w:firstLine="0" w:firstLineChars="0"/>
              <w:jc w:val="center"/>
              <w:textAlignment w:val="center"/>
              <w:rPr>
                <w:rFonts w:hint="eastAsia" w:ascii="宋体" w:hAnsi="宋体" w:eastAsia="宋体" w:cs="宋体"/>
                <w:kern w:val="0"/>
                <w:sz w:val="18"/>
                <w:szCs w:val="18"/>
                <w:lang w:eastAsia="zh-CN"/>
              </w:rPr>
            </w:pPr>
          </w:p>
        </w:tc>
        <w:tc>
          <w:tcPr>
            <w:tcW w:w="1140" w:type="dxa"/>
            <w:noWrap w:val="0"/>
            <w:vAlign w:val="center"/>
          </w:tcPr>
          <w:p w14:paraId="7F1333EC">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果酱</w:t>
            </w:r>
          </w:p>
        </w:tc>
        <w:tc>
          <w:tcPr>
            <w:tcW w:w="1011" w:type="dxa"/>
            <w:noWrap w:val="0"/>
            <w:vAlign w:val="center"/>
          </w:tcPr>
          <w:p w14:paraId="00A105ED">
            <w:pPr>
              <w:spacing w:line="240" w:lineRule="auto"/>
              <w:ind w:firstLine="0" w:firstLineChars="0"/>
              <w:jc w:val="center"/>
              <w:textAlignment w:val="center"/>
              <w:rPr>
                <w:rFonts w:hint="eastAsia" w:ascii="宋体" w:hAnsi="宋体" w:eastAsia="宋体" w:cs="宋体"/>
                <w:sz w:val="18"/>
                <w:szCs w:val="18"/>
                <w:lang w:eastAsia="zh-CN"/>
              </w:rPr>
            </w:pPr>
            <w:r>
              <w:rPr>
                <w:rFonts w:hint="eastAsia" w:ascii="宋体" w:hAnsi="宋体" w:eastAsia="宋体" w:cs="宋体"/>
                <w:sz w:val="18"/>
                <w:szCs w:val="18"/>
                <w:lang w:eastAsia="zh-CN"/>
              </w:rPr>
              <w:t>果酱</w:t>
            </w:r>
          </w:p>
        </w:tc>
        <w:tc>
          <w:tcPr>
            <w:tcW w:w="1701" w:type="dxa"/>
            <w:noWrap w:val="0"/>
            <w:vAlign w:val="center"/>
          </w:tcPr>
          <w:p w14:paraId="474B43F7">
            <w:pPr>
              <w:spacing w:line="240" w:lineRule="auto"/>
              <w:ind w:firstLine="0" w:firstLineChars="0"/>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果酱</w:t>
            </w:r>
          </w:p>
        </w:tc>
        <w:tc>
          <w:tcPr>
            <w:tcW w:w="4819" w:type="dxa"/>
            <w:noWrap w:val="0"/>
            <w:vAlign w:val="center"/>
          </w:tcPr>
          <w:p w14:paraId="543CCB64">
            <w:pPr>
              <w:spacing w:line="240" w:lineRule="auto"/>
              <w:ind w:firstLine="0" w:firstLineChars="0"/>
              <w:jc w:val="left"/>
              <w:textAlignment w:val="center"/>
              <w:rPr>
                <w:rFonts w:hint="eastAsia" w:ascii="宋体" w:hAnsi="宋体" w:eastAsia="宋体" w:cs="宋体"/>
                <w:kern w:val="0"/>
                <w:sz w:val="18"/>
                <w:szCs w:val="18"/>
              </w:rPr>
            </w:pPr>
            <w:r>
              <w:rPr>
                <w:rFonts w:hint="eastAsia" w:ascii="宋体" w:hAnsi="宋体" w:eastAsia="宋体" w:cs="宋体"/>
                <w:sz w:val="18"/>
                <w:szCs w:val="18"/>
              </w:rPr>
              <w:t>脱氢乙酸及其钠盐（以脱氢乙酸计）、</w:t>
            </w:r>
            <w:r>
              <w:rPr>
                <w:rFonts w:hint="eastAsia" w:ascii="宋体" w:hAnsi="宋体" w:eastAsia="宋体" w:cs="宋体"/>
                <w:color w:val="000000"/>
                <w:sz w:val="20"/>
                <w:szCs w:val="21"/>
                <w:u w:val="none"/>
                <w:lang w:eastAsia="zh-CN"/>
              </w:rPr>
              <w:t>二氧化硫残留量、菌落总数、大肠菌群、霉菌、商业无菌</w:t>
            </w:r>
          </w:p>
        </w:tc>
        <w:tc>
          <w:tcPr>
            <w:tcW w:w="669" w:type="dxa"/>
            <w:noWrap w:val="0"/>
            <w:vAlign w:val="center"/>
          </w:tcPr>
          <w:p w14:paraId="4B384AD3">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4</w:t>
            </w:r>
          </w:p>
        </w:tc>
        <w:tc>
          <w:tcPr>
            <w:tcW w:w="1316" w:type="dxa"/>
            <w:noWrap w:val="0"/>
            <w:vAlign w:val="center"/>
          </w:tcPr>
          <w:p w14:paraId="4676E6F0">
            <w:pPr>
              <w:spacing w:line="240" w:lineRule="auto"/>
              <w:ind w:left="0" w:leftChars="0"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3D87958C">
            <w:pPr>
              <w:spacing w:line="240" w:lineRule="auto"/>
              <w:ind w:firstLine="0" w:firstLineChars="0"/>
              <w:jc w:val="center"/>
              <w:textAlignment w:val="center"/>
              <w:rPr>
                <w:rFonts w:hint="eastAsia" w:ascii="Times New Roman" w:hAnsi="Times New Roman" w:eastAsia="宋体" w:cs="Times New Roman"/>
                <w:sz w:val="18"/>
                <w:szCs w:val="18"/>
                <w:lang w:eastAsia="zh-CN"/>
              </w:rPr>
            </w:pPr>
            <w:r>
              <w:rPr>
                <w:rFonts w:hint="eastAsia" w:ascii="宋体" w:hAnsi="宋体" w:eastAsia="宋体" w:cs="宋体"/>
                <w:color w:val="000000"/>
                <w:sz w:val="18"/>
                <w:szCs w:val="18"/>
                <w:u w:val="none"/>
                <w:lang w:eastAsia="zh-CN"/>
              </w:rPr>
              <w:t>经营</w:t>
            </w:r>
            <w:r>
              <w:rPr>
                <w:rFonts w:hint="eastAsia" w:ascii="宋体" w:hAnsi="宋体" w:eastAsia="宋体" w:cs="宋体"/>
                <w:color w:val="000000"/>
                <w:sz w:val="18"/>
                <w:szCs w:val="18"/>
                <w:u w:val="none"/>
              </w:rPr>
              <w:t>环节</w:t>
            </w:r>
          </w:p>
        </w:tc>
      </w:tr>
      <w:tr w14:paraId="7A8BF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690" w:type="dxa"/>
            <w:noWrap w:val="0"/>
            <w:vAlign w:val="center"/>
          </w:tcPr>
          <w:p w14:paraId="4B473DB1">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4"/>
                <w:lang w:val="en-US" w:eastAsia="zh-CN"/>
              </w:rPr>
              <w:t>18</w:t>
            </w:r>
          </w:p>
        </w:tc>
        <w:tc>
          <w:tcPr>
            <w:tcW w:w="1095" w:type="dxa"/>
            <w:noWrap w:val="0"/>
            <w:vAlign w:val="center"/>
          </w:tcPr>
          <w:p w14:paraId="6CC69798">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sz w:val="18"/>
                <w:szCs w:val="18"/>
              </w:rPr>
              <w:t>蔬菜制品</w:t>
            </w:r>
          </w:p>
        </w:tc>
        <w:tc>
          <w:tcPr>
            <w:tcW w:w="1140" w:type="dxa"/>
            <w:noWrap w:val="0"/>
            <w:vAlign w:val="center"/>
          </w:tcPr>
          <w:p w14:paraId="44FCCED7">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蔬菜制品</w:t>
            </w:r>
          </w:p>
        </w:tc>
        <w:tc>
          <w:tcPr>
            <w:tcW w:w="1011" w:type="dxa"/>
            <w:noWrap w:val="0"/>
            <w:vAlign w:val="center"/>
          </w:tcPr>
          <w:p w14:paraId="2A72742C">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蔬菜干制品</w:t>
            </w:r>
          </w:p>
        </w:tc>
        <w:tc>
          <w:tcPr>
            <w:tcW w:w="1701" w:type="dxa"/>
            <w:noWrap w:val="0"/>
            <w:vAlign w:val="center"/>
          </w:tcPr>
          <w:p w14:paraId="2335E1F4">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kern w:val="0"/>
                <w:sz w:val="18"/>
                <w:szCs w:val="18"/>
              </w:rPr>
              <w:t>干制食用菌（木耳）</w:t>
            </w:r>
          </w:p>
        </w:tc>
        <w:tc>
          <w:tcPr>
            <w:tcW w:w="4819" w:type="dxa"/>
            <w:noWrap w:val="0"/>
            <w:vAlign w:val="center"/>
          </w:tcPr>
          <w:p w14:paraId="684A0B06">
            <w:pPr>
              <w:spacing w:line="240" w:lineRule="auto"/>
              <w:ind w:firstLine="0" w:firstLineChars="0"/>
              <w:jc w:val="left"/>
              <w:rPr>
                <w:rFonts w:hint="eastAsia" w:ascii="Times New Roman" w:hAnsi="Times New Roman" w:eastAsia="宋体" w:cs="Times New Roman"/>
                <w:sz w:val="21"/>
                <w:szCs w:val="21"/>
                <w:lang w:eastAsia="zh-CN"/>
              </w:rPr>
            </w:pP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w:t>
            </w:r>
            <w:r>
              <w:rPr>
                <w:rFonts w:hint="eastAsia" w:ascii="宋体" w:hAnsi="宋体" w:eastAsia="宋体" w:cs="宋体"/>
                <w:color w:val="000000"/>
                <w:sz w:val="18"/>
                <w:szCs w:val="18"/>
                <w:u w:val="none"/>
              </w:rPr>
              <w:t>镉（以Cd计）、</w:t>
            </w:r>
            <w:r>
              <w:rPr>
                <w:rFonts w:hint="eastAsia" w:ascii="宋体" w:hAnsi="宋体" w:eastAsia="宋体" w:cs="宋体"/>
                <w:color w:val="000000"/>
                <w:sz w:val="18"/>
                <w:szCs w:val="18"/>
                <w:u w:val="none"/>
                <w:lang w:eastAsia="zh-CN"/>
              </w:rPr>
              <w:t>二氧化硫残留量、无机砷（以</w:t>
            </w:r>
            <w:r>
              <w:rPr>
                <w:rFonts w:hint="eastAsia" w:ascii="宋体" w:hAnsi="宋体" w:eastAsia="宋体" w:cs="宋体"/>
                <w:color w:val="000000"/>
                <w:sz w:val="18"/>
                <w:szCs w:val="18"/>
                <w:u w:val="none"/>
                <w:lang w:val="en-US" w:eastAsia="zh-CN"/>
              </w:rPr>
              <w:t>As计</w:t>
            </w:r>
            <w:r>
              <w:rPr>
                <w:rFonts w:hint="eastAsia" w:ascii="宋体" w:hAnsi="宋体" w:eastAsia="宋体" w:cs="宋体"/>
                <w:color w:val="000000"/>
                <w:sz w:val="18"/>
                <w:szCs w:val="18"/>
                <w:u w:val="none"/>
                <w:lang w:eastAsia="zh-CN"/>
              </w:rPr>
              <w:t>）、甲基汞（以</w:t>
            </w:r>
            <w:r>
              <w:rPr>
                <w:rFonts w:hint="eastAsia" w:ascii="宋体" w:hAnsi="宋体" w:eastAsia="宋体" w:cs="宋体"/>
                <w:color w:val="000000"/>
                <w:sz w:val="18"/>
                <w:szCs w:val="18"/>
                <w:u w:val="none"/>
                <w:lang w:val="en-US" w:eastAsia="zh-CN"/>
              </w:rPr>
              <w:t>Hg计</w:t>
            </w:r>
            <w:r>
              <w:rPr>
                <w:rFonts w:hint="eastAsia" w:ascii="宋体" w:hAnsi="宋体" w:eastAsia="宋体" w:cs="宋体"/>
                <w:color w:val="000000"/>
                <w:sz w:val="18"/>
                <w:szCs w:val="18"/>
                <w:u w:val="none"/>
                <w:lang w:eastAsia="zh-CN"/>
              </w:rPr>
              <w:t>）</w:t>
            </w:r>
          </w:p>
        </w:tc>
        <w:tc>
          <w:tcPr>
            <w:tcW w:w="669" w:type="dxa"/>
            <w:noWrap w:val="0"/>
            <w:vAlign w:val="center"/>
          </w:tcPr>
          <w:p w14:paraId="56599C2C">
            <w:pPr>
              <w:spacing w:line="240" w:lineRule="auto"/>
              <w:ind w:firstLine="0" w:firstLineChars="0"/>
              <w:jc w:val="center"/>
              <w:rPr>
                <w:rFonts w:hint="eastAsia" w:ascii="宋体" w:hAnsi="宋体" w:eastAsia="宋体" w:cs="宋体"/>
                <w:b/>
                <w:sz w:val="18"/>
                <w:szCs w:val="18"/>
                <w:lang w:val="en-US" w:eastAsia="zh-CN"/>
              </w:rPr>
            </w:pPr>
            <w:r>
              <w:rPr>
                <w:rFonts w:hint="eastAsia" w:ascii="宋体" w:hAnsi="宋体" w:eastAsia="宋体" w:cs="宋体"/>
                <w:b/>
                <w:bCs/>
                <w:sz w:val="18"/>
                <w:szCs w:val="18"/>
              </w:rPr>
              <w:t>15</w:t>
            </w:r>
          </w:p>
        </w:tc>
        <w:tc>
          <w:tcPr>
            <w:tcW w:w="1316" w:type="dxa"/>
            <w:noWrap w:val="0"/>
            <w:vAlign w:val="center"/>
          </w:tcPr>
          <w:p w14:paraId="3AEFDAA4">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专项抽检</w:t>
            </w:r>
          </w:p>
          <w:p w14:paraId="00F700B6">
            <w:pPr>
              <w:spacing w:line="240" w:lineRule="auto"/>
              <w:ind w:firstLine="0" w:firstLineChars="0"/>
              <w:jc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noWrap w:val="0"/>
            <w:vAlign w:val="center"/>
          </w:tcPr>
          <w:p w14:paraId="077FA818">
            <w:pPr>
              <w:spacing w:line="240" w:lineRule="auto"/>
              <w:ind w:firstLine="0" w:firstLineChars="0"/>
              <w:jc w:val="center"/>
              <w:rPr>
                <w:rFonts w:hint="eastAsia" w:ascii="Times New Roman" w:hAnsi="Times New Roman" w:eastAsia="宋体" w:cs="Times New Roman"/>
                <w:sz w:val="18"/>
                <w:szCs w:val="18"/>
                <w:lang w:val="en-US" w:eastAsia="zh-CN"/>
              </w:rPr>
            </w:pPr>
            <w:r>
              <w:rPr>
                <w:rFonts w:hint="eastAsia" w:ascii="宋体" w:hAnsi="宋体" w:eastAsia="宋体" w:cs="宋体"/>
                <w:sz w:val="18"/>
                <w:szCs w:val="18"/>
              </w:rPr>
              <w:t>地方特色食品</w:t>
            </w:r>
          </w:p>
        </w:tc>
      </w:tr>
      <w:tr w14:paraId="0841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690" w:type="dxa"/>
            <w:vMerge w:val="restart"/>
            <w:noWrap w:val="0"/>
            <w:vAlign w:val="center"/>
          </w:tcPr>
          <w:p w14:paraId="32C60FBB">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rPr>
              <w:t>1</w:t>
            </w:r>
            <w:r>
              <w:rPr>
                <w:rFonts w:hint="eastAsia" w:ascii="宋体" w:hAnsi="宋体" w:eastAsia="宋体" w:cs="宋体"/>
                <w:b/>
                <w:sz w:val="21"/>
                <w:szCs w:val="21"/>
                <w:lang w:val="en-US" w:eastAsia="zh-CN"/>
              </w:rPr>
              <w:t>9</w:t>
            </w:r>
          </w:p>
        </w:tc>
        <w:tc>
          <w:tcPr>
            <w:tcW w:w="1095" w:type="dxa"/>
            <w:vMerge w:val="restart"/>
            <w:noWrap w:val="0"/>
            <w:vAlign w:val="center"/>
          </w:tcPr>
          <w:p w14:paraId="44A5E24F">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餐饮食品</w:t>
            </w:r>
          </w:p>
        </w:tc>
        <w:tc>
          <w:tcPr>
            <w:tcW w:w="1140" w:type="dxa"/>
            <w:noWrap w:val="0"/>
            <w:vAlign w:val="center"/>
          </w:tcPr>
          <w:p w14:paraId="2D3EE558">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食用油、油脂及其制品（自制）</w:t>
            </w:r>
          </w:p>
        </w:tc>
        <w:tc>
          <w:tcPr>
            <w:tcW w:w="1011" w:type="dxa"/>
            <w:noWrap w:val="0"/>
            <w:vAlign w:val="center"/>
          </w:tcPr>
          <w:p w14:paraId="68C86236">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食用油、油脂及其制品（自制）</w:t>
            </w:r>
          </w:p>
        </w:tc>
        <w:tc>
          <w:tcPr>
            <w:tcW w:w="1701" w:type="dxa"/>
            <w:noWrap w:val="0"/>
            <w:vAlign w:val="center"/>
          </w:tcPr>
          <w:p w14:paraId="46FD76FE">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煎炸过程用油</w:t>
            </w:r>
          </w:p>
        </w:tc>
        <w:tc>
          <w:tcPr>
            <w:tcW w:w="4819" w:type="dxa"/>
            <w:noWrap w:val="0"/>
            <w:vAlign w:val="center"/>
          </w:tcPr>
          <w:p w14:paraId="25F73B94">
            <w:pPr>
              <w:spacing w:line="240" w:lineRule="auto"/>
              <w:ind w:firstLine="0" w:firstLineChars="0"/>
              <w:jc w:val="left"/>
              <w:rPr>
                <w:rFonts w:hint="eastAsia" w:ascii="宋体" w:hAnsi="宋体" w:eastAsia="宋体" w:cs="宋体"/>
                <w:sz w:val="18"/>
                <w:szCs w:val="18"/>
              </w:rPr>
            </w:pPr>
            <w:r>
              <w:rPr>
                <w:rFonts w:hint="eastAsia" w:ascii="宋体" w:hAnsi="宋体" w:eastAsia="宋体" w:cs="宋体"/>
                <w:sz w:val="18"/>
                <w:szCs w:val="18"/>
              </w:rPr>
              <w:t>酸价、极性组分</w:t>
            </w:r>
          </w:p>
        </w:tc>
        <w:tc>
          <w:tcPr>
            <w:tcW w:w="669" w:type="dxa"/>
            <w:noWrap w:val="0"/>
            <w:vAlign w:val="center"/>
          </w:tcPr>
          <w:p w14:paraId="616CFE05">
            <w:pPr>
              <w:spacing w:line="240" w:lineRule="auto"/>
              <w:ind w:firstLine="0" w:firstLineChars="0"/>
              <w:jc w:val="center"/>
              <w:rPr>
                <w:rFonts w:hint="eastAsia" w:ascii="宋体" w:hAnsi="宋体" w:eastAsia="宋体" w:cs="宋体"/>
                <w:b/>
                <w:sz w:val="18"/>
                <w:szCs w:val="18"/>
              </w:rPr>
            </w:pPr>
            <w:r>
              <w:rPr>
                <w:rFonts w:hint="eastAsia" w:ascii="宋体" w:hAnsi="宋体" w:eastAsia="宋体" w:cs="宋体"/>
                <w:b/>
                <w:sz w:val="18"/>
                <w:szCs w:val="18"/>
              </w:rPr>
              <w:t>8</w:t>
            </w:r>
          </w:p>
        </w:tc>
        <w:tc>
          <w:tcPr>
            <w:tcW w:w="1316" w:type="dxa"/>
            <w:noWrap w:val="0"/>
            <w:vAlign w:val="center"/>
          </w:tcPr>
          <w:p w14:paraId="6141B56F">
            <w:pPr>
              <w:spacing w:line="240" w:lineRule="auto"/>
              <w:ind w:firstLine="360" w:firstLineChars="20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restart"/>
            <w:noWrap w:val="0"/>
            <w:vAlign w:val="center"/>
          </w:tcPr>
          <w:p w14:paraId="1948AE79">
            <w:pPr>
              <w:spacing w:line="240" w:lineRule="auto"/>
              <w:ind w:firstLine="0" w:firstLineChars="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rPr>
              <w:t>餐饮环节</w:t>
            </w:r>
          </w:p>
        </w:tc>
      </w:tr>
      <w:bookmarkEnd w:id="50"/>
      <w:bookmarkEnd w:id="51"/>
      <w:bookmarkEnd w:id="52"/>
      <w:tr w14:paraId="639E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690" w:type="dxa"/>
            <w:vMerge w:val="continue"/>
            <w:noWrap w:val="0"/>
            <w:vAlign w:val="center"/>
          </w:tcPr>
          <w:p w14:paraId="75340347">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5C7941E5">
            <w:pPr>
              <w:spacing w:line="240" w:lineRule="auto"/>
              <w:ind w:firstLine="0" w:firstLineChars="0"/>
              <w:jc w:val="center"/>
              <w:textAlignment w:val="center"/>
              <w:rPr>
                <w:rFonts w:hint="eastAsia" w:ascii="宋体" w:hAnsi="宋体" w:eastAsia="宋体" w:cs="宋体"/>
                <w:kern w:val="0"/>
                <w:sz w:val="18"/>
                <w:szCs w:val="18"/>
              </w:rPr>
            </w:pPr>
          </w:p>
        </w:tc>
        <w:tc>
          <w:tcPr>
            <w:tcW w:w="1140" w:type="dxa"/>
            <w:vMerge w:val="restart"/>
            <w:noWrap w:val="0"/>
            <w:vAlign w:val="center"/>
          </w:tcPr>
          <w:p w14:paraId="0B3A060B">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米面及其制品（自制）</w:t>
            </w:r>
          </w:p>
        </w:tc>
        <w:tc>
          <w:tcPr>
            <w:tcW w:w="1011" w:type="dxa"/>
            <w:vMerge w:val="restart"/>
            <w:noWrap w:val="0"/>
            <w:vAlign w:val="center"/>
          </w:tcPr>
          <w:p w14:paraId="70E1BF40">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小麦粉制品（自制）</w:t>
            </w:r>
          </w:p>
        </w:tc>
        <w:tc>
          <w:tcPr>
            <w:tcW w:w="1701" w:type="dxa"/>
            <w:noWrap w:val="0"/>
            <w:vAlign w:val="center"/>
          </w:tcPr>
          <w:p w14:paraId="3D75D308">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lang w:eastAsia="zh-CN"/>
              </w:rPr>
              <w:t>馒头、花卷</w:t>
            </w:r>
            <w:r>
              <w:rPr>
                <w:rFonts w:hint="eastAsia" w:ascii="宋体" w:hAnsi="宋体" w:eastAsia="宋体" w:cs="宋体"/>
                <w:sz w:val="18"/>
                <w:szCs w:val="18"/>
              </w:rPr>
              <w:t>（自制）</w:t>
            </w:r>
          </w:p>
        </w:tc>
        <w:tc>
          <w:tcPr>
            <w:tcW w:w="4819" w:type="dxa"/>
            <w:noWrap w:val="0"/>
            <w:vAlign w:val="center"/>
          </w:tcPr>
          <w:p w14:paraId="33773F1B">
            <w:pPr>
              <w:spacing w:line="240" w:lineRule="auto"/>
              <w:ind w:firstLine="0" w:firstLineChars="0"/>
              <w:jc w:val="left"/>
              <w:textAlignment w:val="center"/>
              <w:rPr>
                <w:rFonts w:hint="eastAsia" w:ascii="宋体" w:hAnsi="宋体" w:eastAsia="宋体" w:cs="宋体"/>
                <w:kern w:val="0"/>
                <w:sz w:val="18"/>
                <w:szCs w:val="18"/>
              </w:rPr>
            </w:pPr>
            <w:r>
              <w:rPr>
                <w:rFonts w:hint="eastAsia" w:ascii="宋体" w:hAnsi="宋体" w:eastAsia="宋体" w:cs="宋体"/>
                <w:color w:val="000000"/>
                <w:sz w:val="20"/>
                <w:szCs w:val="21"/>
                <w:u w:val="none"/>
              </w:rPr>
              <w:t>苯甲酸及其钠盐（以苯甲酸计）、山梨酸及其钾盐（以山梨酸计）、</w:t>
            </w:r>
            <w:r>
              <w:rPr>
                <w:rFonts w:hint="eastAsia" w:ascii="宋体" w:hAnsi="宋体" w:eastAsia="宋体" w:cs="宋体"/>
                <w:sz w:val="18"/>
                <w:szCs w:val="18"/>
              </w:rPr>
              <w:t>脱氢乙酸及其钠盐（以脱氢乙酸计）、</w:t>
            </w:r>
            <w:r>
              <w:rPr>
                <w:rFonts w:hint="eastAsia" w:ascii="宋体" w:hAnsi="宋体" w:eastAsia="宋体" w:cs="宋体"/>
                <w:sz w:val="18"/>
                <w:szCs w:val="18"/>
                <w:lang w:eastAsia="zh-CN"/>
              </w:rPr>
              <w:t>合成着色剂（柠檬黄、日落黄、胭脂红、苋菜红、亮蓝，视色泽而定）、</w:t>
            </w:r>
            <w:r>
              <w:rPr>
                <w:rFonts w:hint="eastAsia" w:ascii="宋体" w:hAnsi="宋体" w:eastAsia="宋体" w:cs="宋体"/>
                <w:color w:val="000000"/>
                <w:sz w:val="20"/>
                <w:szCs w:val="21"/>
                <w:u w:val="none"/>
              </w:rPr>
              <w:t>糖精钠（以糖精计）、甜蜜素（以环己基氨基磺酸计）、</w:t>
            </w:r>
            <w:r>
              <w:rPr>
                <w:rFonts w:hint="eastAsia" w:ascii="宋体" w:hAnsi="宋体" w:eastAsia="宋体" w:cs="宋体"/>
                <w:kern w:val="0"/>
                <w:sz w:val="18"/>
                <w:szCs w:val="18"/>
              </w:rPr>
              <w:t>铅（以Pb计）</w:t>
            </w:r>
          </w:p>
        </w:tc>
        <w:tc>
          <w:tcPr>
            <w:tcW w:w="669" w:type="dxa"/>
            <w:noWrap w:val="0"/>
            <w:vAlign w:val="center"/>
          </w:tcPr>
          <w:p w14:paraId="42213153">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2</w:t>
            </w:r>
          </w:p>
        </w:tc>
        <w:tc>
          <w:tcPr>
            <w:tcW w:w="1316" w:type="dxa"/>
            <w:noWrap w:val="0"/>
            <w:vAlign w:val="center"/>
          </w:tcPr>
          <w:p w14:paraId="6B569010">
            <w:pPr>
              <w:spacing w:line="240" w:lineRule="auto"/>
              <w:ind w:firstLine="360" w:firstLineChars="200"/>
              <w:jc w:val="center"/>
              <w:textAlignment w:val="center"/>
              <w:rPr>
                <w:rFonts w:hint="eastAsia" w:ascii="宋体" w:hAnsi="宋体" w:eastAsia="宋体" w:cs="宋体"/>
                <w:kern w:val="0"/>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3B559F80">
            <w:pPr>
              <w:spacing w:line="240" w:lineRule="auto"/>
              <w:ind w:firstLine="0" w:firstLineChars="0"/>
              <w:jc w:val="center"/>
              <w:textAlignment w:val="center"/>
              <w:rPr>
                <w:rFonts w:hint="eastAsia" w:ascii="Times New Roman" w:hAnsi="Times New Roman" w:eastAsia="宋体" w:cs="Times New Roman"/>
                <w:sz w:val="21"/>
                <w:szCs w:val="21"/>
              </w:rPr>
            </w:pPr>
          </w:p>
        </w:tc>
      </w:tr>
      <w:tr w14:paraId="7D55C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90" w:type="dxa"/>
            <w:vMerge w:val="continue"/>
            <w:noWrap w:val="0"/>
            <w:vAlign w:val="center"/>
          </w:tcPr>
          <w:p w14:paraId="14C70306">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25FEBFA2">
            <w:pPr>
              <w:spacing w:line="240" w:lineRule="auto"/>
              <w:ind w:firstLine="0" w:firstLineChars="0"/>
              <w:jc w:val="center"/>
              <w:textAlignment w:val="center"/>
              <w:rPr>
                <w:rFonts w:hint="eastAsia" w:ascii="宋体" w:hAnsi="宋体" w:eastAsia="宋体" w:cs="宋体"/>
                <w:kern w:val="0"/>
                <w:sz w:val="18"/>
                <w:szCs w:val="18"/>
              </w:rPr>
            </w:pPr>
          </w:p>
        </w:tc>
        <w:tc>
          <w:tcPr>
            <w:tcW w:w="1140" w:type="dxa"/>
            <w:vMerge w:val="continue"/>
            <w:noWrap w:val="0"/>
            <w:vAlign w:val="center"/>
          </w:tcPr>
          <w:p w14:paraId="7F301AC9">
            <w:pPr>
              <w:spacing w:line="240" w:lineRule="auto"/>
              <w:ind w:firstLine="0" w:firstLineChars="0"/>
              <w:jc w:val="center"/>
              <w:textAlignment w:val="center"/>
              <w:rPr>
                <w:rFonts w:hint="eastAsia" w:ascii="宋体" w:hAnsi="宋体" w:eastAsia="宋体" w:cs="宋体"/>
                <w:sz w:val="18"/>
                <w:szCs w:val="18"/>
              </w:rPr>
            </w:pPr>
          </w:p>
        </w:tc>
        <w:tc>
          <w:tcPr>
            <w:tcW w:w="1011" w:type="dxa"/>
            <w:vMerge w:val="continue"/>
            <w:noWrap w:val="0"/>
            <w:vAlign w:val="center"/>
          </w:tcPr>
          <w:p w14:paraId="3980A387">
            <w:pPr>
              <w:spacing w:line="240" w:lineRule="auto"/>
              <w:ind w:firstLine="0" w:firstLineChars="0"/>
              <w:jc w:val="center"/>
              <w:textAlignment w:val="center"/>
              <w:rPr>
                <w:rFonts w:hint="eastAsia" w:ascii="宋体" w:hAnsi="宋体" w:eastAsia="宋体" w:cs="宋体"/>
                <w:sz w:val="18"/>
                <w:szCs w:val="18"/>
              </w:rPr>
            </w:pPr>
          </w:p>
        </w:tc>
        <w:tc>
          <w:tcPr>
            <w:tcW w:w="1701" w:type="dxa"/>
            <w:noWrap w:val="0"/>
            <w:vAlign w:val="center"/>
          </w:tcPr>
          <w:p w14:paraId="09B2A654">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油饼、油条（自制）</w:t>
            </w:r>
          </w:p>
        </w:tc>
        <w:tc>
          <w:tcPr>
            <w:tcW w:w="4819" w:type="dxa"/>
            <w:noWrap w:val="0"/>
            <w:vAlign w:val="center"/>
          </w:tcPr>
          <w:p w14:paraId="73373AE8">
            <w:pPr>
              <w:spacing w:line="240" w:lineRule="auto"/>
              <w:ind w:firstLine="0" w:firstLineChars="0"/>
              <w:jc w:val="left"/>
              <w:textAlignment w:val="center"/>
              <w:rPr>
                <w:rFonts w:hint="eastAsia" w:ascii="Times New Roman" w:hAnsi="Times New Roman" w:eastAsia="宋体" w:cs="Times New Roman"/>
                <w:sz w:val="21"/>
                <w:szCs w:val="21"/>
              </w:rPr>
            </w:pPr>
            <w:r>
              <w:rPr>
                <w:rFonts w:hint="eastAsia" w:ascii="宋体" w:hAnsi="宋体" w:eastAsia="宋体" w:cs="宋体"/>
                <w:kern w:val="0"/>
                <w:sz w:val="18"/>
                <w:szCs w:val="18"/>
              </w:rPr>
              <w:t>铝的残留量（干样品，以Al计）</w:t>
            </w:r>
          </w:p>
        </w:tc>
        <w:tc>
          <w:tcPr>
            <w:tcW w:w="669" w:type="dxa"/>
            <w:noWrap w:val="0"/>
            <w:vAlign w:val="center"/>
          </w:tcPr>
          <w:p w14:paraId="6FB62AD6">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1</w:t>
            </w:r>
          </w:p>
        </w:tc>
        <w:tc>
          <w:tcPr>
            <w:tcW w:w="1316" w:type="dxa"/>
            <w:noWrap w:val="0"/>
            <w:vAlign w:val="center"/>
          </w:tcPr>
          <w:p w14:paraId="50F0DBB6">
            <w:pPr>
              <w:spacing w:line="240" w:lineRule="auto"/>
              <w:ind w:firstLine="360" w:firstLineChars="200"/>
              <w:jc w:val="center"/>
              <w:textAlignment w:val="center"/>
              <w:rPr>
                <w:rFonts w:hint="eastAsia" w:ascii="宋体" w:hAnsi="宋体" w:eastAsia="宋体" w:cs="宋体"/>
                <w:kern w:val="0"/>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1FAE243F">
            <w:pPr>
              <w:spacing w:line="240" w:lineRule="auto"/>
              <w:ind w:firstLine="0" w:firstLineChars="0"/>
              <w:jc w:val="center"/>
              <w:textAlignment w:val="center"/>
              <w:rPr>
                <w:rFonts w:hint="eastAsia" w:ascii="Times New Roman" w:hAnsi="Times New Roman" w:eastAsia="宋体" w:cs="Times New Roman"/>
                <w:sz w:val="21"/>
                <w:szCs w:val="21"/>
              </w:rPr>
            </w:pPr>
          </w:p>
        </w:tc>
      </w:tr>
      <w:tr w14:paraId="7280C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90" w:type="dxa"/>
            <w:vMerge w:val="continue"/>
            <w:noWrap w:val="0"/>
            <w:vAlign w:val="center"/>
          </w:tcPr>
          <w:p w14:paraId="160A73C9">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3997AC45">
            <w:pPr>
              <w:spacing w:line="240" w:lineRule="auto"/>
              <w:ind w:firstLine="0" w:firstLineChars="0"/>
              <w:jc w:val="center"/>
              <w:textAlignment w:val="center"/>
              <w:rPr>
                <w:rFonts w:hint="eastAsia" w:ascii="宋体" w:hAnsi="宋体" w:eastAsia="宋体" w:cs="宋体"/>
                <w:kern w:val="0"/>
                <w:sz w:val="18"/>
                <w:szCs w:val="18"/>
              </w:rPr>
            </w:pPr>
          </w:p>
        </w:tc>
        <w:tc>
          <w:tcPr>
            <w:tcW w:w="1140" w:type="dxa"/>
            <w:vMerge w:val="continue"/>
            <w:noWrap w:val="0"/>
            <w:vAlign w:val="center"/>
          </w:tcPr>
          <w:p w14:paraId="633E44EA">
            <w:pPr>
              <w:spacing w:line="240" w:lineRule="auto"/>
              <w:ind w:firstLine="0" w:firstLineChars="0"/>
              <w:jc w:val="center"/>
              <w:textAlignment w:val="center"/>
              <w:rPr>
                <w:rFonts w:hint="eastAsia" w:ascii="宋体" w:hAnsi="宋体" w:eastAsia="宋体" w:cs="宋体"/>
                <w:sz w:val="18"/>
                <w:szCs w:val="18"/>
              </w:rPr>
            </w:pPr>
          </w:p>
        </w:tc>
        <w:tc>
          <w:tcPr>
            <w:tcW w:w="1011" w:type="dxa"/>
            <w:vMerge w:val="continue"/>
            <w:noWrap w:val="0"/>
            <w:vAlign w:val="center"/>
          </w:tcPr>
          <w:p w14:paraId="2D961DD7">
            <w:pPr>
              <w:spacing w:line="240" w:lineRule="auto"/>
              <w:ind w:firstLine="0" w:firstLineChars="0"/>
              <w:jc w:val="center"/>
              <w:textAlignment w:val="center"/>
              <w:rPr>
                <w:rFonts w:hint="eastAsia" w:ascii="宋体" w:hAnsi="宋体" w:eastAsia="宋体" w:cs="宋体"/>
                <w:sz w:val="18"/>
                <w:szCs w:val="18"/>
              </w:rPr>
            </w:pPr>
          </w:p>
        </w:tc>
        <w:tc>
          <w:tcPr>
            <w:tcW w:w="1701" w:type="dxa"/>
            <w:noWrap w:val="0"/>
            <w:vAlign w:val="center"/>
          </w:tcPr>
          <w:p w14:paraId="49C3CD4B">
            <w:pPr>
              <w:spacing w:line="240" w:lineRule="auto"/>
              <w:ind w:firstLine="0" w:firstLineChars="0"/>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其他生制面制品（自制）：鲜面条</w:t>
            </w:r>
          </w:p>
        </w:tc>
        <w:tc>
          <w:tcPr>
            <w:tcW w:w="4819" w:type="dxa"/>
            <w:noWrap w:val="0"/>
            <w:vAlign w:val="center"/>
          </w:tcPr>
          <w:p w14:paraId="2E648EBE">
            <w:pPr>
              <w:spacing w:line="240" w:lineRule="auto"/>
              <w:ind w:firstLine="0" w:firstLineChars="0"/>
              <w:jc w:val="left"/>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铅（以Pb计）</w:t>
            </w:r>
            <w:r>
              <w:rPr>
                <w:rFonts w:hint="eastAsia" w:ascii="宋体" w:hAnsi="宋体" w:eastAsia="宋体" w:cs="宋体"/>
                <w:kern w:val="0"/>
                <w:sz w:val="18"/>
                <w:szCs w:val="18"/>
                <w:lang w:eastAsia="zh-CN"/>
              </w:rPr>
              <w:t>、</w:t>
            </w:r>
            <w:r>
              <w:rPr>
                <w:rFonts w:hint="eastAsia" w:ascii="宋体" w:hAnsi="宋体" w:eastAsia="宋体" w:cs="宋体"/>
                <w:sz w:val="18"/>
                <w:szCs w:val="18"/>
              </w:rPr>
              <w:t>脱氢乙酸及其钠盐（以脱氢乙酸计）</w:t>
            </w:r>
          </w:p>
        </w:tc>
        <w:tc>
          <w:tcPr>
            <w:tcW w:w="669" w:type="dxa"/>
            <w:noWrap w:val="0"/>
            <w:vAlign w:val="center"/>
          </w:tcPr>
          <w:p w14:paraId="7DD06C2B">
            <w:pPr>
              <w:spacing w:line="240" w:lineRule="auto"/>
              <w:ind w:firstLine="0" w:firstLineChars="0"/>
              <w:jc w:val="center"/>
              <w:rPr>
                <w:rFonts w:hint="default" w:ascii="宋体" w:hAnsi="宋体" w:eastAsia="宋体" w:cs="宋体"/>
                <w:b/>
                <w:sz w:val="18"/>
                <w:szCs w:val="18"/>
                <w:lang w:val="en-US" w:eastAsia="zh-CN"/>
              </w:rPr>
            </w:pPr>
            <w:r>
              <w:rPr>
                <w:rFonts w:hint="eastAsia" w:ascii="宋体" w:hAnsi="宋体" w:eastAsia="宋体" w:cs="宋体"/>
                <w:b/>
                <w:sz w:val="18"/>
                <w:szCs w:val="18"/>
                <w:lang w:val="en-US" w:eastAsia="zh-CN"/>
              </w:rPr>
              <w:t>4</w:t>
            </w:r>
          </w:p>
        </w:tc>
        <w:tc>
          <w:tcPr>
            <w:tcW w:w="1316" w:type="dxa"/>
            <w:noWrap w:val="0"/>
            <w:vAlign w:val="center"/>
          </w:tcPr>
          <w:p w14:paraId="106A2EE7">
            <w:pPr>
              <w:spacing w:line="240" w:lineRule="auto"/>
              <w:ind w:firstLine="360" w:firstLineChars="20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0CE25F60">
            <w:pPr>
              <w:spacing w:line="240" w:lineRule="auto"/>
              <w:ind w:firstLine="0" w:firstLineChars="0"/>
              <w:jc w:val="center"/>
              <w:textAlignment w:val="center"/>
              <w:rPr>
                <w:rFonts w:hint="eastAsia" w:ascii="Times New Roman" w:hAnsi="Times New Roman" w:eastAsia="宋体" w:cs="Times New Roman"/>
                <w:sz w:val="21"/>
                <w:szCs w:val="21"/>
              </w:rPr>
            </w:pPr>
          </w:p>
        </w:tc>
      </w:tr>
      <w:tr w14:paraId="76E2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690" w:type="dxa"/>
            <w:vMerge w:val="restart"/>
            <w:noWrap w:val="0"/>
            <w:vAlign w:val="center"/>
          </w:tcPr>
          <w:p w14:paraId="355DF7BD">
            <w:pPr>
              <w:spacing w:line="240" w:lineRule="auto"/>
              <w:ind w:firstLine="0" w:firstLineChars="0"/>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19</w:t>
            </w:r>
          </w:p>
        </w:tc>
        <w:tc>
          <w:tcPr>
            <w:tcW w:w="1095" w:type="dxa"/>
            <w:vMerge w:val="restart"/>
            <w:noWrap w:val="0"/>
            <w:vAlign w:val="center"/>
          </w:tcPr>
          <w:p w14:paraId="1B28E4F0">
            <w:pPr>
              <w:spacing w:line="240" w:lineRule="auto"/>
              <w:ind w:firstLine="0" w:firstLineChars="0"/>
              <w:jc w:val="center"/>
              <w:textAlignment w:val="center"/>
              <w:rPr>
                <w:rFonts w:hint="eastAsia" w:ascii="宋体" w:hAnsi="宋体" w:eastAsia="宋体" w:cs="宋体"/>
                <w:kern w:val="0"/>
                <w:sz w:val="18"/>
                <w:szCs w:val="18"/>
              </w:rPr>
            </w:pPr>
            <w:r>
              <w:rPr>
                <w:rFonts w:hint="eastAsia" w:ascii="宋体" w:hAnsi="宋体" w:eastAsia="宋体" w:cs="宋体"/>
                <w:kern w:val="0"/>
                <w:sz w:val="18"/>
                <w:szCs w:val="18"/>
              </w:rPr>
              <w:t>餐饮食品</w:t>
            </w:r>
          </w:p>
        </w:tc>
        <w:tc>
          <w:tcPr>
            <w:tcW w:w="1140" w:type="dxa"/>
            <w:vMerge w:val="restart"/>
            <w:noWrap w:val="0"/>
            <w:vAlign w:val="center"/>
          </w:tcPr>
          <w:p w14:paraId="3897E6DC">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米面及其制品（自制）</w:t>
            </w:r>
          </w:p>
        </w:tc>
        <w:tc>
          <w:tcPr>
            <w:tcW w:w="1011" w:type="dxa"/>
            <w:vMerge w:val="restart"/>
            <w:noWrap w:val="0"/>
            <w:vAlign w:val="center"/>
          </w:tcPr>
          <w:p w14:paraId="0DFA8E99">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大米制品（自制）</w:t>
            </w:r>
          </w:p>
        </w:tc>
        <w:tc>
          <w:tcPr>
            <w:tcW w:w="1701" w:type="dxa"/>
            <w:noWrap w:val="0"/>
            <w:vAlign w:val="center"/>
          </w:tcPr>
          <w:p w14:paraId="6FEF2738">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米皮类（自制）：米皮</w:t>
            </w:r>
          </w:p>
        </w:tc>
        <w:tc>
          <w:tcPr>
            <w:tcW w:w="4819" w:type="dxa"/>
            <w:noWrap w:val="0"/>
            <w:vAlign w:val="center"/>
          </w:tcPr>
          <w:p w14:paraId="40CB8ABC">
            <w:pPr>
              <w:spacing w:line="240" w:lineRule="auto"/>
              <w:ind w:firstLine="0" w:firstLineChars="0"/>
              <w:jc w:val="left"/>
              <w:textAlignment w:val="center"/>
              <w:rPr>
                <w:rFonts w:hint="eastAsia" w:ascii="宋体" w:hAnsi="宋体" w:eastAsia="宋体" w:cs="宋体"/>
                <w:kern w:val="0"/>
                <w:sz w:val="18"/>
                <w:szCs w:val="18"/>
              </w:rPr>
            </w:pPr>
            <w:r>
              <w:rPr>
                <w:rFonts w:hint="eastAsia" w:ascii="宋体" w:hAnsi="宋体" w:eastAsia="宋体" w:cs="宋体"/>
                <w:color w:val="000000"/>
                <w:sz w:val="20"/>
                <w:szCs w:val="21"/>
                <w:u w:val="none"/>
              </w:rPr>
              <w:t>苯甲酸及其钠盐（以苯甲酸计）、山梨酸及其钾盐（以山梨酸计）、</w:t>
            </w:r>
            <w:r>
              <w:rPr>
                <w:rFonts w:hint="eastAsia" w:ascii="宋体" w:hAnsi="宋体" w:eastAsia="宋体" w:cs="宋体"/>
                <w:sz w:val="18"/>
                <w:szCs w:val="18"/>
              </w:rPr>
              <w:t>脱氢乙酸及其钠盐（以脱氢乙酸计）</w:t>
            </w:r>
          </w:p>
        </w:tc>
        <w:tc>
          <w:tcPr>
            <w:tcW w:w="669" w:type="dxa"/>
            <w:noWrap w:val="0"/>
            <w:vAlign w:val="center"/>
          </w:tcPr>
          <w:p w14:paraId="213BA79F">
            <w:pPr>
              <w:spacing w:line="240" w:lineRule="auto"/>
              <w:ind w:firstLine="0" w:firstLineChars="0"/>
              <w:jc w:val="center"/>
              <w:rPr>
                <w:rFonts w:hint="eastAsia" w:ascii="宋体" w:hAnsi="宋体" w:eastAsia="宋体" w:cs="宋体"/>
                <w:b/>
                <w:sz w:val="18"/>
                <w:szCs w:val="18"/>
              </w:rPr>
            </w:pPr>
            <w:r>
              <w:rPr>
                <w:rFonts w:hint="eastAsia" w:ascii="宋体" w:hAnsi="宋体" w:eastAsia="宋体" w:cs="宋体"/>
                <w:b/>
                <w:sz w:val="18"/>
                <w:szCs w:val="18"/>
              </w:rPr>
              <w:t>4</w:t>
            </w:r>
          </w:p>
        </w:tc>
        <w:tc>
          <w:tcPr>
            <w:tcW w:w="1316" w:type="dxa"/>
            <w:noWrap w:val="0"/>
            <w:vAlign w:val="center"/>
          </w:tcPr>
          <w:p w14:paraId="592F7D21">
            <w:pPr>
              <w:spacing w:line="240" w:lineRule="auto"/>
              <w:ind w:firstLine="360" w:firstLineChars="200"/>
              <w:jc w:val="center"/>
              <w:textAlignment w:val="center"/>
              <w:rPr>
                <w:rFonts w:hint="eastAsia" w:ascii="宋体" w:hAnsi="宋体" w:eastAsia="宋体" w:cs="宋体"/>
                <w:kern w:val="0"/>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restart"/>
            <w:noWrap w:val="0"/>
            <w:vAlign w:val="center"/>
          </w:tcPr>
          <w:p w14:paraId="41F06506">
            <w:pPr>
              <w:spacing w:line="240" w:lineRule="auto"/>
              <w:ind w:firstLine="0" w:firstLineChars="0"/>
              <w:jc w:val="center"/>
              <w:textAlignment w:val="center"/>
              <w:rPr>
                <w:rFonts w:hint="eastAsia" w:ascii="Times New Roman" w:hAnsi="Times New Roman" w:eastAsia="宋体" w:cs="Times New Roman"/>
                <w:sz w:val="21"/>
                <w:szCs w:val="21"/>
              </w:rPr>
            </w:pPr>
            <w:r>
              <w:rPr>
                <w:rFonts w:hint="eastAsia" w:ascii="宋体" w:hAnsi="宋体" w:eastAsia="宋体" w:cs="宋体"/>
                <w:color w:val="000000"/>
                <w:sz w:val="20"/>
                <w:szCs w:val="21"/>
                <w:u w:val="none"/>
              </w:rPr>
              <w:t>餐饮环节</w:t>
            </w:r>
          </w:p>
        </w:tc>
      </w:tr>
      <w:tr w14:paraId="170B7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90" w:type="dxa"/>
            <w:vMerge w:val="continue"/>
            <w:noWrap w:val="0"/>
            <w:vAlign w:val="center"/>
          </w:tcPr>
          <w:p w14:paraId="6230E1E8">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4CD9D1CB">
            <w:pPr>
              <w:spacing w:line="240" w:lineRule="auto"/>
              <w:ind w:firstLine="0" w:firstLineChars="0"/>
              <w:jc w:val="center"/>
              <w:textAlignment w:val="center"/>
              <w:rPr>
                <w:rFonts w:hint="eastAsia" w:ascii="宋体" w:hAnsi="宋体" w:eastAsia="宋体" w:cs="宋体"/>
                <w:kern w:val="0"/>
                <w:sz w:val="18"/>
                <w:szCs w:val="18"/>
              </w:rPr>
            </w:pPr>
          </w:p>
        </w:tc>
        <w:tc>
          <w:tcPr>
            <w:tcW w:w="1140" w:type="dxa"/>
            <w:vMerge w:val="restart"/>
            <w:noWrap w:val="0"/>
            <w:vAlign w:val="center"/>
          </w:tcPr>
          <w:p w14:paraId="28240932">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饮料（自制）</w:t>
            </w:r>
          </w:p>
        </w:tc>
        <w:tc>
          <w:tcPr>
            <w:tcW w:w="1011" w:type="dxa"/>
            <w:vMerge w:val="restart"/>
            <w:noWrap w:val="0"/>
            <w:vAlign w:val="center"/>
          </w:tcPr>
          <w:p w14:paraId="464014DA">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饮料（自制）</w:t>
            </w:r>
          </w:p>
        </w:tc>
        <w:tc>
          <w:tcPr>
            <w:tcW w:w="1701" w:type="dxa"/>
            <w:noWrap w:val="0"/>
            <w:vAlign w:val="center"/>
          </w:tcPr>
          <w:p w14:paraId="56957D86">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奶茶（自制）</w:t>
            </w:r>
          </w:p>
        </w:tc>
        <w:tc>
          <w:tcPr>
            <w:tcW w:w="4819" w:type="dxa"/>
            <w:noWrap w:val="0"/>
            <w:vAlign w:val="center"/>
          </w:tcPr>
          <w:p w14:paraId="2CFB2F87">
            <w:pPr>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色素（视色泽而定）、甜蜜素（以环己基氨基磺酸计）、</w:t>
            </w:r>
            <w:bookmarkStart w:id="53" w:name="OLE_LINK29"/>
            <w:bookmarkStart w:id="54" w:name="OLE_LINK28"/>
            <w:r>
              <w:rPr>
                <w:rFonts w:hint="eastAsia" w:ascii="宋体" w:hAnsi="宋体" w:eastAsia="宋体" w:cs="宋体"/>
                <w:sz w:val="18"/>
                <w:szCs w:val="18"/>
              </w:rPr>
              <w:t>安赛蜜</w:t>
            </w:r>
            <w:bookmarkEnd w:id="53"/>
            <w:bookmarkEnd w:id="54"/>
          </w:p>
        </w:tc>
        <w:tc>
          <w:tcPr>
            <w:tcW w:w="669" w:type="dxa"/>
            <w:noWrap w:val="0"/>
            <w:vAlign w:val="center"/>
          </w:tcPr>
          <w:p w14:paraId="7ACFB6A1">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8</w:t>
            </w:r>
          </w:p>
        </w:tc>
        <w:tc>
          <w:tcPr>
            <w:tcW w:w="1316" w:type="dxa"/>
            <w:noWrap w:val="0"/>
            <w:vAlign w:val="center"/>
          </w:tcPr>
          <w:p w14:paraId="6466BAD4">
            <w:pPr>
              <w:spacing w:line="240" w:lineRule="auto"/>
              <w:ind w:firstLine="360" w:firstLineChars="200"/>
              <w:jc w:val="center"/>
              <w:textAlignment w:val="center"/>
              <w:rPr>
                <w:rFonts w:hint="eastAsia" w:ascii="宋体" w:hAnsi="宋体" w:eastAsia="宋体" w:cs="宋体"/>
                <w:kern w:val="0"/>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5D37C7AF">
            <w:pPr>
              <w:spacing w:line="240" w:lineRule="auto"/>
              <w:ind w:firstLine="0" w:firstLineChars="0"/>
              <w:jc w:val="center"/>
              <w:textAlignment w:val="center"/>
              <w:rPr>
                <w:rFonts w:hint="eastAsia" w:ascii="Times New Roman" w:hAnsi="Times New Roman" w:eastAsia="宋体" w:cs="Times New Roman"/>
                <w:sz w:val="21"/>
                <w:szCs w:val="21"/>
              </w:rPr>
            </w:pPr>
          </w:p>
        </w:tc>
      </w:tr>
      <w:tr w14:paraId="7E75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690" w:type="dxa"/>
            <w:vMerge w:val="continue"/>
            <w:noWrap w:val="0"/>
            <w:vAlign w:val="center"/>
          </w:tcPr>
          <w:p w14:paraId="391FA1A5">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28E42D1A">
            <w:pPr>
              <w:spacing w:line="240" w:lineRule="auto"/>
              <w:ind w:firstLine="0" w:firstLineChars="0"/>
              <w:jc w:val="center"/>
              <w:textAlignment w:val="center"/>
              <w:rPr>
                <w:rFonts w:hint="eastAsia" w:ascii="宋体" w:hAnsi="宋体" w:eastAsia="宋体" w:cs="宋体"/>
                <w:kern w:val="0"/>
                <w:sz w:val="18"/>
                <w:szCs w:val="18"/>
              </w:rPr>
            </w:pPr>
          </w:p>
        </w:tc>
        <w:tc>
          <w:tcPr>
            <w:tcW w:w="1140" w:type="dxa"/>
            <w:vMerge w:val="continue"/>
            <w:noWrap w:val="0"/>
            <w:vAlign w:val="center"/>
          </w:tcPr>
          <w:p w14:paraId="086A89B5">
            <w:pPr>
              <w:spacing w:line="240" w:lineRule="auto"/>
              <w:ind w:firstLine="0" w:firstLineChars="0"/>
              <w:jc w:val="center"/>
              <w:textAlignment w:val="center"/>
              <w:rPr>
                <w:rFonts w:hint="eastAsia" w:ascii="宋体" w:hAnsi="宋体" w:eastAsia="宋体" w:cs="宋体"/>
                <w:sz w:val="18"/>
                <w:szCs w:val="18"/>
              </w:rPr>
            </w:pPr>
          </w:p>
        </w:tc>
        <w:tc>
          <w:tcPr>
            <w:tcW w:w="1011" w:type="dxa"/>
            <w:vMerge w:val="continue"/>
            <w:noWrap w:val="0"/>
            <w:vAlign w:val="center"/>
          </w:tcPr>
          <w:p w14:paraId="4AE63939">
            <w:pPr>
              <w:spacing w:line="240" w:lineRule="auto"/>
              <w:ind w:firstLine="0" w:firstLineChars="0"/>
              <w:jc w:val="center"/>
              <w:textAlignment w:val="center"/>
              <w:rPr>
                <w:rFonts w:hint="eastAsia" w:ascii="宋体" w:hAnsi="宋体" w:eastAsia="宋体" w:cs="宋体"/>
                <w:sz w:val="18"/>
                <w:szCs w:val="18"/>
              </w:rPr>
            </w:pPr>
          </w:p>
        </w:tc>
        <w:tc>
          <w:tcPr>
            <w:tcW w:w="1701" w:type="dxa"/>
            <w:noWrap w:val="0"/>
            <w:vAlign w:val="center"/>
          </w:tcPr>
          <w:p w14:paraId="45226AD6">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豆浆（自制）</w:t>
            </w:r>
          </w:p>
        </w:tc>
        <w:tc>
          <w:tcPr>
            <w:tcW w:w="4819" w:type="dxa"/>
            <w:noWrap w:val="0"/>
            <w:vAlign w:val="center"/>
          </w:tcPr>
          <w:p w14:paraId="554C2FB0">
            <w:pPr>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安赛蜜、尿酶试验（仅限豆浆检测）</w:t>
            </w:r>
          </w:p>
        </w:tc>
        <w:tc>
          <w:tcPr>
            <w:tcW w:w="669" w:type="dxa"/>
            <w:noWrap w:val="0"/>
            <w:vAlign w:val="center"/>
          </w:tcPr>
          <w:p w14:paraId="1FC4E285">
            <w:pPr>
              <w:spacing w:line="240" w:lineRule="auto"/>
              <w:ind w:firstLine="0" w:firstLineChars="0"/>
              <w:jc w:val="center"/>
              <w:rPr>
                <w:rFonts w:hint="eastAsia" w:ascii="宋体" w:hAnsi="宋体" w:eastAsia="宋体" w:cs="宋体"/>
                <w:b/>
                <w:sz w:val="18"/>
                <w:szCs w:val="18"/>
              </w:rPr>
            </w:pPr>
            <w:r>
              <w:rPr>
                <w:rFonts w:hint="eastAsia" w:ascii="宋体" w:hAnsi="宋体" w:eastAsia="宋体" w:cs="宋体"/>
                <w:b/>
                <w:sz w:val="18"/>
                <w:szCs w:val="18"/>
              </w:rPr>
              <w:t>1</w:t>
            </w:r>
          </w:p>
        </w:tc>
        <w:tc>
          <w:tcPr>
            <w:tcW w:w="1316" w:type="dxa"/>
            <w:noWrap w:val="0"/>
            <w:vAlign w:val="center"/>
          </w:tcPr>
          <w:p w14:paraId="7333414D">
            <w:pPr>
              <w:spacing w:line="240" w:lineRule="auto"/>
              <w:ind w:firstLine="360" w:firstLineChars="200"/>
              <w:jc w:val="center"/>
              <w:textAlignment w:val="center"/>
              <w:rPr>
                <w:rFonts w:hint="eastAsia" w:ascii="宋体" w:hAnsi="宋体" w:eastAsia="宋体" w:cs="宋体"/>
                <w:kern w:val="0"/>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3EF5BF93">
            <w:pPr>
              <w:spacing w:line="240" w:lineRule="auto"/>
              <w:ind w:firstLine="0" w:firstLineChars="0"/>
              <w:jc w:val="center"/>
              <w:textAlignment w:val="center"/>
              <w:rPr>
                <w:rFonts w:hint="eastAsia" w:ascii="Times New Roman" w:hAnsi="Times New Roman" w:eastAsia="宋体" w:cs="Times New Roman"/>
                <w:sz w:val="21"/>
                <w:szCs w:val="21"/>
              </w:rPr>
            </w:pPr>
          </w:p>
        </w:tc>
      </w:tr>
      <w:tr w14:paraId="0282D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90" w:type="dxa"/>
            <w:vMerge w:val="continue"/>
            <w:noWrap w:val="0"/>
            <w:vAlign w:val="center"/>
          </w:tcPr>
          <w:p w14:paraId="4D0431D5">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6AE8451E">
            <w:pPr>
              <w:spacing w:line="240" w:lineRule="auto"/>
              <w:ind w:firstLine="0" w:firstLineChars="0"/>
              <w:jc w:val="center"/>
              <w:textAlignment w:val="center"/>
              <w:rPr>
                <w:rFonts w:hint="eastAsia" w:ascii="宋体" w:hAnsi="宋体" w:eastAsia="宋体" w:cs="宋体"/>
                <w:kern w:val="0"/>
                <w:sz w:val="18"/>
                <w:szCs w:val="18"/>
              </w:rPr>
            </w:pPr>
          </w:p>
        </w:tc>
        <w:tc>
          <w:tcPr>
            <w:tcW w:w="1140" w:type="dxa"/>
            <w:vMerge w:val="continue"/>
            <w:noWrap w:val="0"/>
            <w:vAlign w:val="center"/>
          </w:tcPr>
          <w:p w14:paraId="456531DC">
            <w:pPr>
              <w:spacing w:line="240" w:lineRule="auto"/>
              <w:ind w:firstLine="0" w:firstLineChars="0"/>
              <w:jc w:val="center"/>
              <w:textAlignment w:val="center"/>
              <w:rPr>
                <w:rFonts w:hint="eastAsia" w:ascii="宋体" w:hAnsi="宋体" w:eastAsia="宋体" w:cs="宋体"/>
                <w:sz w:val="18"/>
                <w:szCs w:val="18"/>
              </w:rPr>
            </w:pPr>
          </w:p>
        </w:tc>
        <w:tc>
          <w:tcPr>
            <w:tcW w:w="1011" w:type="dxa"/>
            <w:vMerge w:val="continue"/>
            <w:noWrap w:val="0"/>
            <w:vAlign w:val="center"/>
          </w:tcPr>
          <w:p w14:paraId="11425EC4">
            <w:pPr>
              <w:spacing w:line="240" w:lineRule="auto"/>
              <w:ind w:firstLine="0" w:firstLineChars="0"/>
              <w:jc w:val="center"/>
              <w:textAlignment w:val="center"/>
              <w:rPr>
                <w:rFonts w:hint="eastAsia" w:ascii="宋体" w:hAnsi="宋体" w:eastAsia="宋体" w:cs="宋体"/>
                <w:sz w:val="18"/>
                <w:szCs w:val="18"/>
              </w:rPr>
            </w:pPr>
          </w:p>
        </w:tc>
        <w:tc>
          <w:tcPr>
            <w:tcW w:w="1701" w:type="dxa"/>
            <w:noWrap w:val="0"/>
            <w:vAlign w:val="center"/>
          </w:tcPr>
          <w:p w14:paraId="0D51DFE4">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其他饮料（自制）</w:t>
            </w:r>
          </w:p>
        </w:tc>
        <w:tc>
          <w:tcPr>
            <w:tcW w:w="4819" w:type="dxa"/>
            <w:noWrap w:val="0"/>
            <w:vAlign w:val="center"/>
          </w:tcPr>
          <w:p w14:paraId="07116D31">
            <w:pPr>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色素（视色泽而定）、</w:t>
            </w:r>
            <w:bookmarkStart w:id="55" w:name="OLE_LINK31"/>
            <w:bookmarkStart w:id="56" w:name="OLE_LINK30"/>
            <w:r>
              <w:rPr>
                <w:rFonts w:hint="eastAsia" w:ascii="宋体" w:hAnsi="宋体" w:eastAsia="宋体" w:cs="宋体"/>
                <w:sz w:val="18"/>
                <w:szCs w:val="18"/>
              </w:rPr>
              <w:t>甜蜜素（以环己基氨基磺酸计）、</w:t>
            </w:r>
            <w:bookmarkEnd w:id="55"/>
            <w:bookmarkEnd w:id="56"/>
            <w:r>
              <w:rPr>
                <w:rFonts w:hint="eastAsia" w:ascii="宋体" w:hAnsi="宋体" w:eastAsia="宋体" w:cs="宋体"/>
                <w:sz w:val="18"/>
                <w:szCs w:val="18"/>
              </w:rPr>
              <w:t>安赛蜜、糖精钠</w:t>
            </w:r>
          </w:p>
        </w:tc>
        <w:tc>
          <w:tcPr>
            <w:tcW w:w="669" w:type="dxa"/>
            <w:noWrap w:val="0"/>
            <w:vAlign w:val="center"/>
          </w:tcPr>
          <w:p w14:paraId="6C35612A">
            <w:pPr>
              <w:spacing w:line="240" w:lineRule="auto"/>
              <w:ind w:firstLine="0" w:firstLineChars="0"/>
              <w:jc w:val="center"/>
              <w:rPr>
                <w:rFonts w:hint="eastAsia" w:ascii="宋体" w:hAnsi="宋体" w:eastAsia="宋体" w:cs="宋体"/>
                <w:b/>
                <w:sz w:val="18"/>
                <w:szCs w:val="18"/>
              </w:rPr>
            </w:pPr>
            <w:r>
              <w:rPr>
                <w:rFonts w:hint="eastAsia" w:ascii="宋体" w:hAnsi="宋体" w:eastAsia="宋体" w:cs="宋体"/>
                <w:b/>
                <w:sz w:val="18"/>
                <w:szCs w:val="18"/>
              </w:rPr>
              <w:t>10</w:t>
            </w:r>
          </w:p>
        </w:tc>
        <w:tc>
          <w:tcPr>
            <w:tcW w:w="1316" w:type="dxa"/>
            <w:noWrap w:val="0"/>
            <w:vAlign w:val="center"/>
          </w:tcPr>
          <w:p w14:paraId="3495BD47">
            <w:pPr>
              <w:spacing w:line="240" w:lineRule="auto"/>
              <w:ind w:firstLine="360" w:firstLineChars="20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74D75CF1">
            <w:pPr>
              <w:spacing w:line="240" w:lineRule="auto"/>
              <w:ind w:firstLine="0" w:firstLineChars="0"/>
              <w:jc w:val="center"/>
              <w:textAlignment w:val="center"/>
              <w:rPr>
                <w:rFonts w:hint="eastAsia" w:ascii="Times New Roman" w:hAnsi="Times New Roman" w:eastAsia="宋体" w:cs="Times New Roman"/>
                <w:sz w:val="21"/>
                <w:szCs w:val="21"/>
              </w:rPr>
            </w:pPr>
          </w:p>
        </w:tc>
      </w:tr>
      <w:tr w14:paraId="0A6B5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690" w:type="dxa"/>
            <w:vMerge w:val="continue"/>
            <w:noWrap w:val="0"/>
            <w:vAlign w:val="center"/>
          </w:tcPr>
          <w:p w14:paraId="48ED12CF">
            <w:pPr>
              <w:spacing w:line="240" w:lineRule="auto"/>
              <w:ind w:firstLine="0" w:firstLineChars="0"/>
              <w:jc w:val="center"/>
              <w:rPr>
                <w:rFonts w:hint="eastAsia" w:ascii="宋体" w:hAnsi="宋体" w:eastAsia="宋体" w:cs="宋体"/>
                <w:b/>
                <w:sz w:val="21"/>
                <w:szCs w:val="21"/>
              </w:rPr>
            </w:pPr>
          </w:p>
        </w:tc>
        <w:tc>
          <w:tcPr>
            <w:tcW w:w="1095" w:type="dxa"/>
            <w:vMerge w:val="continue"/>
            <w:noWrap w:val="0"/>
            <w:vAlign w:val="center"/>
          </w:tcPr>
          <w:p w14:paraId="427A1471">
            <w:pPr>
              <w:spacing w:line="240" w:lineRule="auto"/>
              <w:ind w:firstLine="0" w:firstLineChars="0"/>
              <w:jc w:val="center"/>
              <w:textAlignment w:val="center"/>
              <w:rPr>
                <w:rFonts w:hint="eastAsia" w:ascii="宋体" w:hAnsi="宋体" w:eastAsia="宋体" w:cs="宋体"/>
                <w:kern w:val="0"/>
                <w:sz w:val="18"/>
                <w:szCs w:val="18"/>
              </w:rPr>
            </w:pPr>
          </w:p>
        </w:tc>
        <w:tc>
          <w:tcPr>
            <w:tcW w:w="1140" w:type="dxa"/>
            <w:noWrap w:val="0"/>
            <w:vAlign w:val="center"/>
          </w:tcPr>
          <w:p w14:paraId="334F804D">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餐饮具</w:t>
            </w:r>
          </w:p>
        </w:tc>
        <w:tc>
          <w:tcPr>
            <w:tcW w:w="1011" w:type="dxa"/>
            <w:noWrap w:val="0"/>
            <w:vAlign w:val="center"/>
          </w:tcPr>
          <w:p w14:paraId="65A5F0D3">
            <w:pPr>
              <w:spacing w:line="240" w:lineRule="auto"/>
              <w:ind w:firstLine="0" w:firstLineChars="0"/>
              <w:jc w:val="center"/>
              <w:textAlignment w:val="center"/>
              <w:rPr>
                <w:rFonts w:hint="eastAsia" w:ascii="宋体" w:hAnsi="宋体" w:eastAsia="宋体" w:cs="宋体"/>
                <w:sz w:val="18"/>
                <w:szCs w:val="18"/>
              </w:rPr>
            </w:pPr>
            <w:r>
              <w:rPr>
                <w:rFonts w:hint="eastAsia" w:ascii="宋体" w:hAnsi="宋体" w:eastAsia="宋体" w:cs="宋体"/>
                <w:sz w:val="18"/>
                <w:szCs w:val="18"/>
              </w:rPr>
              <w:t>复用餐饮具</w:t>
            </w:r>
          </w:p>
        </w:tc>
        <w:tc>
          <w:tcPr>
            <w:tcW w:w="1701" w:type="dxa"/>
            <w:noWrap w:val="0"/>
            <w:vAlign w:val="center"/>
          </w:tcPr>
          <w:p w14:paraId="194A2512">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复用餐饮具（餐馆自行消毒）、复用餐饮具（集中清洗消毒服务单位消毒）、操作台</w:t>
            </w:r>
          </w:p>
        </w:tc>
        <w:tc>
          <w:tcPr>
            <w:tcW w:w="4819" w:type="dxa"/>
            <w:noWrap w:val="0"/>
            <w:vAlign w:val="center"/>
          </w:tcPr>
          <w:p w14:paraId="39F57365">
            <w:pPr>
              <w:spacing w:line="240" w:lineRule="auto"/>
              <w:ind w:firstLine="0" w:firstLineChars="0"/>
              <w:jc w:val="left"/>
              <w:textAlignment w:val="center"/>
              <w:rPr>
                <w:rFonts w:hint="eastAsia" w:ascii="宋体" w:hAnsi="宋体" w:eastAsia="宋体" w:cs="宋体"/>
                <w:sz w:val="18"/>
                <w:szCs w:val="18"/>
              </w:rPr>
            </w:pPr>
            <w:r>
              <w:rPr>
                <w:rFonts w:hint="eastAsia" w:ascii="宋体" w:hAnsi="宋体" w:eastAsia="宋体" w:cs="宋体"/>
                <w:sz w:val="18"/>
                <w:szCs w:val="18"/>
              </w:rPr>
              <w:t>大肠菌群、阴离子合成洗涤剂（以十二烷基苯磺酸钠）</w:t>
            </w:r>
          </w:p>
        </w:tc>
        <w:tc>
          <w:tcPr>
            <w:tcW w:w="669" w:type="dxa"/>
            <w:noWrap w:val="0"/>
            <w:vAlign w:val="center"/>
          </w:tcPr>
          <w:p w14:paraId="67C11852">
            <w:pPr>
              <w:spacing w:line="240" w:lineRule="auto"/>
              <w:ind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val="en-US" w:eastAsia="zh-CN"/>
              </w:rPr>
              <w:t>18</w:t>
            </w:r>
          </w:p>
        </w:tc>
        <w:tc>
          <w:tcPr>
            <w:tcW w:w="1316" w:type="dxa"/>
            <w:noWrap w:val="0"/>
            <w:vAlign w:val="center"/>
          </w:tcPr>
          <w:p w14:paraId="5F00F5DF">
            <w:pPr>
              <w:spacing w:line="240" w:lineRule="auto"/>
              <w:ind w:firstLine="360" w:firstLineChars="200"/>
              <w:jc w:val="center"/>
              <w:textAlignment w:val="center"/>
              <w:rPr>
                <w:rFonts w:hint="eastAsia" w:ascii="Times New Roman" w:hAnsi="Times New Roman" w:eastAsia="宋体" w:cs="Times New Roman"/>
                <w:sz w:val="18"/>
                <w:szCs w:val="18"/>
              </w:rPr>
            </w:pPr>
            <w:r>
              <w:rPr>
                <w:rFonts w:hint="eastAsia" w:ascii="宋体" w:hAnsi="宋体" w:eastAsia="宋体" w:cs="宋体"/>
                <w:color w:val="000000"/>
                <w:sz w:val="18"/>
                <w:szCs w:val="18"/>
                <w:u w:val="none"/>
                <w:lang w:val="en-US" w:eastAsia="zh-CN"/>
              </w:rPr>
              <w:t>自合同签订之日起</w:t>
            </w:r>
            <w:r>
              <w:rPr>
                <w:rFonts w:hint="eastAsia" w:ascii="宋体" w:hAnsi="宋体" w:eastAsia="宋体" w:cs="宋体"/>
                <w:color w:val="000000"/>
                <w:sz w:val="18"/>
                <w:szCs w:val="18"/>
                <w:u w:val="none"/>
              </w:rPr>
              <w:t>-10月</w:t>
            </w:r>
          </w:p>
        </w:tc>
        <w:tc>
          <w:tcPr>
            <w:tcW w:w="1914" w:type="dxa"/>
            <w:vMerge w:val="continue"/>
            <w:noWrap w:val="0"/>
            <w:vAlign w:val="center"/>
          </w:tcPr>
          <w:p w14:paraId="6CD46EFB">
            <w:pPr>
              <w:spacing w:line="240" w:lineRule="auto"/>
              <w:ind w:firstLine="0" w:firstLineChars="0"/>
              <w:jc w:val="center"/>
              <w:textAlignment w:val="center"/>
              <w:rPr>
                <w:rFonts w:hint="eastAsia" w:ascii="Times New Roman" w:hAnsi="Times New Roman" w:eastAsia="宋体" w:cs="Times New Roman"/>
                <w:sz w:val="21"/>
                <w:szCs w:val="21"/>
              </w:rPr>
            </w:pPr>
          </w:p>
        </w:tc>
      </w:tr>
      <w:tr w14:paraId="5A218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10456" w:type="dxa"/>
            <w:gridSpan w:val="6"/>
            <w:noWrap w:val="0"/>
            <w:vAlign w:val="center"/>
          </w:tcPr>
          <w:p w14:paraId="038A1EF0">
            <w:pPr>
              <w:spacing w:line="240" w:lineRule="auto"/>
              <w:ind w:firstLine="0" w:firstLineChars="0"/>
              <w:jc w:val="center"/>
              <w:rPr>
                <w:rFonts w:hint="eastAsia" w:ascii="宋体" w:hAnsi="宋体" w:eastAsia="宋体" w:cs="宋体"/>
                <w:b/>
                <w:sz w:val="24"/>
              </w:rPr>
            </w:pPr>
            <w:r>
              <w:rPr>
                <w:rFonts w:hint="eastAsia" w:ascii="宋体" w:hAnsi="宋体" w:eastAsia="宋体" w:cs="宋体"/>
                <w:b/>
                <w:sz w:val="24"/>
              </w:rPr>
              <w:t>合计</w:t>
            </w:r>
          </w:p>
        </w:tc>
        <w:tc>
          <w:tcPr>
            <w:tcW w:w="3899" w:type="dxa"/>
            <w:gridSpan w:val="3"/>
            <w:noWrap w:val="0"/>
            <w:vAlign w:val="center"/>
          </w:tcPr>
          <w:p w14:paraId="72710C92">
            <w:pPr>
              <w:spacing w:line="240" w:lineRule="auto"/>
              <w:ind w:firstLine="0" w:firstLineChars="0"/>
              <w:jc w:val="center"/>
              <w:rPr>
                <w:rFonts w:hint="eastAsia" w:ascii="宋体" w:hAnsi="宋体" w:eastAsia="宋体" w:cs="宋体"/>
                <w:b/>
                <w:sz w:val="24"/>
              </w:rPr>
            </w:pPr>
            <w:r>
              <w:rPr>
                <w:rFonts w:hint="eastAsia" w:ascii="宋体" w:hAnsi="宋体" w:eastAsia="宋体" w:cs="宋体"/>
                <w:b/>
                <w:sz w:val="24"/>
                <w:lang w:val="en-US" w:eastAsia="zh-CN"/>
              </w:rPr>
              <w:t>356</w:t>
            </w:r>
            <w:r>
              <w:rPr>
                <w:rFonts w:hint="eastAsia" w:ascii="宋体" w:hAnsi="宋体" w:eastAsia="宋体" w:cs="宋体"/>
                <w:b/>
                <w:sz w:val="24"/>
              </w:rPr>
              <w:t>批次</w:t>
            </w:r>
          </w:p>
        </w:tc>
      </w:tr>
    </w:tbl>
    <w:p w14:paraId="439FCF72">
      <w:pPr>
        <w:spacing w:line="240" w:lineRule="auto"/>
        <w:ind w:firstLine="0" w:firstLineChars="0"/>
        <w:jc w:val="center"/>
        <w:rPr>
          <w:rFonts w:hint="eastAsia" w:ascii="Times New Roman" w:hAnsi="Times New Roman" w:eastAsia="宋体" w:cs="Times New Roman"/>
          <w:b/>
          <w:sz w:val="36"/>
          <w:szCs w:val="36"/>
        </w:rPr>
      </w:pPr>
    </w:p>
    <w:p w14:paraId="007D2AA4">
      <w:pPr>
        <w:spacing w:line="240" w:lineRule="auto"/>
        <w:ind w:firstLine="0" w:firstLineChars="0"/>
        <w:jc w:val="center"/>
        <w:rPr>
          <w:rFonts w:hint="eastAsia" w:ascii="Times New Roman" w:hAnsi="Times New Roman" w:eastAsia="宋体" w:cs="Times New Roman"/>
          <w:b/>
          <w:sz w:val="36"/>
          <w:szCs w:val="36"/>
        </w:rPr>
      </w:pPr>
    </w:p>
    <w:p w14:paraId="68512C40">
      <w:pPr>
        <w:spacing w:line="240" w:lineRule="auto"/>
        <w:ind w:firstLine="0" w:firstLineChars="0"/>
        <w:jc w:val="center"/>
        <w:rPr>
          <w:rFonts w:hint="eastAsia" w:ascii="Times New Roman" w:hAnsi="Times New Roman" w:eastAsia="宋体" w:cs="Times New Roman"/>
          <w:b/>
          <w:sz w:val="36"/>
          <w:szCs w:val="36"/>
        </w:rPr>
      </w:pPr>
    </w:p>
    <w:p w14:paraId="619D67F0">
      <w:pPr>
        <w:spacing w:line="240" w:lineRule="auto"/>
        <w:ind w:firstLine="0" w:firstLineChars="0"/>
        <w:jc w:val="center"/>
        <w:rPr>
          <w:rFonts w:hint="eastAsia" w:ascii="Times New Roman" w:hAnsi="Times New Roman" w:eastAsia="宋体" w:cs="Times New Roman"/>
          <w:b/>
          <w:sz w:val="36"/>
          <w:szCs w:val="36"/>
        </w:rPr>
      </w:pPr>
    </w:p>
    <w:p w14:paraId="0589C033">
      <w:pPr>
        <w:spacing w:line="240" w:lineRule="auto"/>
        <w:ind w:firstLine="0" w:firstLineChars="0"/>
        <w:jc w:val="center"/>
        <w:rPr>
          <w:rFonts w:hint="eastAsia" w:ascii="Times New Roman" w:hAnsi="Times New Roman" w:eastAsia="宋体" w:cs="Times New Roman"/>
          <w:b/>
          <w:sz w:val="36"/>
          <w:szCs w:val="36"/>
        </w:rPr>
      </w:pPr>
    </w:p>
    <w:p w14:paraId="20F4B0F9">
      <w:pPr>
        <w:spacing w:line="240" w:lineRule="auto"/>
        <w:ind w:firstLine="0" w:firstLineChars="0"/>
        <w:jc w:val="center"/>
        <w:rPr>
          <w:rFonts w:hint="eastAsia" w:ascii="Times New Roman" w:hAnsi="Times New Roman" w:eastAsia="宋体" w:cs="Times New Roman"/>
          <w:b/>
          <w:sz w:val="36"/>
          <w:szCs w:val="36"/>
        </w:rPr>
      </w:pPr>
    </w:p>
    <w:p w14:paraId="18750321">
      <w:pPr>
        <w:spacing w:line="240" w:lineRule="auto"/>
        <w:ind w:firstLine="0" w:firstLineChars="0"/>
        <w:jc w:val="center"/>
        <w:rPr>
          <w:rFonts w:hint="eastAsia" w:ascii="Times New Roman" w:hAnsi="Times New Roman" w:eastAsia="宋体" w:cs="Times New Roman"/>
          <w:b/>
          <w:sz w:val="36"/>
          <w:szCs w:val="36"/>
        </w:rPr>
      </w:pPr>
    </w:p>
    <w:p w14:paraId="0A25F4E9">
      <w:pPr>
        <w:spacing w:line="240" w:lineRule="auto"/>
        <w:ind w:firstLine="0" w:firstLineChars="0"/>
        <w:jc w:val="center"/>
        <w:rPr>
          <w:rFonts w:hint="eastAsia" w:ascii="Times New Roman" w:hAnsi="Times New Roman" w:eastAsia="宋体" w:cs="Times New Roman"/>
          <w:b/>
          <w:sz w:val="36"/>
          <w:szCs w:val="36"/>
        </w:rPr>
      </w:pPr>
    </w:p>
    <w:p w14:paraId="133CEFEF">
      <w:pPr>
        <w:spacing w:line="240" w:lineRule="auto"/>
        <w:ind w:firstLine="0" w:firstLineChars="0"/>
        <w:jc w:val="center"/>
        <w:rPr>
          <w:rFonts w:hint="eastAsia" w:ascii="Times New Roman" w:hAnsi="Times New Roman" w:eastAsia="宋体" w:cs="Times New Roman"/>
          <w:b/>
          <w:sz w:val="36"/>
          <w:szCs w:val="36"/>
        </w:rPr>
      </w:pPr>
    </w:p>
    <w:p w14:paraId="4927327E">
      <w:pPr>
        <w:spacing w:line="240" w:lineRule="auto"/>
        <w:ind w:firstLine="0" w:firstLineChars="0"/>
        <w:jc w:val="center"/>
        <w:rPr>
          <w:rFonts w:hint="eastAsia" w:ascii="Times New Roman" w:hAnsi="Times New Roman" w:eastAsia="宋体" w:cs="Times New Roman"/>
          <w:b/>
          <w:sz w:val="36"/>
          <w:szCs w:val="36"/>
        </w:rPr>
      </w:pPr>
      <w:r>
        <w:rPr>
          <w:rFonts w:hint="eastAsia" w:ascii="Times New Roman" w:hAnsi="Times New Roman" w:eastAsia="宋体" w:cs="Times New Roman"/>
          <w:b/>
          <w:sz w:val="36"/>
          <w:szCs w:val="36"/>
        </w:rPr>
        <w:t>202</w:t>
      </w:r>
      <w:r>
        <w:rPr>
          <w:rFonts w:hint="eastAsia" w:ascii="Times New Roman" w:hAnsi="Times New Roman" w:eastAsia="宋体" w:cs="Times New Roman"/>
          <w:b/>
          <w:sz w:val="36"/>
          <w:szCs w:val="36"/>
          <w:lang w:val="en-US" w:eastAsia="zh-CN"/>
        </w:rPr>
        <w:t>6</w:t>
      </w:r>
      <w:r>
        <w:rPr>
          <w:rFonts w:hint="eastAsia" w:ascii="Times New Roman" w:hAnsi="Times New Roman" w:eastAsia="宋体" w:cs="Times New Roman"/>
          <w:b/>
          <w:sz w:val="36"/>
          <w:szCs w:val="36"/>
        </w:rPr>
        <w:t>年食品安全监督抽检方案（食用农产品）</w:t>
      </w:r>
    </w:p>
    <w:p w14:paraId="49526AC5">
      <w:pPr>
        <w:tabs>
          <w:tab w:val="left" w:pos="720"/>
        </w:tabs>
        <w:adjustRightInd w:val="0"/>
        <w:snapToGrid w:val="0"/>
        <w:spacing w:line="440" w:lineRule="exact"/>
        <w:ind w:firstLine="0" w:firstLineChars="0"/>
        <w:rPr>
          <w:rFonts w:hint="eastAsia" w:ascii="黑体" w:hAnsi="仿宋" w:eastAsia="黑体" w:cs="Times New Roman"/>
          <w:sz w:val="32"/>
          <w:szCs w:val="32"/>
        </w:rPr>
      </w:pPr>
    </w:p>
    <w:tbl>
      <w:tblPr>
        <w:tblStyle w:val="46"/>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36"/>
        <w:gridCol w:w="1134"/>
        <w:gridCol w:w="1135"/>
        <w:gridCol w:w="1560"/>
        <w:gridCol w:w="5103"/>
        <w:gridCol w:w="709"/>
        <w:gridCol w:w="1417"/>
        <w:gridCol w:w="1473"/>
      </w:tblGrid>
      <w:tr w14:paraId="7D0A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 w:type="dxa"/>
            <w:noWrap w:val="0"/>
            <w:vAlign w:val="center"/>
          </w:tcPr>
          <w:p w14:paraId="349B2279">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序</w:t>
            </w:r>
          </w:p>
          <w:p w14:paraId="0E4CFD5F">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号</w:t>
            </w:r>
          </w:p>
        </w:tc>
        <w:tc>
          <w:tcPr>
            <w:tcW w:w="1136" w:type="dxa"/>
            <w:noWrap w:val="0"/>
            <w:vAlign w:val="center"/>
          </w:tcPr>
          <w:p w14:paraId="35A6834A">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食品大类（一级）</w:t>
            </w:r>
          </w:p>
        </w:tc>
        <w:tc>
          <w:tcPr>
            <w:tcW w:w="1134" w:type="dxa"/>
            <w:noWrap w:val="0"/>
            <w:vAlign w:val="center"/>
          </w:tcPr>
          <w:p w14:paraId="1A6D8544">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食品亚类（二级）</w:t>
            </w:r>
          </w:p>
        </w:tc>
        <w:tc>
          <w:tcPr>
            <w:tcW w:w="1135" w:type="dxa"/>
            <w:noWrap w:val="0"/>
            <w:vAlign w:val="center"/>
          </w:tcPr>
          <w:p w14:paraId="113EA6E0">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食品系类</w:t>
            </w:r>
          </w:p>
          <w:p w14:paraId="5AF71568">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（三级）</w:t>
            </w:r>
          </w:p>
        </w:tc>
        <w:tc>
          <w:tcPr>
            <w:tcW w:w="1560" w:type="dxa"/>
            <w:noWrap w:val="0"/>
            <w:vAlign w:val="center"/>
          </w:tcPr>
          <w:p w14:paraId="647B8272">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食品系类（四类）及抽检范围</w:t>
            </w:r>
          </w:p>
        </w:tc>
        <w:tc>
          <w:tcPr>
            <w:tcW w:w="5103" w:type="dxa"/>
            <w:noWrap w:val="0"/>
            <w:vAlign w:val="center"/>
          </w:tcPr>
          <w:p w14:paraId="57EE7897">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检测项目</w:t>
            </w:r>
          </w:p>
        </w:tc>
        <w:tc>
          <w:tcPr>
            <w:tcW w:w="709" w:type="dxa"/>
            <w:noWrap w:val="0"/>
            <w:vAlign w:val="center"/>
          </w:tcPr>
          <w:p w14:paraId="4F8EF538">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抽检总量</w:t>
            </w:r>
          </w:p>
        </w:tc>
        <w:tc>
          <w:tcPr>
            <w:tcW w:w="1417" w:type="dxa"/>
            <w:noWrap w:val="0"/>
            <w:vAlign w:val="center"/>
          </w:tcPr>
          <w:p w14:paraId="0B8F1049">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抽样时间安排</w:t>
            </w:r>
          </w:p>
        </w:tc>
        <w:tc>
          <w:tcPr>
            <w:tcW w:w="1473" w:type="dxa"/>
            <w:noWrap w:val="0"/>
            <w:vAlign w:val="center"/>
          </w:tcPr>
          <w:p w14:paraId="68F24ACD">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备   注</w:t>
            </w:r>
          </w:p>
        </w:tc>
      </w:tr>
      <w:tr w14:paraId="40978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507" w:type="dxa"/>
            <w:vMerge w:val="restart"/>
            <w:noWrap w:val="0"/>
            <w:vAlign w:val="center"/>
          </w:tcPr>
          <w:p w14:paraId="0C297298">
            <w:pPr>
              <w:spacing w:line="240" w:lineRule="auto"/>
              <w:ind w:firstLine="0" w:firstLineChars="0"/>
              <w:jc w:val="center"/>
              <w:rPr>
                <w:rFonts w:hint="eastAsia" w:ascii="宋体" w:hAnsi="宋体" w:eastAsia="宋体" w:cs="宋体"/>
                <w:b/>
                <w:bCs/>
                <w:sz w:val="24"/>
              </w:rPr>
            </w:pPr>
            <w:r>
              <w:rPr>
                <w:rFonts w:hint="eastAsia" w:ascii="宋体" w:hAnsi="宋体" w:eastAsia="宋体" w:cs="宋体"/>
                <w:b/>
                <w:bCs/>
                <w:sz w:val="24"/>
              </w:rPr>
              <w:t>1</w:t>
            </w:r>
          </w:p>
        </w:tc>
        <w:tc>
          <w:tcPr>
            <w:tcW w:w="1136" w:type="dxa"/>
            <w:vMerge w:val="restart"/>
            <w:noWrap w:val="0"/>
            <w:vAlign w:val="center"/>
          </w:tcPr>
          <w:p w14:paraId="73DFD613">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食用农产品</w:t>
            </w:r>
          </w:p>
        </w:tc>
        <w:tc>
          <w:tcPr>
            <w:tcW w:w="1134" w:type="dxa"/>
            <w:vMerge w:val="restart"/>
            <w:noWrap w:val="0"/>
            <w:vAlign w:val="center"/>
          </w:tcPr>
          <w:p w14:paraId="4119C8BB">
            <w:pPr>
              <w:spacing w:line="240" w:lineRule="auto"/>
              <w:ind w:firstLine="0" w:firstLineChars="0"/>
              <w:jc w:val="center"/>
              <w:rPr>
                <w:rFonts w:hint="eastAsia" w:ascii="宋体" w:hAnsi="宋体" w:eastAsia="宋体" w:cs="宋体"/>
                <w:kern w:val="0"/>
                <w:sz w:val="18"/>
                <w:szCs w:val="18"/>
              </w:rPr>
            </w:pPr>
          </w:p>
          <w:p w14:paraId="32A61F07">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畜禽肉及副产品</w:t>
            </w:r>
          </w:p>
        </w:tc>
        <w:tc>
          <w:tcPr>
            <w:tcW w:w="1135" w:type="dxa"/>
            <w:vMerge w:val="restart"/>
            <w:noWrap w:val="0"/>
            <w:vAlign w:val="center"/>
          </w:tcPr>
          <w:p w14:paraId="6B0A8678">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畜肉</w:t>
            </w:r>
          </w:p>
        </w:tc>
        <w:tc>
          <w:tcPr>
            <w:tcW w:w="1560" w:type="dxa"/>
            <w:noWrap w:val="0"/>
            <w:vAlign w:val="center"/>
          </w:tcPr>
          <w:p w14:paraId="080203FE">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猪肉</w:t>
            </w:r>
          </w:p>
        </w:tc>
        <w:tc>
          <w:tcPr>
            <w:tcW w:w="5103" w:type="dxa"/>
            <w:noWrap w:val="0"/>
            <w:vAlign w:val="center"/>
          </w:tcPr>
          <w:p w14:paraId="61BA2522">
            <w:pPr>
              <w:spacing w:line="240" w:lineRule="auto"/>
              <w:ind w:firstLine="0" w:firstLineChars="0"/>
              <w:textAlignment w:val="center"/>
              <w:rPr>
                <w:rFonts w:ascii="宋体" w:hAnsi="宋体" w:eastAsia="宋体" w:cs="宋体"/>
                <w:kern w:val="0"/>
                <w:sz w:val="18"/>
                <w:szCs w:val="18"/>
              </w:rPr>
            </w:pPr>
            <w:r>
              <w:rPr>
                <w:rFonts w:hint="eastAsia" w:ascii="宋体" w:hAnsi="宋体" w:eastAsia="宋体" w:cs="宋体"/>
                <w:kern w:val="0"/>
                <w:sz w:val="18"/>
                <w:szCs w:val="18"/>
              </w:rPr>
              <w:t>恩诺沙星、</w:t>
            </w:r>
            <w:r>
              <w:rPr>
                <w:rFonts w:hint="eastAsia" w:ascii="宋体" w:hAnsi="宋体" w:eastAsia="宋体" w:cs="宋体"/>
                <w:kern w:val="0"/>
                <w:sz w:val="18"/>
                <w:szCs w:val="18"/>
                <w:lang w:eastAsia="zh-CN"/>
              </w:rPr>
              <w:t>氟苯尼考、</w:t>
            </w:r>
            <w:r>
              <w:rPr>
                <w:rFonts w:hint="eastAsia" w:ascii="宋体" w:hAnsi="宋体" w:eastAsia="宋体" w:cs="宋体"/>
                <w:kern w:val="0"/>
                <w:sz w:val="18"/>
                <w:szCs w:val="18"/>
              </w:rPr>
              <w:t>磺胺类（总量）、</w:t>
            </w:r>
            <w:r>
              <w:rPr>
                <w:rFonts w:hint="eastAsia" w:ascii="宋体" w:hAnsi="宋体" w:eastAsia="宋体" w:cs="宋体"/>
                <w:kern w:val="0"/>
                <w:sz w:val="18"/>
                <w:szCs w:val="18"/>
                <w:lang w:eastAsia="zh-CN"/>
              </w:rPr>
              <w:t>氯霉素、沙丁胺醇、多西环素、水分</w:t>
            </w:r>
          </w:p>
        </w:tc>
        <w:tc>
          <w:tcPr>
            <w:tcW w:w="709" w:type="dxa"/>
            <w:noWrap w:val="0"/>
            <w:vAlign w:val="center"/>
          </w:tcPr>
          <w:p w14:paraId="4F52D401">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3</w:t>
            </w:r>
          </w:p>
        </w:tc>
        <w:tc>
          <w:tcPr>
            <w:tcW w:w="1417" w:type="dxa"/>
            <w:vMerge w:val="restart"/>
            <w:noWrap w:val="0"/>
            <w:vAlign w:val="center"/>
          </w:tcPr>
          <w:p w14:paraId="5CDBF18D">
            <w:pPr>
              <w:spacing w:line="240" w:lineRule="auto"/>
              <w:ind w:firstLine="0" w:firstLineChars="0"/>
              <w:jc w:val="center"/>
              <w:rPr>
                <w:rFonts w:hint="eastAsia" w:ascii="宋体" w:hAnsi="宋体" w:eastAsia="宋体" w:cs="宋体"/>
                <w:sz w:val="18"/>
                <w:szCs w:val="18"/>
              </w:rPr>
            </w:pPr>
            <w:bookmarkStart w:id="57" w:name="OLE_LINK104"/>
            <w:bookmarkStart w:id="58" w:name="OLE_LINK105"/>
            <w:r>
              <w:rPr>
                <w:rFonts w:hint="eastAsia" w:ascii="宋体" w:hAnsi="宋体" w:eastAsia="宋体" w:cs="宋体"/>
                <w:sz w:val="18"/>
                <w:szCs w:val="18"/>
              </w:rPr>
              <w:t>按时令</w:t>
            </w:r>
          </w:p>
          <w:p w14:paraId="7624A0AD">
            <w:pPr>
              <w:spacing w:line="240" w:lineRule="auto"/>
              <w:ind w:firstLine="0" w:firstLineChars="0"/>
              <w:jc w:val="center"/>
              <w:rPr>
                <w:rFonts w:hint="eastAsia" w:ascii="宋体" w:hAnsi="宋体" w:eastAsia="宋体" w:cs="宋体"/>
                <w:sz w:val="18"/>
                <w:szCs w:val="18"/>
              </w:rPr>
            </w:pPr>
            <w:r>
              <w:rPr>
                <w:rFonts w:hint="eastAsia" w:ascii="宋体" w:hAnsi="宋体" w:eastAsia="宋体" w:cs="宋体"/>
                <w:sz w:val="18"/>
                <w:szCs w:val="18"/>
              </w:rPr>
              <w:t>性季节</w:t>
            </w:r>
          </w:p>
          <w:p w14:paraId="65586C1B">
            <w:pPr>
              <w:spacing w:line="240" w:lineRule="auto"/>
              <w:ind w:firstLine="0" w:firstLineChars="0"/>
              <w:jc w:val="center"/>
              <w:rPr>
                <w:rFonts w:ascii="宋体" w:hAnsi="宋体" w:eastAsia="宋体" w:cs="宋体"/>
                <w:b/>
                <w:bCs/>
                <w:sz w:val="18"/>
                <w:szCs w:val="18"/>
              </w:rPr>
            </w:pPr>
            <w:r>
              <w:rPr>
                <w:rFonts w:hint="eastAsia" w:ascii="宋体" w:hAnsi="宋体" w:eastAsia="宋体" w:cs="宋体"/>
                <w:sz w:val="18"/>
                <w:szCs w:val="18"/>
              </w:rPr>
              <w:t>抽取</w:t>
            </w:r>
            <w:bookmarkEnd w:id="57"/>
            <w:bookmarkEnd w:id="58"/>
          </w:p>
          <w:p w14:paraId="10FF6642">
            <w:pPr>
              <w:spacing w:line="240" w:lineRule="auto"/>
              <w:ind w:firstLine="0" w:firstLineChars="0"/>
              <w:jc w:val="center"/>
              <w:rPr>
                <w:rFonts w:hint="eastAsia" w:ascii="宋体" w:hAnsi="宋体" w:eastAsia="宋体" w:cs="宋体"/>
                <w:b/>
                <w:bCs/>
                <w:sz w:val="18"/>
                <w:szCs w:val="18"/>
              </w:rPr>
            </w:pPr>
          </w:p>
        </w:tc>
        <w:tc>
          <w:tcPr>
            <w:tcW w:w="1473" w:type="dxa"/>
            <w:vMerge w:val="restart"/>
            <w:noWrap w:val="0"/>
            <w:vAlign w:val="center"/>
          </w:tcPr>
          <w:p w14:paraId="2AFD2A62">
            <w:pPr>
              <w:spacing w:line="240" w:lineRule="auto"/>
              <w:ind w:firstLine="0" w:firstLineChars="0"/>
              <w:jc w:val="center"/>
              <w:rPr>
                <w:rFonts w:ascii="宋体" w:hAnsi="宋体" w:eastAsia="宋体" w:cs="宋体"/>
                <w:b/>
                <w:bCs/>
                <w:sz w:val="18"/>
                <w:szCs w:val="18"/>
              </w:rPr>
            </w:pPr>
            <w:r>
              <w:rPr>
                <w:rFonts w:hint="eastAsia" w:ascii="宋体" w:hAnsi="宋体" w:eastAsia="宋体" w:cs="宋体"/>
                <w:sz w:val="18"/>
                <w:szCs w:val="18"/>
              </w:rPr>
              <w:t>各辖区农贸市场、超市、学校、餐饮、食用农产品批发零售商店</w:t>
            </w:r>
          </w:p>
          <w:p w14:paraId="5E9E7D81">
            <w:pPr>
              <w:spacing w:line="240" w:lineRule="auto"/>
              <w:ind w:firstLine="0" w:firstLineChars="0"/>
              <w:jc w:val="center"/>
              <w:rPr>
                <w:rFonts w:hint="eastAsia" w:ascii="宋体" w:hAnsi="宋体" w:eastAsia="宋体" w:cs="宋体"/>
                <w:b/>
                <w:bCs/>
                <w:sz w:val="18"/>
                <w:szCs w:val="18"/>
              </w:rPr>
            </w:pPr>
          </w:p>
        </w:tc>
      </w:tr>
      <w:tr w14:paraId="36D4D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07" w:type="dxa"/>
            <w:vMerge w:val="continue"/>
            <w:noWrap w:val="0"/>
            <w:vAlign w:val="center"/>
          </w:tcPr>
          <w:p w14:paraId="0D430742">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0E74C093">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68F4DC6E">
            <w:pPr>
              <w:spacing w:line="240" w:lineRule="auto"/>
              <w:ind w:firstLine="0" w:firstLineChars="0"/>
              <w:jc w:val="center"/>
              <w:rPr>
                <w:rFonts w:hint="eastAsia" w:ascii="宋体" w:hAnsi="宋体" w:eastAsia="宋体" w:cs="宋体"/>
                <w:kern w:val="0"/>
                <w:sz w:val="18"/>
                <w:szCs w:val="18"/>
              </w:rPr>
            </w:pPr>
          </w:p>
        </w:tc>
        <w:tc>
          <w:tcPr>
            <w:tcW w:w="1135" w:type="dxa"/>
            <w:vMerge w:val="continue"/>
            <w:noWrap w:val="0"/>
            <w:vAlign w:val="center"/>
          </w:tcPr>
          <w:p w14:paraId="6DEFEFFD">
            <w:pPr>
              <w:spacing w:line="240" w:lineRule="auto"/>
              <w:ind w:firstLine="0" w:firstLineChars="0"/>
              <w:jc w:val="center"/>
              <w:rPr>
                <w:rFonts w:hint="eastAsia" w:ascii="宋体" w:hAnsi="宋体" w:eastAsia="宋体" w:cs="宋体"/>
                <w:kern w:val="0"/>
                <w:sz w:val="18"/>
                <w:szCs w:val="18"/>
              </w:rPr>
            </w:pPr>
          </w:p>
        </w:tc>
        <w:tc>
          <w:tcPr>
            <w:tcW w:w="1560" w:type="dxa"/>
            <w:noWrap w:val="0"/>
            <w:vAlign w:val="center"/>
          </w:tcPr>
          <w:p w14:paraId="7662D84B">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牛肉</w:t>
            </w:r>
          </w:p>
        </w:tc>
        <w:tc>
          <w:tcPr>
            <w:tcW w:w="5103" w:type="dxa"/>
            <w:noWrap w:val="0"/>
            <w:vAlign w:val="center"/>
          </w:tcPr>
          <w:p w14:paraId="3A71FA71">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地塞米松、恩诺沙星、磺胺类（总量）、</w:t>
            </w:r>
            <w:r>
              <w:rPr>
                <w:rFonts w:hint="eastAsia" w:ascii="宋体" w:hAnsi="宋体" w:eastAsia="宋体" w:cs="宋体"/>
                <w:kern w:val="0"/>
                <w:sz w:val="18"/>
                <w:szCs w:val="18"/>
                <w:lang w:eastAsia="zh-CN"/>
              </w:rPr>
              <w:t>克伦特罗、氯霉素、氟苯尼考、水分</w:t>
            </w:r>
          </w:p>
        </w:tc>
        <w:tc>
          <w:tcPr>
            <w:tcW w:w="709" w:type="dxa"/>
            <w:noWrap w:val="0"/>
            <w:vAlign w:val="center"/>
          </w:tcPr>
          <w:p w14:paraId="1A0DFF76">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3</w:t>
            </w:r>
          </w:p>
        </w:tc>
        <w:tc>
          <w:tcPr>
            <w:tcW w:w="1417" w:type="dxa"/>
            <w:vMerge w:val="continue"/>
            <w:noWrap w:val="0"/>
            <w:vAlign w:val="center"/>
          </w:tcPr>
          <w:p w14:paraId="5FBE6705">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75FB7C06">
            <w:pPr>
              <w:spacing w:line="240" w:lineRule="auto"/>
              <w:ind w:firstLine="0" w:firstLineChars="0"/>
              <w:jc w:val="center"/>
              <w:rPr>
                <w:rFonts w:hint="eastAsia" w:ascii="宋体" w:hAnsi="宋体" w:eastAsia="宋体" w:cs="宋体"/>
                <w:b/>
                <w:bCs/>
                <w:sz w:val="18"/>
                <w:szCs w:val="18"/>
              </w:rPr>
            </w:pPr>
          </w:p>
        </w:tc>
      </w:tr>
      <w:tr w14:paraId="7722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507" w:type="dxa"/>
            <w:vMerge w:val="continue"/>
            <w:noWrap w:val="0"/>
            <w:vAlign w:val="center"/>
          </w:tcPr>
          <w:p w14:paraId="7A21F469">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5FC5C699">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27ADDA75">
            <w:pPr>
              <w:spacing w:line="240" w:lineRule="auto"/>
              <w:ind w:firstLine="0" w:firstLineChars="0"/>
              <w:jc w:val="center"/>
              <w:rPr>
                <w:rFonts w:hint="eastAsia" w:ascii="宋体" w:hAnsi="宋体" w:eastAsia="宋体" w:cs="宋体"/>
                <w:kern w:val="0"/>
                <w:sz w:val="18"/>
                <w:szCs w:val="18"/>
              </w:rPr>
            </w:pPr>
          </w:p>
        </w:tc>
        <w:tc>
          <w:tcPr>
            <w:tcW w:w="1135" w:type="dxa"/>
            <w:vMerge w:val="continue"/>
            <w:noWrap w:val="0"/>
            <w:vAlign w:val="center"/>
          </w:tcPr>
          <w:p w14:paraId="673C9B81">
            <w:pPr>
              <w:spacing w:line="240" w:lineRule="auto"/>
              <w:ind w:firstLine="0" w:firstLineChars="0"/>
              <w:jc w:val="center"/>
              <w:rPr>
                <w:rFonts w:hint="eastAsia" w:ascii="宋体" w:hAnsi="宋体" w:eastAsia="宋体" w:cs="宋体"/>
                <w:kern w:val="0"/>
                <w:sz w:val="18"/>
                <w:szCs w:val="18"/>
              </w:rPr>
            </w:pPr>
          </w:p>
        </w:tc>
        <w:tc>
          <w:tcPr>
            <w:tcW w:w="1560" w:type="dxa"/>
            <w:noWrap w:val="0"/>
            <w:vAlign w:val="center"/>
          </w:tcPr>
          <w:p w14:paraId="6F673C8B">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羊肉</w:t>
            </w:r>
          </w:p>
        </w:tc>
        <w:tc>
          <w:tcPr>
            <w:tcW w:w="5103" w:type="dxa"/>
            <w:noWrap w:val="0"/>
            <w:vAlign w:val="center"/>
          </w:tcPr>
          <w:p w14:paraId="74FEFC8B">
            <w:pPr>
              <w:spacing w:line="240" w:lineRule="auto"/>
              <w:ind w:firstLine="0" w:firstLineChars="0"/>
              <w:textAlignment w:val="center"/>
              <w:rPr>
                <w:rFonts w:ascii="宋体" w:hAnsi="宋体" w:eastAsia="宋体" w:cs="宋体"/>
                <w:kern w:val="0"/>
                <w:sz w:val="18"/>
                <w:szCs w:val="18"/>
              </w:rPr>
            </w:pPr>
            <w:r>
              <w:rPr>
                <w:rFonts w:hint="eastAsia" w:ascii="宋体" w:hAnsi="宋体" w:eastAsia="宋体" w:cs="宋体"/>
                <w:kern w:val="0"/>
                <w:sz w:val="18"/>
                <w:szCs w:val="18"/>
              </w:rPr>
              <w:t>恩诺沙星、磺胺类（总量）、</w:t>
            </w:r>
            <w:r>
              <w:rPr>
                <w:rFonts w:hint="eastAsia" w:ascii="宋体" w:hAnsi="宋体" w:eastAsia="宋体" w:cs="宋体"/>
                <w:kern w:val="0"/>
                <w:sz w:val="18"/>
                <w:szCs w:val="18"/>
                <w:lang w:eastAsia="zh-CN"/>
              </w:rPr>
              <w:t>克伦特罗、氯霉素、水分</w:t>
            </w:r>
          </w:p>
        </w:tc>
        <w:tc>
          <w:tcPr>
            <w:tcW w:w="709" w:type="dxa"/>
            <w:noWrap w:val="0"/>
            <w:vAlign w:val="center"/>
          </w:tcPr>
          <w:p w14:paraId="67A5A5A6">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3</w:t>
            </w:r>
          </w:p>
        </w:tc>
        <w:tc>
          <w:tcPr>
            <w:tcW w:w="1417" w:type="dxa"/>
            <w:vMerge w:val="continue"/>
            <w:noWrap w:val="0"/>
            <w:vAlign w:val="center"/>
          </w:tcPr>
          <w:p w14:paraId="49B51C4F">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1D152099">
            <w:pPr>
              <w:spacing w:line="240" w:lineRule="auto"/>
              <w:ind w:firstLine="0" w:firstLineChars="0"/>
              <w:jc w:val="center"/>
              <w:rPr>
                <w:rFonts w:hint="eastAsia" w:ascii="宋体" w:hAnsi="宋体" w:eastAsia="宋体" w:cs="宋体"/>
                <w:b/>
                <w:bCs/>
                <w:sz w:val="18"/>
                <w:szCs w:val="18"/>
              </w:rPr>
            </w:pPr>
          </w:p>
        </w:tc>
      </w:tr>
      <w:tr w14:paraId="51814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07" w:type="dxa"/>
            <w:vMerge w:val="continue"/>
            <w:noWrap w:val="0"/>
            <w:vAlign w:val="center"/>
          </w:tcPr>
          <w:p w14:paraId="0DE78BBB">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0643D247">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0120C2C9">
            <w:pPr>
              <w:spacing w:line="240" w:lineRule="auto"/>
              <w:ind w:firstLine="0" w:firstLineChars="0"/>
              <w:jc w:val="center"/>
              <w:rPr>
                <w:rFonts w:hint="eastAsia" w:ascii="宋体" w:hAnsi="宋体" w:eastAsia="宋体" w:cs="宋体"/>
                <w:kern w:val="0"/>
                <w:sz w:val="18"/>
                <w:szCs w:val="18"/>
              </w:rPr>
            </w:pPr>
          </w:p>
        </w:tc>
        <w:tc>
          <w:tcPr>
            <w:tcW w:w="1135" w:type="dxa"/>
            <w:noWrap w:val="0"/>
            <w:vAlign w:val="center"/>
          </w:tcPr>
          <w:p w14:paraId="7E32600C">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畜副产品</w:t>
            </w:r>
          </w:p>
        </w:tc>
        <w:tc>
          <w:tcPr>
            <w:tcW w:w="1560" w:type="dxa"/>
            <w:noWrap w:val="0"/>
            <w:vAlign w:val="center"/>
          </w:tcPr>
          <w:p w14:paraId="5BD9AF69">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猪肝</w:t>
            </w:r>
          </w:p>
        </w:tc>
        <w:tc>
          <w:tcPr>
            <w:tcW w:w="5103" w:type="dxa"/>
            <w:noWrap w:val="0"/>
            <w:vAlign w:val="center"/>
          </w:tcPr>
          <w:p w14:paraId="286A02E5">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恩诺沙星、磺胺类（总量）、</w:t>
            </w:r>
            <w:r>
              <w:rPr>
                <w:rFonts w:hint="eastAsia" w:ascii="宋体" w:hAnsi="宋体" w:eastAsia="宋体" w:cs="宋体"/>
                <w:kern w:val="0"/>
                <w:sz w:val="18"/>
                <w:szCs w:val="18"/>
                <w:lang w:eastAsia="zh-CN"/>
              </w:rPr>
              <w:t>甲氧苄啶</w:t>
            </w:r>
          </w:p>
        </w:tc>
        <w:tc>
          <w:tcPr>
            <w:tcW w:w="709" w:type="dxa"/>
            <w:noWrap w:val="0"/>
            <w:vAlign w:val="center"/>
          </w:tcPr>
          <w:p w14:paraId="29D6DB65">
            <w:pPr>
              <w:spacing w:line="240" w:lineRule="auto"/>
              <w:ind w:firstLine="0" w:firstLineChars="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2</w:t>
            </w:r>
          </w:p>
        </w:tc>
        <w:tc>
          <w:tcPr>
            <w:tcW w:w="1417" w:type="dxa"/>
            <w:vMerge w:val="continue"/>
            <w:noWrap w:val="0"/>
            <w:vAlign w:val="center"/>
          </w:tcPr>
          <w:p w14:paraId="0321AF94">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4D6E0828">
            <w:pPr>
              <w:spacing w:line="240" w:lineRule="auto"/>
              <w:ind w:firstLine="0" w:firstLineChars="0"/>
              <w:jc w:val="center"/>
              <w:rPr>
                <w:rFonts w:hint="eastAsia" w:ascii="宋体" w:hAnsi="宋体" w:eastAsia="宋体" w:cs="宋体"/>
                <w:b/>
                <w:bCs/>
                <w:sz w:val="18"/>
                <w:szCs w:val="18"/>
              </w:rPr>
            </w:pPr>
          </w:p>
        </w:tc>
      </w:tr>
      <w:tr w14:paraId="17463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507" w:type="dxa"/>
            <w:vMerge w:val="continue"/>
            <w:noWrap w:val="0"/>
            <w:vAlign w:val="center"/>
          </w:tcPr>
          <w:p w14:paraId="62B6861F">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0EEE32A0">
            <w:pPr>
              <w:spacing w:line="240" w:lineRule="auto"/>
              <w:ind w:firstLine="0" w:firstLineChars="0"/>
              <w:jc w:val="center"/>
              <w:rPr>
                <w:rFonts w:hint="eastAsia" w:ascii="宋体" w:hAnsi="宋体" w:eastAsia="宋体" w:cs="宋体"/>
                <w:b/>
                <w:bCs/>
                <w:sz w:val="18"/>
                <w:szCs w:val="18"/>
              </w:rPr>
            </w:pPr>
          </w:p>
        </w:tc>
        <w:tc>
          <w:tcPr>
            <w:tcW w:w="1134" w:type="dxa"/>
            <w:vMerge w:val="restart"/>
            <w:noWrap w:val="0"/>
            <w:vAlign w:val="center"/>
          </w:tcPr>
          <w:p w14:paraId="7BE4ED91">
            <w:pPr>
              <w:spacing w:line="240" w:lineRule="auto"/>
              <w:ind w:firstLine="0" w:firstLineChars="0"/>
              <w:jc w:val="center"/>
              <w:rPr>
                <w:rFonts w:ascii="宋体" w:hAnsi="宋体" w:eastAsia="宋体" w:cs="宋体"/>
                <w:kern w:val="0"/>
                <w:sz w:val="18"/>
                <w:szCs w:val="18"/>
              </w:rPr>
            </w:pPr>
            <w:r>
              <w:rPr>
                <w:rFonts w:hint="eastAsia" w:ascii="宋体" w:hAnsi="宋体" w:eastAsia="宋体" w:cs="宋体"/>
                <w:kern w:val="0"/>
                <w:sz w:val="18"/>
                <w:szCs w:val="18"/>
              </w:rPr>
              <w:t>蔬菜</w:t>
            </w:r>
          </w:p>
          <w:p w14:paraId="1056B5D9">
            <w:pPr>
              <w:spacing w:line="240" w:lineRule="auto"/>
              <w:ind w:firstLine="0" w:firstLineChars="0"/>
              <w:jc w:val="center"/>
              <w:rPr>
                <w:rFonts w:hint="eastAsia" w:ascii="宋体" w:hAnsi="宋体" w:eastAsia="宋体" w:cs="宋体"/>
                <w:kern w:val="0"/>
                <w:sz w:val="18"/>
                <w:szCs w:val="18"/>
              </w:rPr>
            </w:pPr>
          </w:p>
        </w:tc>
        <w:tc>
          <w:tcPr>
            <w:tcW w:w="1135" w:type="dxa"/>
            <w:vMerge w:val="restart"/>
            <w:noWrap w:val="0"/>
            <w:vAlign w:val="center"/>
          </w:tcPr>
          <w:p w14:paraId="0FF44440">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lang w:eastAsia="zh-CN"/>
              </w:rPr>
              <w:t>豆</w:t>
            </w:r>
            <w:r>
              <w:rPr>
                <w:rFonts w:hint="eastAsia" w:ascii="宋体" w:hAnsi="宋体" w:eastAsia="宋体" w:cs="宋体"/>
                <w:kern w:val="0"/>
                <w:sz w:val="18"/>
                <w:szCs w:val="18"/>
              </w:rPr>
              <w:t>类蔬菜</w:t>
            </w:r>
          </w:p>
        </w:tc>
        <w:tc>
          <w:tcPr>
            <w:tcW w:w="1560" w:type="dxa"/>
            <w:noWrap w:val="0"/>
            <w:vAlign w:val="center"/>
          </w:tcPr>
          <w:p w14:paraId="2E5891F9">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菜豆</w:t>
            </w:r>
          </w:p>
        </w:tc>
        <w:tc>
          <w:tcPr>
            <w:tcW w:w="5103" w:type="dxa"/>
            <w:noWrap w:val="0"/>
            <w:vAlign w:val="center"/>
          </w:tcPr>
          <w:p w14:paraId="3B77E907">
            <w:pPr>
              <w:widowControl/>
              <w:spacing w:line="240" w:lineRule="auto"/>
              <w:ind w:firstLine="0" w:firstLineChars="0"/>
              <w:jc w:val="left"/>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噻虫胺、乙酰甲胺磷、甲胺磷、氧乐果、甲氨基阿维菌素苯甲酸盐</w:t>
            </w:r>
          </w:p>
        </w:tc>
        <w:tc>
          <w:tcPr>
            <w:tcW w:w="709" w:type="dxa"/>
            <w:noWrap w:val="0"/>
            <w:vAlign w:val="center"/>
          </w:tcPr>
          <w:p w14:paraId="3976E18B">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4</w:t>
            </w:r>
          </w:p>
        </w:tc>
        <w:tc>
          <w:tcPr>
            <w:tcW w:w="1417" w:type="dxa"/>
            <w:vMerge w:val="continue"/>
            <w:noWrap w:val="0"/>
            <w:vAlign w:val="center"/>
          </w:tcPr>
          <w:p w14:paraId="20221A7D">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31654476">
            <w:pPr>
              <w:spacing w:line="240" w:lineRule="auto"/>
              <w:ind w:firstLine="0" w:firstLineChars="0"/>
              <w:jc w:val="center"/>
              <w:rPr>
                <w:rFonts w:hint="eastAsia" w:ascii="宋体" w:hAnsi="宋体" w:eastAsia="宋体" w:cs="宋体"/>
                <w:b/>
                <w:bCs/>
                <w:sz w:val="18"/>
                <w:szCs w:val="18"/>
              </w:rPr>
            </w:pPr>
          </w:p>
        </w:tc>
      </w:tr>
      <w:tr w14:paraId="7F47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507" w:type="dxa"/>
            <w:vMerge w:val="continue"/>
            <w:noWrap w:val="0"/>
            <w:vAlign w:val="center"/>
          </w:tcPr>
          <w:p w14:paraId="4B0EC757">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1A87D027">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1B876169">
            <w:pPr>
              <w:spacing w:line="240" w:lineRule="auto"/>
              <w:ind w:firstLine="0" w:firstLineChars="0"/>
              <w:jc w:val="center"/>
              <w:rPr>
                <w:rFonts w:hint="eastAsia" w:ascii="宋体" w:hAnsi="宋体" w:eastAsia="宋体" w:cs="宋体"/>
                <w:kern w:val="0"/>
                <w:sz w:val="18"/>
                <w:szCs w:val="18"/>
              </w:rPr>
            </w:pPr>
          </w:p>
        </w:tc>
        <w:tc>
          <w:tcPr>
            <w:tcW w:w="1135" w:type="dxa"/>
            <w:vMerge w:val="continue"/>
            <w:noWrap w:val="0"/>
            <w:vAlign w:val="center"/>
          </w:tcPr>
          <w:p w14:paraId="34BF577A">
            <w:pPr>
              <w:spacing w:line="240" w:lineRule="auto"/>
              <w:ind w:firstLine="0" w:firstLineChars="0"/>
              <w:jc w:val="center"/>
              <w:rPr>
                <w:rFonts w:hint="eastAsia" w:ascii="宋体" w:hAnsi="宋体" w:eastAsia="宋体" w:cs="宋体"/>
                <w:kern w:val="0"/>
                <w:sz w:val="18"/>
                <w:szCs w:val="18"/>
              </w:rPr>
            </w:pPr>
          </w:p>
        </w:tc>
        <w:tc>
          <w:tcPr>
            <w:tcW w:w="1560" w:type="dxa"/>
            <w:noWrap w:val="0"/>
            <w:vAlign w:val="center"/>
          </w:tcPr>
          <w:p w14:paraId="16102CD2">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食荚豌豆</w:t>
            </w:r>
          </w:p>
        </w:tc>
        <w:tc>
          <w:tcPr>
            <w:tcW w:w="5103" w:type="dxa"/>
            <w:noWrap w:val="0"/>
            <w:vAlign w:val="center"/>
          </w:tcPr>
          <w:p w14:paraId="10FF6EE4">
            <w:pPr>
              <w:spacing w:line="240" w:lineRule="auto"/>
              <w:ind w:firstLine="0" w:firstLineChars="0"/>
              <w:jc w:val="left"/>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吡唑醚菌酯、多菌灵、噻虫胺、烯酰吗啉、乙酰甲胺磷、氧乐果</w:t>
            </w:r>
          </w:p>
        </w:tc>
        <w:tc>
          <w:tcPr>
            <w:tcW w:w="709" w:type="dxa"/>
            <w:noWrap w:val="0"/>
            <w:vAlign w:val="center"/>
          </w:tcPr>
          <w:p w14:paraId="527712C6">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2</w:t>
            </w:r>
          </w:p>
        </w:tc>
        <w:tc>
          <w:tcPr>
            <w:tcW w:w="1417" w:type="dxa"/>
            <w:vMerge w:val="continue"/>
            <w:noWrap w:val="0"/>
            <w:vAlign w:val="center"/>
          </w:tcPr>
          <w:p w14:paraId="79CCA0B0">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6F9DABC6">
            <w:pPr>
              <w:spacing w:line="240" w:lineRule="auto"/>
              <w:ind w:firstLine="0" w:firstLineChars="0"/>
              <w:jc w:val="center"/>
              <w:rPr>
                <w:rFonts w:hint="eastAsia" w:ascii="宋体" w:hAnsi="宋体" w:eastAsia="宋体" w:cs="宋体"/>
                <w:b/>
                <w:bCs/>
                <w:sz w:val="18"/>
                <w:szCs w:val="18"/>
              </w:rPr>
            </w:pPr>
          </w:p>
        </w:tc>
      </w:tr>
      <w:tr w14:paraId="54931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07" w:type="dxa"/>
            <w:vMerge w:val="continue"/>
            <w:noWrap w:val="0"/>
            <w:vAlign w:val="center"/>
          </w:tcPr>
          <w:p w14:paraId="521FF971">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485F9588">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1D9A6A04">
            <w:pPr>
              <w:spacing w:line="240" w:lineRule="auto"/>
              <w:ind w:firstLine="0" w:firstLineChars="0"/>
              <w:jc w:val="center"/>
              <w:rPr>
                <w:rFonts w:hint="eastAsia" w:ascii="宋体" w:hAnsi="宋体" w:eastAsia="宋体" w:cs="宋体"/>
                <w:kern w:val="0"/>
                <w:sz w:val="18"/>
                <w:szCs w:val="18"/>
              </w:rPr>
            </w:pPr>
          </w:p>
        </w:tc>
        <w:tc>
          <w:tcPr>
            <w:tcW w:w="1135" w:type="dxa"/>
            <w:noWrap w:val="0"/>
            <w:vAlign w:val="center"/>
          </w:tcPr>
          <w:p w14:paraId="61037AAD">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豆芽</w:t>
            </w:r>
          </w:p>
        </w:tc>
        <w:tc>
          <w:tcPr>
            <w:tcW w:w="1560" w:type="dxa"/>
            <w:noWrap w:val="0"/>
            <w:vAlign w:val="center"/>
          </w:tcPr>
          <w:p w14:paraId="67913A68">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豆芽</w:t>
            </w:r>
          </w:p>
        </w:tc>
        <w:tc>
          <w:tcPr>
            <w:tcW w:w="5103" w:type="dxa"/>
            <w:noWrap w:val="0"/>
            <w:vAlign w:val="center"/>
          </w:tcPr>
          <w:p w14:paraId="6715D009">
            <w:pPr>
              <w:widowControl/>
              <w:spacing w:line="240" w:lineRule="auto"/>
              <w:ind w:firstLine="0" w:firstLineChars="0"/>
              <w:jc w:val="left"/>
              <w:textAlignment w:val="center"/>
              <w:rPr>
                <w:rFonts w:hint="default"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4-氯苯氧乙酸钠（以4-氯苯氧乙酸计）、6-苄基腺嘌呤、亚硫酸盐（以SO</w:t>
            </w:r>
            <w:r>
              <w:rPr>
                <w:rFonts w:hint="eastAsia" w:ascii="宋体" w:hAnsi="宋体" w:eastAsia="宋体" w:cs="宋体"/>
                <w:kern w:val="0"/>
                <w:sz w:val="18"/>
                <w:szCs w:val="18"/>
                <w:vertAlign w:val="subscript"/>
                <w:lang w:val="en-US" w:eastAsia="zh-CN"/>
              </w:rPr>
              <w:t>2</w:t>
            </w:r>
            <w:r>
              <w:rPr>
                <w:rFonts w:hint="eastAsia" w:ascii="宋体" w:hAnsi="宋体" w:eastAsia="宋体" w:cs="宋体"/>
                <w:kern w:val="0"/>
                <w:sz w:val="18"/>
                <w:szCs w:val="18"/>
                <w:lang w:val="en-US" w:eastAsia="zh-CN"/>
              </w:rPr>
              <w:t>计）、总汞（以Hg计）</w:t>
            </w:r>
          </w:p>
        </w:tc>
        <w:tc>
          <w:tcPr>
            <w:tcW w:w="709" w:type="dxa"/>
            <w:noWrap w:val="0"/>
            <w:vAlign w:val="center"/>
          </w:tcPr>
          <w:p w14:paraId="634235DA">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4</w:t>
            </w:r>
          </w:p>
        </w:tc>
        <w:tc>
          <w:tcPr>
            <w:tcW w:w="1417" w:type="dxa"/>
            <w:vMerge w:val="continue"/>
            <w:noWrap w:val="0"/>
            <w:vAlign w:val="center"/>
          </w:tcPr>
          <w:p w14:paraId="68C39AB2">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14977FAD">
            <w:pPr>
              <w:spacing w:line="240" w:lineRule="auto"/>
              <w:ind w:firstLine="0" w:firstLineChars="0"/>
              <w:jc w:val="center"/>
              <w:rPr>
                <w:rFonts w:hint="eastAsia" w:ascii="宋体" w:hAnsi="宋体" w:eastAsia="宋体" w:cs="宋体"/>
                <w:b/>
                <w:bCs/>
                <w:sz w:val="18"/>
                <w:szCs w:val="18"/>
              </w:rPr>
            </w:pPr>
          </w:p>
        </w:tc>
      </w:tr>
      <w:tr w14:paraId="60C22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507" w:type="dxa"/>
            <w:vMerge w:val="continue"/>
            <w:noWrap w:val="0"/>
            <w:vAlign w:val="center"/>
          </w:tcPr>
          <w:p w14:paraId="0A6A97D9">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77BF5738">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511B4CE7">
            <w:pPr>
              <w:spacing w:line="240" w:lineRule="auto"/>
              <w:ind w:firstLine="0" w:firstLineChars="0"/>
              <w:jc w:val="center"/>
              <w:rPr>
                <w:rFonts w:hint="eastAsia" w:ascii="宋体" w:hAnsi="宋体" w:eastAsia="宋体" w:cs="宋体"/>
                <w:kern w:val="0"/>
                <w:sz w:val="18"/>
                <w:szCs w:val="18"/>
              </w:rPr>
            </w:pPr>
          </w:p>
        </w:tc>
        <w:tc>
          <w:tcPr>
            <w:tcW w:w="1135" w:type="dxa"/>
            <w:vMerge w:val="restart"/>
            <w:noWrap w:val="0"/>
            <w:vAlign w:val="center"/>
          </w:tcPr>
          <w:p w14:paraId="5BBC7294">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鳞茎类蔬菜</w:t>
            </w:r>
          </w:p>
        </w:tc>
        <w:tc>
          <w:tcPr>
            <w:tcW w:w="1560" w:type="dxa"/>
            <w:noWrap w:val="0"/>
            <w:vAlign w:val="center"/>
          </w:tcPr>
          <w:p w14:paraId="496964D8">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葱</w:t>
            </w:r>
          </w:p>
        </w:tc>
        <w:tc>
          <w:tcPr>
            <w:tcW w:w="5103" w:type="dxa"/>
            <w:noWrap w:val="0"/>
            <w:vAlign w:val="center"/>
          </w:tcPr>
          <w:p w14:paraId="17E69FEE">
            <w:pPr>
              <w:widowControl/>
              <w:spacing w:line="240" w:lineRule="auto"/>
              <w:ind w:firstLine="0" w:firstLineChars="0"/>
              <w:jc w:val="left"/>
              <w:textAlignment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噻虫嗪、丙环唑、戊唑醇、</w:t>
            </w: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w:t>
            </w:r>
            <w:r>
              <w:rPr>
                <w:rFonts w:hint="eastAsia" w:ascii="宋体" w:hAnsi="宋体" w:eastAsia="宋体" w:cs="宋体"/>
                <w:kern w:val="0"/>
                <w:sz w:val="18"/>
                <w:szCs w:val="18"/>
              </w:rPr>
              <w:t>毒死蜱、</w:t>
            </w:r>
            <w:r>
              <w:rPr>
                <w:rFonts w:hint="eastAsia" w:ascii="宋体" w:hAnsi="宋体" w:eastAsia="宋体" w:cs="宋体"/>
                <w:kern w:val="0"/>
                <w:sz w:val="18"/>
                <w:szCs w:val="18"/>
                <w:lang w:eastAsia="zh-CN"/>
              </w:rPr>
              <w:t>氯氟氰菊酯和高效氯氟氰菊酯</w:t>
            </w:r>
          </w:p>
        </w:tc>
        <w:tc>
          <w:tcPr>
            <w:tcW w:w="709" w:type="dxa"/>
            <w:noWrap w:val="0"/>
            <w:vAlign w:val="center"/>
          </w:tcPr>
          <w:p w14:paraId="7B35BEA1">
            <w:pPr>
              <w:spacing w:line="240" w:lineRule="auto"/>
              <w:ind w:firstLine="0" w:firstLineChars="0"/>
              <w:jc w:val="center"/>
              <w:rPr>
                <w:rFonts w:hint="default" w:ascii="宋体" w:hAnsi="宋体" w:eastAsia="宋体" w:cs="宋体"/>
                <w:b/>
                <w:bCs/>
                <w:sz w:val="18"/>
                <w:szCs w:val="18"/>
                <w:lang w:val="en-US" w:eastAsia="zh-CN"/>
              </w:rPr>
            </w:pPr>
            <w:r>
              <w:rPr>
                <w:rFonts w:hint="eastAsia" w:ascii="宋体" w:hAnsi="宋体" w:eastAsia="宋体" w:cs="宋体"/>
                <w:b/>
                <w:bCs/>
                <w:sz w:val="18"/>
                <w:szCs w:val="18"/>
                <w:lang w:val="en-US" w:eastAsia="zh-CN"/>
              </w:rPr>
              <w:t>5</w:t>
            </w:r>
          </w:p>
        </w:tc>
        <w:tc>
          <w:tcPr>
            <w:tcW w:w="1417" w:type="dxa"/>
            <w:vMerge w:val="continue"/>
            <w:noWrap w:val="0"/>
            <w:vAlign w:val="center"/>
          </w:tcPr>
          <w:p w14:paraId="6579D686">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10A934AD">
            <w:pPr>
              <w:spacing w:line="240" w:lineRule="auto"/>
              <w:ind w:firstLine="0" w:firstLineChars="0"/>
              <w:jc w:val="center"/>
              <w:rPr>
                <w:rFonts w:hint="eastAsia" w:ascii="宋体" w:hAnsi="宋体" w:eastAsia="宋体" w:cs="宋体"/>
                <w:b/>
                <w:bCs/>
                <w:sz w:val="18"/>
                <w:szCs w:val="18"/>
              </w:rPr>
            </w:pPr>
          </w:p>
        </w:tc>
      </w:tr>
      <w:tr w14:paraId="1B54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507" w:type="dxa"/>
            <w:vMerge w:val="continue"/>
            <w:noWrap w:val="0"/>
            <w:vAlign w:val="center"/>
          </w:tcPr>
          <w:p w14:paraId="17B52DAE">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5EC55AFB">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3D8041D1">
            <w:pPr>
              <w:spacing w:line="240" w:lineRule="auto"/>
              <w:ind w:firstLine="0" w:firstLineChars="0"/>
              <w:jc w:val="center"/>
              <w:rPr>
                <w:rFonts w:hint="eastAsia" w:ascii="宋体" w:hAnsi="宋体" w:eastAsia="宋体" w:cs="宋体"/>
                <w:kern w:val="0"/>
                <w:sz w:val="18"/>
                <w:szCs w:val="18"/>
              </w:rPr>
            </w:pPr>
          </w:p>
        </w:tc>
        <w:tc>
          <w:tcPr>
            <w:tcW w:w="1135" w:type="dxa"/>
            <w:vMerge w:val="continue"/>
            <w:noWrap w:val="0"/>
            <w:vAlign w:val="center"/>
          </w:tcPr>
          <w:p w14:paraId="30173320">
            <w:pPr>
              <w:spacing w:line="240" w:lineRule="auto"/>
              <w:ind w:firstLine="0" w:firstLineChars="0"/>
              <w:jc w:val="center"/>
              <w:rPr>
                <w:rFonts w:hint="eastAsia" w:ascii="宋体" w:hAnsi="宋体" w:eastAsia="宋体" w:cs="宋体"/>
                <w:kern w:val="0"/>
                <w:sz w:val="18"/>
                <w:szCs w:val="18"/>
                <w:lang w:eastAsia="zh-CN"/>
              </w:rPr>
            </w:pPr>
          </w:p>
        </w:tc>
        <w:tc>
          <w:tcPr>
            <w:tcW w:w="1560" w:type="dxa"/>
            <w:noWrap w:val="0"/>
            <w:vAlign w:val="center"/>
          </w:tcPr>
          <w:p w14:paraId="46806580">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韭菜</w:t>
            </w:r>
          </w:p>
        </w:tc>
        <w:tc>
          <w:tcPr>
            <w:tcW w:w="5103" w:type="dxa"/>
            <w:noWrap w:val="0"/>
            <w:vAlign w:val="center"/>
          </w:tcPr>
          <w:p w14:paraId="31E1BB1B">
            <w:pPr>
              <w:widowControl/>
              <w:spacing w:line="240" w:lineRule="auto"/>
              <w:ind w:firstLine="0" w:firstLineChars="0"/>
              <w:jc w:val="left"/>
              <w:textAlignment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w:t>
            </w:r>
            <w:r>
              <w:rPr>
                <w:rFonts w:hint="eastAsia" w:ascii="宋体" w:hAnsi="宋体" w:eastAsia="宋体" w:cs="宋体"/>
                <w:kern w:val="0"/>
                <w:sz w:val="18"/>
                <w:szCs w:val="18"/>
              </w:rPr>
              <w:t>毒死蜱、</w:t>
            </w:r>
            <w:r>
              <w:rPr>
                <w:rFonts w:hint="eastAsia" w:ascii="宋体" w:hAnsi="宋体" w:eastAsia="宋体" w:cs="宋体"/>
                <w:kern w:val="0"/>
                <w:sz w:val="18"/>
                <w:szCs w:val="18"/>
                <w:lang w:eastAsia="zh-CN"/>
              </w:rPr>
              <w:t>氯氟氰菊酯和高效氯氟氰菊酯、克百威、氧乐果、乙酰甲胺磷</w:t>
            </w:r>
          </w:p>
        </w:tc>
        <w:tc>
          <w:tcPr>
            <w:tcW w:w="709" w:type="dxa"/>
            <w:noWrap w:val="0"/>
            <w:vAlign w:val="center"/>
          </w:tcPr>
          <w:p w14:paraId="1796E6CB">
            <w:pPr>
              <w:spacing w:line="240" w:lineRule="auto"/>
              <w:ind w:firstLine="0" w:firstLineChars="0"/>
              <w:jc w:val="center"/>
              <w:rPr>
                <w:rFonts w:hint="default" w:ascii="宋体" w:hAnsi="宋体" w:eastAsia="宋体" w:cs="宋体"/>
                <w:b/>
                <w:bCs/>
                <w:sz w:val="18"/>
                <w:szCs w:val="18"/>
                <w:lang w:val="en-US" w:eastAsia="zh-CN"/>
              </w:rPr>
            </w:pPr>
            <w:r>
              <w:rPr>
                <w:rFonts w:hint="eastAsia" w:ascii="宋体" w:hAnsi="宋体" w:eastAsia="宋体" w:cs="宋体"/>
                <w:b/>
                <w:bCs/>
                <w:sz w:val="18"/>
                <w:szCs w:val="18"/>
                <w:lang w:val="en-US" w:eastAsia="zh-CN"/>
              </w:rPr>
              <w:t>3</w:t>
            </w:r>
          </w:p>
        </w:tc>
        <w:tc>
          <w:tcPr>
            <w:tcW w:w="1417" w:type="dxa"/>
            <w:vMerge w:val="continue"/>
            <w:noWrap w:val="0"/>
            <w:vAlign w:val="center"/>
          </w:tcPr>
          <w:p w14:paraId="6E4514C8">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3F90658F">
            <w:pPr>
              <w:spacing w:line="240" w:lineRule="auto"/>
              <w:ind w:firstLine="0" w:firstLineChars="0"/>
              <w:jc w:val="center"/>
              <w:rPr>
                <w:rFonts w:hint="eastAsia" w:ascii="宋体" w:hAnsi="宋体" w:eastAsia="宋体" w:cs="宋体"/>
                <w:b/>
                <w:bCs/>
                <w:sz w:val="18"/>
                <w:szCs w:val="18"/>
              </w:rPr>
            </w:pPr>
          </w:p>
        </w:tc>
      </w:tr>
      <w:tr w14:paraId="6D0B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7" w:type="dxa"/>
            <w:vMerge w:val="continue"/>
            <w:noWrap w:val="0"/>
            <w:vAlign w:val="center"/>
          </w:tcPr>
          <w:p w14:paraId="2D024123">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634AFE78">
            <w:pPr>
              <w:spacing w:line="240" w:lineRule="auto"/>
              <w:ind w:firstLine="0" w:firstLineChars="0"/>
              <w:jc w:val="center"/>
              <w:rPr>
                <w:rFonts w:hint="eastAsia" w:ascii="宋体" w:hAnsi="宋体" w:eastAsia="宋体" w:cs="宋体"/>
                <w:kern w:val="0"/>
                <w:sz w:val="18"/>
                <w:szCs w:val="18"/>
              </w:rPr>
            </w:pPr>
          </w:p>
        </w:tc>
        <w:tc>
          <w:tcPr>
            <w:tcW w:w="1134" w:type="dxa"/>
            <w:vMerge w:val="restart"/>
            <w:noWrap w:val="0"/>
            <w:vAlign w:val="center"/>
          </w:tcPr>
          <w:p w14:paraId="09B06B42">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蔬菜</w:t>
            </w:r>
          </w:p>
        </w:tc>
        <w:tc>
          <w:tcPr>
            <w:tcW w:w="1135" w:type="dxa"/>
            <w:vMerge w:val="restart"/>
            <w:noWrap w:val="0"/>
            <w:vAlign w:val="center"/>
          </w:tcPr>
          <w:p w14:paraId="2AABA1B8">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叶菜类蔬菜</w:t>
            </w:r>
          </w:p>
        </w:tc>
        <w:tc>
          <w:tcPr>
            <w:tcW w:w="1560" w:type="dxa"/>
            <w:noWrap w:val="0"/>
            <w:vAlign w:val="center"/>
          </w:tcPr>
          <w:p w14:paraId="4A2BEA44">
            <w:pPr>
              <w:spacing w:line="320" w:lineRule="exact"/>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菠菜</w:t>
            </w:r>
          </w:p>
        </w:tc>
        <w:tc>
          <w:tcPr>
            <w:tcW w:w="5103" w:type="dxa"/>
            <w:noWrap w:val="0"/>
            <w:vAlign w:val="center"/>
          </w:tcPr>
          <w:p w14:paraId="3A85A7A5">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毒死蜱、</w:t>
            </w:r>
            <w:r>
              <w:rPr>
                <w:rFonts w:hint="eastAsia" w:ascii="宋体" w:hAnsi="宋体" w:eastAsia="宋体" w:cs="宋体"/>
                <w:kern w:val="0"/>
                <w:sz w:val="18"/>
                <w:szCs w:val="18"/>
                <w:lang w:eastAsia="zh-CN"/>
              </w:rPr>
              <w:t>铬（以</w:t>
            </w:r>
            <w:r>
              <w:rPr>
                <w:rFonts w:hint="eastAsia" w:ascii="宋体" w:hAnsi="宋体" w:eastAsia="宋体" w:cs="宋体"/>
                <w:kern w:val="0"/>
                <w:sz w:val="18"/>
                <w:szCs w:val="18"/>
                <w:lang w:val="en-US" w:eastAsia="zh-CN"/>
              </w:rPr>
              <w:t>Cr计</w:t>
            </w: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）、阿维菌素</w:t>
            </w:r>
          </w:p>
        </w:tc>
        <w:tc>
          <w:tcPr>
            <w:tcW w:w="709" w:type="dxa"/>
            <w:noWrap w:val="0"/>
            <w:vAlign w:val="center"/>
          </w:tcPr>
          <w:p w14:paraId="4C93456B">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2</w:t>
            </w:r>
          </w:p>
        </w:tc>
        <w:tc>
          <w:tcPr>
            <w:tcW w:w="1417" w:type="dxa"/>
            <w:vMerge w:val="continue"/>
            <w:noWrap w:val="0"/>
            <w:vAlign w:val="center"/>
          </w:tcPr>
          <w:p w14:paraId="1B7616E5">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7503BE37">
            <w:pPr>
              <w:spacing w:line="240" w:lineRule="auto"/>
              <w:ind w:firstLine="0" w:firstLineChars="0"/>
              <w:jc w:val="center"/>
              <w:rPr>
                <w:rFonts w:hint="eastAsia" w:ascii="宋体" w:hAnsi="宋体" w:eastAsia="宋体" w:cs="宋体"/>
                <w:b/>
                <w:bCs/>
                <w:sz w:val="18"/>
                <w:szCs w:val="18"/>
              </w:rPr>
            </w:pPr>
          </w:p>
        </w:tc>
      </w:tr>
      <w:tr w14:paraId="3B4C3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507" w:type="dxa"/>
            <w:vMerge w:val="continue"/>
            <w:noWrap w:val="0"/>
            <w:vAlign w:val="center"/>
          </w:tcPr>
          <w:p w14:paraId="0AB58448">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7AF4410F">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3F736948">
            <w:pPr>
              <w:spacing w:line="240" w:lineRule="auto"/>
              <w:ind w:firstLine="0" w:firstLineChars="0"/>
              <w:jc w:val="center"/>
              <w:rPr>
                <w:rFonts w:hint="eastAsia" w:ascii="宋体" w:hAnsi="宋体" w:eastAsia="宋体" w:cs="宋体"/>
                <w:kern w:val="0"/>
                <w:sz w:val="18"/>
                <w:szCs w:val="18"/>
              </w:rPr>
            </w:pPr>
          </w:p>
        </w:tc>
        <w:tc>
          <w:tcPr>
            <w:tcW w:w="1135" w:type="dxa"/>
            <w:vMerge w:val="continue"/>
            <w:noWrap w:val="0"/>
            <w:vAlign w:val="center"/>
          </w:tcPr>
          <w:p w14:paraId="2E27E257">
            <w:pPr>
              <w:spacing w:line="240" w:lineRule="auto"/>
              <w:ind w:firstLine="0" w:firstLineChars="0"/>
              <w:jc w:val="center"/>
              <w:rPr>
                <w:rFonts w:hint="eastAsia" w:ascii="宋体" w:hAnsi="宋体" w:eastAsia="宋体" w:cs="宋体"/>
                <w:kern w:val="0"/>
                <w:sz w:val="18"/>
                <w:szCs w:val="18"/>
              </w:rPr>
            </w:pPr>
          </w:p>
        </w:tc>
        <w:tc>
          <w:tcPr>
            <w:tcW w:w="1560" w:type="dxa"/>
            <w:noWrap w:val="0"/>
            <w:vAlign w:val="center"/>
          </w:tcPr>
          <w:p w14:paraId="08509C87">
            <w:pPr>
              <w:spacing w:line="320" w:lineRule="exact"/>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芹菜</w:t>
            </w:r>
          </w:p>
        </w:tc>
        <w:tc>
          <w:tcPr>
            <w:tcW w:w="5103" w:type="dxa"/>
            <w:noWrap w:val="0"/>
            <w:vAlign w:val="center"/>
          </w:tcPr>
          <w:p w14:paraId="6A544A16">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噻虫胺、毒死蜱、氧乐果、甲拌磷、噻虫嗪、氯氟氰菊酯和高效氯氟氰菊酯、辛硫磷</w:t>
            </w:r>
          </w:p>
        </w:tc>
        <w:tc>
          <w:tcPr>
            <w:tcW w:w="709" w:type="dxa"/>
            <w:noWrap w:val="0"/>
            <w:vAlign w:val="center"/>
          </w:tcPr>
          <w:p w14:paraId="0667DA4B">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4</w:t>
            </w:r>
          </w:p>
        </w:tc>
        <w:tc>
          <w:tcPr>
            <w:tcW w:w="1417" w:type="dxa"/>
            <w:vMerge w:val="continue"/>
            <w:noWrap w:val="0"/>
            <w:vAlign w:val="center"/>
          </w:tcPr>
          <w:p w14:paraId="6781B251">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3D4D2FB6">
            <w:pPr>
              <w:spacing w:line="240" w:lineRule="auto"/>
              <w:ind w:firstLine="0" w:firstLineChars="0"/>
              <w:jc w:val="center"/>
              <w:rPr>
                <w:rFonts w:hint="eastAsia" w:ascii="宋体" w:hAnsi="宋体" w:eastAsia="宋体" w:cs="宋体"/>
                <w:b/>
                <w:bCs/>
                <w:sz w:val="18"/>
                <w:szCs w:val="18"/>
              </w:rPr>
            </w:pPr>
          </w:p>
        </w:tc>
      </w:tr>
      <w:tr w14:paraId="79AF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507" w:type="dxa"/>
            <w:vMerge w:val="continue"/>
            <w:noWrap w:val="0"/>
            <w:vAlign w:val="center"/>
          </w:tcPr>
          <w:p w14:paraId="637FEE06">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21610467">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0950FA75">
            <w:pPr>
              <w:spacing w:line="240" w:lineRule="auto"/>
              <w:ind w:firstLine="0" w:firstLineChars="0"/>
              <w:jc w:val="center"/>
              <w:rPr>
                <w:rFonts w:hint="eastAsia" w:ascii="宋体" w:hAnsi="宋体" w:eastAsia="宋体" w:cs="宋体"/>
                <w:kern w:val="0"/>
                <w:sz w:val="18"/>
                <w:szCs w:val="18"/>
              </w:rPr>
            </w:pPr>
          </w:p>
        </w:tc>
        <w:tc>
          <w:tcPr>
            <w:tcW w:w="1135" w:type="dxa"/>
            <w:vMerge w:val="continue"/>
            <w:noWrap w:val="0"/>
            <w:vAlign w:val="center"/>
          </w:tcPr>
          <w:p w14:paraId="6AD419CB">
            <w:pPr>
              <w:spacing w:line="240" w:lineRule="auto"/>
              <w:ind w:firstLine="0" w:firstLineChars="0"/>
              <w:jc w:val="center"/>
              <w:rPr>
                <w:rFonts w:hint="eastAsia" w:ascii="宋体" w:hAnsi="宋体" w:eastAsia="宋体" w:cs="宋体"/>
                <w:kern w:val="0"/>
                <w:sz w:val="18"/>
                <w:szCs w:val="18"/>
              </w:rPr>
            </w:pPr>
          </w:p>
        </w:tc>
        <w:tc>
          <w:tcPr>
            <w:tcW w:w="1560" w:type="dxa"/>
            <w:noWrap w:val="0"/>
            <w:vAlign w:val="center"/>
          </w:tcPr>
          <w:p w14:paraId="7B12156A">
            <w:pPr>
              <w:spacing w:line="320" w:lineRule="exact"/>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油麦菜</w:t>
            </w:r>
          </w:p>
        </w:tc>
        <w:tc>
          <w:tcPr>
            <w:tcW w:w="5103" w:type="dxa"/>
            <w:noWrap w:val="0"/>
            <w:vAlign w:val="center"/>
          </w:tcPr>
          <w:p w14:paraId="782B19F6">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阿维菌素、甲氨基阿维菌素苯甲酸盐、腈菌唑、毒死蜱</w:t>
            </w:r>
          </w:p>
        </w:tc>
        <w:tc>
          <w:tcPr>
            <w:tcW w:w="709" w:type="dxa"/>
            <w:noWrap w:val="0"/>
            <w:vAlign w:val="center"/>
          </w:tcPr>
          <w:p w14:paraId="0636C785">
            <w:pPr>
              <w:spacing w:line="240" w:lineRule="auto"/>
              <w:ind w:firstLine="0" w:firstLineChars="0"/>
              <w:jc w:val="center"/>
              <w:rPr>
                <w:rFonts w:hint="default" w:ascii="宋体" w:hAnsi="宋体" w:eastAsia="宋体" w:cs="宋体"/>
                <w:b/>
                <w:bCs/>
                <w:sz w:val="18"/>
                <w:szCs w:val="18"/>
                <w:lang w:val="en-US" w:eastAsia="zh-CN"/>
              </w:rPr>
            </w:pPr>
            <w:r>
              <w:rPr>
                <w:rFonts w:hint="eastAsia" w:ascii="宋体" w:hAnsi="宋体" w:eastAsia="宋体" w:cs="宋体"/>
                <w:b/>
                <w:bCs/>
                <w:sz w:val="18"/>
                <w:szCs w:val="18"/>
                <w:lang w:val="en-US" w:eastAsia="zh-CN"/>
              </w:rPr>
              <w:t>4</w:t>
            </w:r>
          </w:p>
        </w:tc>
        <w:tc>
          <w:tcPr>
            <w:tcW w:w="1417" w:type="dxa"/>
            <w:vMerge w:val="continue"/>
            <w:noWrap w:val="0"/>
            <w:vAlign w:val="center"/>
          </w:tcPr>
          <w:p w14:paraId="425CBB93">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600CE316">
            <w:pPr>
              <w:spacing w:line="240" w:lineRule="auto"/>
              <w:ind w:firstLine="0" w:firstLineChars="0"/>
              <w:jc w:val="center"/>
              <w:rPr>
                <w:rFonts w:hint="eastAsia" w:ascii="宋体" w:hAnsi="宋体" w:eastAsia="宋体" w:cs="宋体"/>
                <w:b/>
                <w:bCs/>
                <w:sz w:val="18"/>
                <w:szCs w:val="18"/>
              </w:rPr>
            </w:pPr>
          </w:p>
        </w:tc>
      </w:tr>
      <w:tr w14:paraId="6EDA5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507" w:type="dxa"/>
            <w:vMerge w:val="continue"/>
            <w:noWrap w:val="0"/>
            <w:vAlign w:val="center"/>
          </w:tcPr>
          <w:p w14:paraId="6653D0B1">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720C9C3E">
            <w:pPr>
              <w:spacing w:line="240" w:lineRule="auto"/>
              <w:ind w:firstLine="0" w:firstLineChars="0"/>
              <w:jc w:val="center"/>
              <w:rPr>
                <w:rFonts w:hint="eastAsia" w:ascii="宋体" w:hAnsi="宋体" w:eastAsia="宋体" w:cs="宋体"/>
                <w:b/>
                <w:bCs/>
                <w:sz w:val="18"/>
                <w:szCs w:val="18"/>
              </w:rPr>
            </w:pPr>
          </w:p>
        </w:tc>
        <w:tc>
          <w:tcPr>
            <w:tcW w:w="1134" w:type="dxa"/>
            <w:vMerge w:val="continue"/>
            <w:noWrap w:val="0"/>
            <w:vAlign w:val="center"/>
          </w:tcPr>
          <w:p w14:paraId="13233068">
            <w:pPr>
              <w:spacing w:line="240" w:lineRule="auto"/>
              <w:ind w:firstLine="0" w:firstLineChars="0"/>
              <w:jc w:val="center"/>
              <w:rPr>
                <w:rFonts w:hint="eastAsia" w:ascii="宋体" w:hAnsi="宋体" w:eastAsia="宋体" w:cs="宋体"/>
                <w:kern w:val="0"/>
                <w:sz w:val="18"/>
                <w:szCs w:val="18"/>
              </w:rPr>
            </w:pPr>
          </w:p>
        </w:tc>
        <w:tc>
          <w:tcPr>
            <w:tcW w:w="1135" w:type="dxa"/>
            <w:noWrap w:val="0"/>
            <w:vAlign w:val="center"/>
          </w:tcPr>
          <w:p w14:paraId="27372FA1">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瓜类蔬菜</w:t>
            </w:r>
          </w:p>
        </w:tc>
        <w:tc>
          <w:tcPr>
            <w:tcW w:w="1560" w:type="dxa"/>
            <w:noWrap w:val="0"/>
            <w:vAlign w:val="center"/>
          </w:tcPr>
          <w:p w14:paraId="4FE88CCC">
            <w:pPr>
              <w:spacing w:line="320" w:lineRule="exact"/>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黄瓜</w:t>
            </w:r>
          </w:p>
        </w:tc>
        <w:tc>
          <w:tcPr>
            <w:tcW w:w="5103" w:type="dxa"/>
            <w:noWrap w:val="0"/>
            <w:vAlign w:val="center"/>
          </w:tcPr>
          <w:p w14:paraId="058A0855">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噻虫嗪、乙螨唑、阿维菌素、毒死蜱、哒螨灵</w:t>
            </w:r>
          </w:p>
        </w:tc>
        <w:tc>
          <w:tcPr>
            <w:tcW w:w="709" w:type="dxa"/>
            <w:noWrap w:val="0"/>
            <w:vAlign w:val="center"/>
          </w:tcPr>
          <w:p w14:paraId="2D442FFB">
            <w:pPr>
              <w:spacing w:line="240" w:lineRule="auto"/>
              <w:ind w:firstLine="0" w:firstLineChars="0"/>
              <w:jc w:val="center"/>
              <w:rPr>
                <w:rFonts w:hint="default" w:ascii="宋体" w:hAnsi="宋体" w:eastAsia="宋体" w:cs="宋体"/>
                <w:b/>
                <w:bCs/>
                <w:sz w:val="18"/>
                <w:szCs w:val="18"/>
                <w:lang w:val="en-US" w:eastAsia="zh-CN"/>
              </w:rPr>
            </w:pPr>
            <w:r>
              <w:rPr>
                <w:rFonts w:hint="eastAsia" w:ascii="宋体" w:hAnsi="宋体" w:eastAsia="宋体" w:cs="宋体"/>
                <w:b/>
                <w:bCs/>
                <w:sz w:val="18"/>
                <w:szCs w:val="18"/>
                <w:lang w:val="en-US" w:eastAsia="zh-CN"/>
              </w:rPr>
              <w:t>3</w:t>
            </w:r>
          </w:p>
        </w:tc>
        <w:tc>
          <w:tcPr>
            <w:tcW w:w="1417" w:type="dxa"/>
            <w:vMerge w:val="continue"/>
            <w:noWrap w:val="0"/>
            <w:vAlign w:val="center"/>
          </w:tcPr>
          <w:p w14:paraId="286DB68B">
            <w:pPr>
              <w:spacing w:line="240" w:lineRule="auto"/>
              <w:ind w:firstLine="0" w:firstLineChars="0"/>
              <w:jc w:val="center"/>
              <w:rPr>
                <w:rFonts w:hint="eastAsia" w:ascii="宋体" w:hAnsi="宋体" w:eastAsia="宋体" w:cs="宋体"/>
                <w:b/>
                <w:bCs/>
                <w:sz w:val="18"/>
                <w:szCs w:val="18"/>
              </w:rPr>
            </w:pPr>
          </w:p>
        </w:tc>
        <w:tc>
          <w:tcPr>
            <w:tcW w:w="1473" w:type="dxa"/>
            <w:vMerge w:val="continue"/>
            <w:noWrap w:val="0"/>
            <w:vAlign w:val="center"/>
          </w:tcPr>
          <w:p w14:paraId="7C379A18">
            <w:pPr>
              <w:spacing w:line="240" w:lineRule="auto"/>
              <w:ind w:firstLine="0" w:firstLineChars="0"/>
              <w:jc w:val="center"/>
              <w:rPr>
                <w:rFonts w:hint="eastAsia" w:ascii="宋体" w:hAnsi="宋体" w:eastAsia="宋体" w:cs="宋体"/>
                <w:b/>
                <w:bCs/>
                <w:sz w:val="18"/>
                <w:szCs w:val="18"/>
              </w:rPr>
            </w:pPr>
          </w:p>
        </w:tc>
      </w:tr>
      <w:tr w14:paraId="3C9E1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07" w:type="dxa"/>
            <w:vMerge w:val="continue"/>
            <w:noWrap w:val="0"/>
            <w:vAlign w:val="center"/>
          </w:tcPr>
          <w:p w14:paraId="2C2A49AE">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5AAF2F90">
            <w:pPr>
              <w:spacing w:line="240" w:lineRule="auto"/>
              <w:ind w:firstLine="0" w:firstLineChars="0"/>
              <w:jc w:val="center"/>
              <w:rPr>
                <w:rFonts w:hint="eastAsia" w:ascii="宋体" w:hAnsi="宋体" w:eastAsia="宋体" w:cs="宋体"/>
                <w:sz w:val="18"/>
                <w:szCs w:val="18"/>
              </w:rPr>
            </w:pPr>
          </w:p>
        </w:tc>
        <w:tc>
          <w:tcPr>
            <w:tcW w:w="1134" w:type="dxa"/>
            <w:vMerge w:val="restart"/>
            <w:noWrap w:val="0"/>
            <w:vAlign w:val="center"/>
          </w:tcPr>
          <w:p w14:paraId="1F618C75">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水产品</w:t>
            </w:r>
          </w:p>
        </w:tc>
        <w:tc>
          <w:tcPr>
            <w:tcW w:w="1135" w:type="dxa"/>
            <w:noWrap w:val="0"/>
            <w:vAlign w:val="center"/>
          </w:tcPr>
          <w:p w14:paraId="200BE931">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贝类</w:t>
            </w:r>
          </w:p>
        </w:tc>
        <w:tc>
          <w:tcPr>
            <w:tcW w:w="1560" w:type="dxa"/>
            <w:noWrap w:val="0"/>
            <w:vAlign w:val="center"/>
          </w:tcPr>
          <w:p w14:paraId="4ED24440">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贝类</w:t>
            </w:r>
          </w:p>
        </w:tc>
        <w:tc>
          <w:tcPr>
            <w:tcW w:w="5103" w:type="dxa"/>
            <w:noWrap w:val="0"/>
            <w:vAlign w:val="center"/>
          </w:tcPr>
          <w:p w14:paraId="3BC29D39">
            <w:pPr>
              <w:spacing w:line="240" w:lineRule="auto"/>
              <w:ind w:firstLine="0" w:firstLineChars="0"/>
              <w:rPr>
                <w:rFonts w:hint="eastAsia" w:ascii="宋体" w:hAnsi="宋体" w:eastAsia="宋体" w:cs="宋体"/>
                <w:kern w:val="0"/>
                <w:sz w:val="18"/>
                <w:szCs w:val="18"/>
              </w:rPr>
            </w:pP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）、氯霉素</w:t>
            </w:r>
          </w:p>
        </w:tc>
        <w:tc>
          <w:tcPr>
            <w:tcW w:w="709" w:type="dxa"/>
            <w:noWrap w:val="0"/>
            <w:vAlign w:val="center"/>
          </w:tcPr>
          <w:p w14:paraId="7F658404">
            <w:pPr>
              <w:spacing w:line="240" w:lineRule="auto"/>
              <w:ind w:firstLine="0" w:firstLineChars="0"/>
              <w:jc w:val="center"/>
              <w:rPr>
                <w:rFonts w:ascii="宋体" w:hAnsi="宋体" w:eastAsia="宋体" w:cs="宋体"/>
                <w:b/>
                <w:bCs/>
                <w:sz w:val="18"/>
                <w:szCs w:val="18"/>
              </w:rPr>
            </w:pPr>
            <w:r>
              <w:rPr>
                <w:rFonts w:hint="eastAsia" w:ascii="宋体" w:hAnsi="宋体" w:eastAsia="宋体" w:cs="宋体"/>
                <w:b/>
                <w:bCs/>
                <w:sz w:val="18"/>
                <w:szCs w:val="18"/>
              </w:rPr>
              <w:t>2</w:t>
            </w:r>
          </w:p>
        </w:tc>
        <w:tc>
          <w:tcPr>
            <w:tcW w:w="1417" w:type="dxa"/>
            <w:vMerge w:val="continue"/>
            <w:noWrap w:val="0"/>
            <w:vAlign w:val="center"/>
          </w:tcPr>
          <w:p w14:paraId="2442E222">
            <w:pPr>
              <w:spacing w:line="240" w:lineRule="auto"/>
              <w:ind w:firstLine="0" w:firstLineChars="0"/>
              <w:jc w:val="center"/>
              <w:rPr>
                <w:rFonts w:hint="eastAsia" w:ascii="宋体" w:hAnsi="宋体" w:eastAsia="宋体" w:cs="宋体"/>
                <w:sz w:val="18"/>
                <w:szCs w:val="18"/>
              </w:rPr>
            </w:pPr>
          </w:p>
        </w:tc>
        <w:tc>
          <w:tcPr>
            <w:tcW w:w="1473" w:type="dxa"/>
            <w:vMerge w:val="continue"/>
            <w:noWrap w:val="0"/>
            <w:vAlign w:val="center"/>
          </w:tcPr>
          <w:p w14:paraId="374BFC53">
            <w:pPr>
              <w:spacing w:line="240" w:lineRule="auto"/>
              <w:ind w:firstLine="0" w:firstLineChars="0"/>
              <w:jc w:val="center"/>
              <w:rPr>
                <w:rFonts w:hint="eastAsia" w:ascii="宋体" w:hAnsi="宋体" w:eastAsia="宋体" w:cs="宋体"/>
                <w:sz w:val="18"/>
                <w:szCs w:val="18"/>
              </w:rPr>
            </w:pPr>
          </w:p>
        </w:tc>
      </w:tr>
      <w:tr w14:paraId="1C7E8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507" w:type="dxa"/>
            <w:vMerge w:val="continue"/>
            <w:noWrap w:val="0"/>
            <w:vAlign w:val="center"/>
          </w:tcPr>
          <w:p w14:paraId="1F8F1474">
            <w:pPr>
              <w:spacing w:line="240" w:lineRule="auto"/>
              <w:ind w:firstLine="0" w:firstLineChars="0"/>
              <w:jc w:val="center"/>
              <w:rPr>
                <w:rFonts w:hint="eastAsia" w:ascii="宋体" w:hAnsi="宋体" w:eastAsia="宋体" w:cs="宋体"/>
                <w:b/>
                <w:bCs/>
                <w:sz w:val="24"/>
              </w:rPr>
            </w:pPr>
          </w:p>
        </w:tc>
        <w:tc>
          <w:tcPr>
            <w:tcW w:w="1136" w:type="dxa"/>
            <w:vMerge w:val="continue"/>
            <w:noWrap w:val="0"/>
            <w:vAlign w:val="center"/>
          </w:tcPr>
          <w:p w14:paraId="4ED8C53A">
            <w:pPr>
              <w:spacing w:line="240" w:lineRule="auto"/>
              <w:ind w:firstLine="0" w:firstLineChars="0"/>
              <w:jc w:val="center"/>
              <w:rPr>
                <w:rFonts w:hint="eastAsia" w:ascii="宋体" w:hAnsi="宋体" w:eastAsia="宋体" w:cs="宋体"/>
                <w:sz w:val="18"/>
                <w:szCs w:val="18"/>
              </w:rPr>
            </w:pPr>
          </w:p>
        </w:tc>
        <w:tc>
          <w:tcPr>
            <w:tcW w:w="1134" w:type="dxa"/>
            <w:vMerge w:val="continue"/>
            <w:noWrap w:val="0"/>
            <w:vAlign w:val="center"/>
          </w:tcPr>
          <w:p w14:paraId="635E0A26">
            <w:pPr>
              <w:spacing w:line="240" w:lineRule="auto"/>
              <w:ind w:firstLine="0" w:firstLineChars="0"/>
              <w:jc w:val="center"/>
              <w:rPr>
                <w:rFonts w:hint="eastAsia" w:ascii="宋体" w:hAnsi="宋体" w:eastAsia="宋体" w:cs="宋体"/>
                <w:kern w:val="0"/>
                <w:sz w:val="18"/>
                <w:szCs w:val="18"/>
              </w:rPr>
            </w:pPr>
          </w:p>
        </w:tc>
        <w:tc>
          <w:tcPr>
            <w:tcW w:w="1135" w:type="dxa"/>
            <w:noWrap w:val="0"/>
            <w:vAlign w:val="center"/>
          </w:tcPr>
          <w:p w14:paraId="2DC487D6">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海水产品</w:t>
            </w:r>
          </w:p>
        </w:tc>
        <w:tc>
          <w:tcPr>
            <w:tcW w:w="1560" w:type="dxa"/>
            <w:noWrap w:val="0"/>
            <w:vAlign w:val="center"/>
          </w:tcPr>
          <w:p w14:paraId="74673014">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海水虾</w:t>
            </w:r>
          </w:p>
        </w:tc>
        <w:tc>
          <w:tcPr>
            <w:tcW w:w="5103" w:type="dxa"/>
            <w:noWrap w:val="0"/>
            <w:vAlign w:val="center"/>
          </w:tcPr>
          <w:p w14:paraId="1C54F18E">
            <w:pPr>
              <w:spacing w:line="240" w:lineRule="auto"/>
              <w:ind w:firstLine="0" w:firstLineChars="0"/>
              <w:rPr>
                <w:rFonts w:hint="default" w:ascii="宋体" w:hAnsi="宋体" w:eastAsia="宋体" w:cs="宋体"/>
                <w:kern w:val="0"/>
                <w:sz w:val="18"/>
                <w:szCs w:val="18"/>
                <w:lang w:val="en-US" w:eastAsia="zh-CN"/>
              </w:rPr>
            </w:pP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）、恩诺沙星、土霉素</w:t>
            </w:r>
            <w:r>
              <w:rPr>
                <w:rFonts w:hint="eastAsia" w:ascii="宋体" w:hAnsi="宋体" w:eastAsia="宋体" w:cs="宋体"/>
                <w:kern w:val="0"/>
                <w:sz w:val="18"/>
                <w:szCs w:val="18"/>
                <w:lang w:val="en-US" w:eastAsia="zh-CN"/>
              </w:rPr>
              <w:t>/金霉素/四环素（组合含量）、二氧化硫残留物、呋喃唑酮代谢物</w:t>
            </w:r>
          </w:p>
        </w:tc>
        <w:tc>
          <w:tcPr>
            <w:tcW w:w="709" w:type="dxa"/>
            <w:noWrap w:val="0"/>
            <w:vAlign w:val="center"/>
          </w:tcPr>
          <w:p w14:paraId="7CEAAEBE">
            <w:pPr>
              <w:spacing w:line="240" w:lineRule="auto"/>
              <w:ind w:firstLine="0" w:firstLineChars="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2</w:t>
            </w:r>
          </w:p>
        </w:tc>
        <w:tc>
          <w:tcPr>
            <w:tcW w:w="1417" w:type="dxa"/>
            <w:vMerge w:val="continue"/>
            <w:noWrap w:val="0"/>
            <w:vAlign w:val="center"/>
          </w:tcPr>
          <w:p w14:paraId="07238720">
            <w:pPr>
              <w:spacing w:line="240" w:lineRule="auto"/>
              <w:ind w:firstLine="0" w:firstLineChars="0"/>
              <w:jc w:val="center"/>
              <w:rPr>
                <w:rFonts w:hint="eastAsia" w:ascii="宋体" w:hAnsi="宋体" w:eastAsia="宋体" w:cs="宋体"/>
                <w:sz w:val="18"/>
                <w:szCs w:val="18"/>
              </w:rPr>
            </w:pPr>
          </w:p>
        </w:tc>
        <w:tc>
          <w:tcPr>
            <w:tcW w:w="1473" w:type="dxa"/>
            <w:vMerge w:val="continue"/>
            <w:noWrap w:val="0"/>
            <w:vAlign w:val="center"/>
          </w:tcPr>
          <w:p w14:paraId="3CACCC32">
            <w:pPr>
              <w:spacing w:line="240" w:lineRule="auto"/>
              <w:ind w:firstLine="0" w:firstLineChars="0"/>
              <w:jc w:val="center"/>
              <w:rPr>
                <w:rFonts w:hint="eastAsia" w:ascii="宋体" w:hAnsi="宋体" w:eastAsia="宋体" w:cs="宋体"/>
                <w:sz w:val="18"/>
                <w:szCs w:val="18"/>
              </w:rPr>
            </w:pPr>
          </w:p>
        </w:tc>
      </w:tr>
      <w:tr w14:paraId="30C8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575" w:type="dxa"/>
            <w:gridSpan w:val="6"/>
            <w:noWrap w:val="0"/>
            <w:vAlign w:val="center"/>
          </w:tcPr>
          <w:p w14:paraId="2D3FE674">
            <w:pPr>
              <w:spacing w:line="240" w:lineRule="auto"/>
              <w:ind w:firstLine="0" w:firstLineChars="0"/>
              <w:jc w:val="center"/>
              <w:rPr>
                <w:rFonts w:hint="eastAsia" w:ascii="宋体" w:hAnsi="宋体" w:eastAsia="宋体" w:cs="宋体"/>
                <w:b/>
                <w:sz w:val="24"/>
              </w:rPr>
            </w:pPr>
            <w:r>
              <w:rPr>
                <w:rFonts w:hint="eastAsia" w:ascii="宋体" w:hAnsi="宋体" w:eastAsia="宋体" w:cs="宋体"/>
                <w:b/>
                <w:sz w:val="24"/>
              </w:rPr>
              <w:t>合计</w:t>
            </w:r>
          </w:p>
        </w:tc>
        <w:tc>
          <w:tcPr>
            <w:tcW w:w="3599" w:type="dxa"/>
            <w:gridSpan w:val="3"/>
            <w:noWrap w:val="0"/>
            <w:vAlign w:val="center"/>
          </w:tcPr>
          <w:p w14:paraId="2F3B4ECB">
            <w:pPr>
              <w:spacing w:line="240" w:lineRule="auto"/>
              <w:ind w:firstLine="0" w:firstLineChars="0"/>
              <w:jc w:val="center"/>
              <w:rPr>
                <w:rFonts w:hint="eastAsia" w:ascii="宋体" w:hAnsi="宋体" w:eastAsia="宋体" w:cs="宋体"/>
                <w:b/>
                <w:sz w:val="24"/>
              </w:rPr>
            </w:pPr>
            <w:r>
              <w:rPr>
                <w:rFonts w:hint="eastAsia" w:ascii="宋体" w:hAnsi="宋体" w:eastAsia="宋体" w:cs="宋体"/>
                <w:b/>
                <w:sz w:val="24"/>
                <w:lang w:val="en-US" w:eastAsia="zh-CN"/>
              </w:rPr>
              <w:t>46</w:t>
            </w:r>
            <w:r>
              <w:rPr>
                <w:rFonts w:hint="eastAsia" w:ascii="宋体" w:hAnsi="宋体" w:eastAsia="宋体" w:cs="宋体"/>
                <w:b/>
                <w:sz w:val="24"/>
              </w:rPr>
              <w:t>批次</w:t>
            </w:r>
          </w:p>
        </w:tc>
      </w:tr>
    </w:tbl>
    <w:p w14:paraId="030FDCA2">
      <w:pPr>
        <w:spacing w:before="159" w:beforeLines="50" w:line="240" w:lineRule="auto"/>
        <w:ind w:firstLine="480" w:firstLineChars="200"/>
        <w:rPr>
          <w:rFonts w:ascii="仿宋" w:hAnsi="仿宋" w:eastAsia="仿宋" w:cs="仿宋"/>
          <w:sz w:val="24"/>
        </w:rPr>
      </w:pPr>
    </w:p>
    <w:p w14:paraId="2474348A">
      <w:pPr>
        <w:spacing w:before="159" w:beforeLines="50"/>
        <w:ind w:firstLine="480" w:firstLineChars="200"/>
        <w:rPr>
          <w:rFonts w:hint="eastAsia" w:ascii="仿宋" w:hAnsi="仿宋" w:eastAsia="仿宋" w:cs="仿宋"/>
          <w:sz w:val="24"/>
          <w:lang w:eastAsia="zh-CN"/>
        </w:rPr>
      </w:pPr>
      <w:r>
        <w:rPr>
          <w:rFonts w:hint="eastAsia" w:ascii="仿宋" w:hAnsi="仿宋" w:eastAsia="仿宋" w:cs="仿宋"/>
          <w:sz w:val="24"/>
        </w:rPr>
        <w:t xml:space="preserve">备注：部分项目检测结果说明：恩诺沙星检测结果以恩诺沙星与环丙沙星之和计；孔雀石绿检验结果以孔雀石绿与隐色孔雀石绿之和计；五氯酚酸钠检验结果以五氯酚计；4-氯苯氧乙酸钠检验结果以4-氯苯氧乙酸计；亚硫酸盐检验结果以S0 </w:t>
      </w:r>
      <w:r>
        <w:rPr>
          <w:rFonts w:hint="eastAsia" w:ascii="仿宋" w:hAnsi="仿宋" w:eastAsia="仿宋" w:cs="仿宋"/>
          <w:sz w:val="24"/>
          <w:vertAlign w:val="subscript"/>
        </w:rPr>
        <w:t xml:space="preserve">2 </w:t>
      </w:r>
      <w:r>
        <w:rPr>
          <w:rFonts w:hint="eastAsia" w:ascii="仿宋" w:hAnsi="仿宋" w:eastAsia="仿宋" w:cs="仿宋"/>
          <w:sz w:val="24"/>
        </w:rPr>
        <w:t>计；磺胺类（总量）按国家食品安全监督抽检实施细则（202</w:t>
      </w:r>
      <w:r>
        <w:rPr>
          <w:rFonts w:hint="eastAsia" w:ascii="仿宋" w:hAnsi="仿宋" w:eastAsia="仿宋" w:cs="仿宋"/>
          <w:sz w:val="24"/>
          <w:lang w:val="en-US" w:eastAsia="zh-CN"/>
        </w:rPr>
        <w:t>6</w:t>
      </w:r>
      <w:r>
        <w:rPr>
          <w:rFonts w:hint="eastAsia" w:ascii="仿宋" w:hAnsi="仿宋" w:eastAsia="仿宋" w:cs="仿宋"/>
          <w:sz w:val="24"/>
        </w:rPr>
        <w:t>年版）中相应类别要求检</w:t>
      </w:r>
      <w:r>
        <w:rPr>
          <w:rFonts w:hint="eastAsia" w:ascii="仿宋" w:hAnsi="仿宋" w:eastAsia="仿宋" w:cs="仿宋"/>
          <w:sz w:val="24"/>
          <w:lang w:eastAsia="zh-CN"/>
        </w:rPr>
        <w:t>。</w:t>
      </w:r>
    </w:p>
    <w:p w14:paraId="07776AB1">
      <w:pPr>
        <w:spacing w:before="159" w:beforeLines="50"/>
        <w:ind w:firstLine="480" w:firstLineChars="200"/>
        <w:rPr>
          <w:rFonts w:hint="eastAsia" w:ascii="仿宋" w:hAnsi="仿宋" w:eastAsia="仿宋" w:cs="仿宋"/>
          <w:sz w:val="24"/>
          <w:lang w:eastAsia="zh-CN"/>
        </w:rPr>
      </w:pPr>
    </w:p>
    <w:p w14:paraId="4A3FEB99">
      <w:pPr>
        <w:spacing w:before="159" w:beforeLines="50"/>
        <w:ind w:firstLine="480" w:firstLineChars="200"/>
        <w:rPr>
          <w:rFonts w:hint="eastAsia" w:ascii="仿宋" w:hAnsi="仿宋" w:eastAsia="仿宋" w:cs="仿宋"/>
          <w:sz w:val="24"/>
          <w:lang w:eastAsia="zh-CN"/>
        </w:rPr>
      </w:pPr>
    </w:p>
    <w:p w14:paraId="7D701A60">
      <w:pPr>
        <w:spacing w:before="159" w:beforeLines="50"/>
        <w:ind w:firstLine="480" w:firstLineChars="200"/>
        <w:rPr>
          <w:rFonts w:hint="eastAsia" w:ascii="仿宋" w:hAnsi="仿宋" w:eastAsia="仿宋" w:cs="仿宋"/>
          <w:sz w:val="24"/>
          <w:lang w:eastAsia="zh-CN"/>
        </w:rPr>
        <w:sectPr>
          <w:footerReference r:id="rId11" w:type="default"/>
          <w:pgSz w:w="16838" w:h="11906" w:orient="landscape"/>
          <w:pgMar w:top="1587" w:right="1984" w:bottom="1587" w:left="1984" w:header="851" w:footer="992" w:gutter="0"/>
          <w:pgNumType w:fmt="decimal"/>
          <w:cols w:space="720" w:num="1"/>
          <w:docGrid w:type="lines" w:linePitch="319" w:charSpace="0"/>
        </w:sectPr>
      </w:pPr>
    </w:p>
    <w:p w14:paraId="67D6B872">
      <w:pPr>
        <w:pStyle w:val="2"/>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rPr>
        <w:t>拟签订的合同文本</w:t>
      </w:r>
    </w:p>
    <w:bookmarkEnd w:id="26"/>
    <w:bookmarkEnd w:id="27"/>
    <w:p w14:paraId="0AC89826">
      <w:pPr>
        <w:adjustRightInd w:val="0"/>
        <w:snapToGrid w:val="0"/>
        <w:ind w:left="0" w:leftChars="0" w:firstLine="723" w:firstLineChars="300"/>
        <w:jc w:val="both"/>
        <w:rPr>
          <w:rFonts w:hint="eastAsia" w:ascii="宋体" w:hAnsi="宋体" w:eastAsia="宋体" w:cs="宋体"/>
          <w:color w:val="auto"/>
          <w:kern w:val="0"/>
          <w:sz w:val="24"/>
          <w:szCs w:val="24"/>
          <w:highlight w:val="none"/>
          <w:lang w:val="en-US" w:eastAsia="zh-CN"/>
        </w:rPr>
      </w:pPr>
      <w:bookmarkStart w:id="59" w:name="_Toc12499_WPSOffice_Level1"/>
      <w:bookmarkStart w:id="60" w:name="_Toc30319_WPSOffice_Level1"/>
      <w:bookmarkStart w:id="61" w:name="_Toc10521_WPSOffice_Level1"/>
      <w:bookmarkStart w:id="62" w:name="_Toc23917_WPSOffice_Level1"/>
      <w:bookmarkStart w:id="63" w:name="_Toc11146_WPSOffice_Level1"/>
      <w:bookmarkStart w:id="64" w:name="_Toc10587"/>
      <w:bookmarkStart w:id="65" w:name="_Toc16017_WPSOffice_Level1"/>
      <w:r>
        <w:rPr>
          <w:rFonts w:hint="eastAsia" w:ascii="宋体" w:hAnsi="宋体" w:eastAsia="宋体" w:cs="宋体"/>
          <w:b/>
          <w:bCs/>
          <w:color w:val="auto"/>
        </w:rPr>
        <w:t>（本格式条款供双方签订合同参考，采购人可根据项目的实际情况增减条款和内容）</w:t>
      </w:r>
    </w:p>
    <w:p w14:paraId="18E9C022">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p w14:paraId="5FF6B1ED">
      <w:pPr>
        <w:keepNext/>
        <w:keepLines/>
        <w:spacing w:after="120" w:line="1114" w:lineRule="exact"/>
        <w:ind w:left="0" w:leftChars="0" w:firstLine="0" w:firstLineChars="0"/>
        <w:jc w:val="both"/>
        <w:outlineLvl w:val="0"/>
        <w:rPr>
          <w:rFonts w:hint="eastAsia" w:ascii="宋体" w:hAnsi="宋体" w:eastAsia="宋体" w:cs="宋体"/>
          <w:color w:val="auto"/>
          <w:sz w:val="58"/>
          <w:szCs w:val="58"/>
          <w:lang w:bidi="en-US"/>
        </w:rPr>
      </w:pPr>
      <w:bookmarkStart w:id="66" w:name="bookmark0"/>
      <w:bookmarkStart w:id="67" w:name="bookmark2"/>
      <w:bookmarkStart w:id="68" w:name="bookmark1"/>
    </w:p>
    <w:p w14:paraId="0775E30C">
      <w:pPr>
        <w:widowControl/>
        <w:ind w:firstLine="0" w:firstLineChars="0"/>
        <w:jc w:val="center"/>
        <w:rPr>
          <w:rFonts w:hint="eastAsia" w:ascii="宋体" w:hAnsi="宋体" w:eastAsia="宋体" w:cs="宋体"/>
          <w:b/>
          <w:bCs/>
          <w:color w:val="auto"/>
          <w:kern w:val="0"/>
          <w:sz w:val="52"/>
          <w:szCs w:val="52"/>
          <w:lang w:val="en-US" w:eastAsia="zh-CN"/>
        </w:rPr>
      </w:pPr>
      <w:r>
        <w:rPr>
          <w:rFonts w:hint="eastAsia" w:ascii="宋体" w:hAnsi="宋体" w:eastAsia="宋体" w:cs="宋体"/>
          <w:b/>
          <w:bCs/>
          <w:color w:val="auto"/>
          <w:kern w:val="0"/>
          <w:sz w:val="52"/>
          <w:szCs w:val="52"/>
          <w:lang w:val="en-US" w:eastAsia="zh-CN"/>
        </w:rPr>
        <w:t>2026年度食品安全监督抽查采购项目</w:t>
      </w:r>
    </w:p>
    <w:p w14:paraId="318D894B">
      <w:pPr>
        <w:widowControl/>
        <w:ind w:firstLine="0" w:firstLineChars="0"/>
        <w:jc w:val="center"/>
        <w:rPr>
          <w:rFonts w:hint="eastAsia" w:ascii="宋体" w:hAnsi="宋体" w:eastAsia="宋体" w:cs="宋体"/>
          <w:b/>
          <w:bCs/>
          <w:color w:val="auto"/>
          <w:kern w:val="0"/>
          <w:sz w:val="52"/>
          <w:szCs w:val="52"/>
          <w:lang w:val="en-US" w:eastAsia="zh-CN"/>
        </w:rPr>
      </w:pPr>
    </w:p>
    <w:p w14:paraId="064C1A75">
      <w:pPr>
        <w:keepNext/>
        <w:keepLines/>
        <w:spacing w:after="120" w:line="1114" w:lineRule="exact"/>
        <w:ind w:left="0" w:leftChars="0" w:firstLine="0" w:firstLineChars="0"/>
        <w:jc w:val="center"/>
        <w:outlineLvl w:val="0"/>
        <w:rPr>
          <w:rFonts w:hint="eastAsia" w:ascii="宋体" w:hAnsi="宋体" w:eastAsia="宋体" w:cs="宋体"/>
          <w:b/>
          <w:bCs/>
          <w:color w:val="auto"/>
          <w:sz w:val="72"/>
          <w:szCs w:val="72"/>
          <w:lang w:val="zh-TW" w:eastAsia="zh-TW" w:bidi="zh-TW"/>
        </w:rPr>
      </w:pPr>
      <w:r>
        <w:rPr>
          <w:rFonts w:hint="eastAsia" w:ascii="宋体" w:hAnsi="宋体" w:eastAsia="宋体" w:cs="宋体"/>
          <w:b/>
          <w:bCs/>
          <w:color w:val="auto"/>
          <w:sz w:val="72"/>
          <w:szCs w:val="72"/>
          <w:lang w:val="zh-TW" w:eastAsia="zh-TW" w:bidi="zh-TW"/>
        </w:rPr>
        <w:t>服</w:t>
      </w:r>
      <w:r>
        <w:rPr>
          <w:rFonts w:hint="eastAsia" w:ascii="宋体" w:hAnsi="宋体" w:eastAsia="宋体" w:cs="宋体"/>
          <w:b/>
          <w:bCs/>
          <w:color w:val="auto"/>
          <w:sz w:val="72"/>
          <w:szCs w:val="72"/>
          <w:lang w:bidi="zh-TW"/>
        </w:rPr>
        <w:t xml:space="preserve"> </w:t>
      </w:r>
      <w:r>
        <w:rPr>
          <w:rFonts w:hint="eastAsia" w:ascii="宋体" w:hAnsi="宋体" w:eastAsia="宋体" w:cs="宋体"/>
          <w:b/>
          <w:bCs/>
          <w:color w:val="auto"/>
          <w:sz w:val="72"/>
          <w:szCs w:val="72"/>
          <w:lang w:val="zh-TW" w:eastAsia="zh-TW" w:bidi="zh-TW"/>
        </w:rPr>
        <w:t>务</w:t>
      </w:r>
      <w:r>
        <w:rPr>
          <w:rFonts w:hint="eastAsia" w:ascii="宋体" w:hAnsi="宋体" w:eastAsia="宋体" w:cs="宋体"/>
          <w:b/>
          <w:bCs/>
          <w:color w:val="auto"/>
          <w:sz w:val="72"/>
          <w:szCs w:val="72"/>
          <w:lang w:bidi="zh-TW"/>
        </w:rPr>
        <w:t xml:space="preserve"> </w:t>
      </w:r>
      <w:r>
        <w:rPr>
          <w:rFonts w:hint="eastAsia" w:ascii="宋体" w:hAnsi="宋体" w:eastAsia="宋体" w:cs="宋体"/>
          <w:b/>
          <w:bCs/>
          <w:color w:val="auto"/>
          <w:sz w:val="72"/>
          <w:szCs w:val="72"/>
          <w:lang w:val="zh-TW" w:eastAsia="zh-TW" w:bidi="zh-TW"/>
        </w:rPr>
        <w:t>合</w:t>
      </w:r>
      <w:r>
        <w:rPr>
          <w:rFonts w:hint="eastAsia" w:ascii="宋体" w:hAnsi="宋体" w:eastAsia="宋体" w:cs="宋体"/>
          <w:b/>
          <w:bCs/>
          <w:color w:val="auto"/>
          <w:sz w:val="72"/>
          <w:szCs w:val="72"/>
          <w:lang w:bidi="zh-TW"/>
        </w:rPr>
        <w:t xml:space="preserve"> </w:t>
      </w:r>
      <w:r>
        <w:rPr>
          <w:rFonts w:hint="eastAsia" w:ascii="宋体" w:hAnsi="宋体" w:eastAsia="宋体" w:cs="宋体"/>
          <w:b/>
          <w:bCs/>
          <w:color w:val="auto"/>
          <w:sz w:val="72"/>
          <w:szCs w:val="72"/>
          <w:lang w:val="zh-TW" w:eastAsia="zh-TW" w:bidi="zh-TW"/>
        </w:rPr>
        <w:t>同</w:t>
      </w:r>
      <w:bookmarkEnd w:id="66"/>
      <w:bookmarkEnd w:id="67"/>
      <w:bookmarkEnd w:id="68"/>
    </w:p>
    <w:p w14:paraId="5AF793C6">
      <w:pPr>
        <w:spacing w:after="480" w:line="240" w:lineRule="auto"/>
        <w:ind w:firstLine="2409" w:firstLineChars="800"/>
        <w:rPr>
          <w:rFonts w:hint="eastAsia" w:ascii="宋体" w:hAnsi="宋体" w:eastAsia="宋体" w:cs="宋体"/>
          <w:b/>
          <w:bCs/>
          <w:color w:val="auto"/>
          <w:sz w:val="30"/>
          <w:szCs w:val="30"/>
          <w:lang w:bidi="zh-TW"/>
        </w:rPr>
      </w:pPr>
      <w:r>
        <w:rPr>
          <w:rFonts w:hint="eastAsia" w:ascii="宋体" w:hAnsi="宋体" w:eastAsia="宋体" w:cs="宋体"/>
          <w:b/>
          <w:bCs/>
          <w:color w:val="auto"/>
          <w:sz w:val="30"/>
          <w:szCs w:val="30"/>
          <w:lang w:val="zh-TW" w:eastAsia="zh-TW" w:bidi="zh-TW"/>
        </w:rPr>
        <w:t>（</w:t>
      </w:r>
      <w:r>
        <w:rPr>
          <w:rFonts w:hint="eastAsia" w:ascii="宋体" w:hAnsi="宋体" w:eastAsia="宋体" w:cs="宋体"/>
          <w:b/>
          <w:bCs/>
          <w:color w:val="auto"/>
          <w:sz w:val="30"/>
          <w:szCs w:val="30"/>
          <w:lang w:val="en-US" w:eastAsia="zh-CN" w:bidi="zh-TW"/>
        </w:rPr>
        <w:t>项目</w:t>
      </w:r>
      <w:r>
        <w:rPr>
          <w:rFonts w:hint="eastAsia" w:ascii="宋体" w:hAnsi="宋体" w:eastAsia="宋体" w:cs="宋体"/>
          <w:b/>
          <w:bCs/>
          <w:color w:val="auto"/>
          <w:sz w:val="30"/>
          <w:szCs w:val="30"/>
          <w:lang w:val="zh-TW" w:eastAsia="zh-TW" w:bidi="zh-TW"/>
        </w:rPr>
        <w:t>编号：</w:t>
      </w:r>
      <w:r>
        <w:rPr>
          <w:rFonts w:hint="eastAsia" w:ascii="宋体" w:hAnsi="宋体" w:eastAsia="宋体" w:cs="宋体"/>
          <w:b/>
          <w:bCs/>
          <w:color w:val="auto"/>
          <w:sz w:val="30"/>
          <w:szCs w:val="30"/>
          <w:lang w:val="en-US" w:eastAsia="zh-CN" w:bidi="zh-TW"/>
        </w:rPr>
        <w:t>HYTF-202607054</w:t>
      </w:r>
      <w:r>
        <w:rPr>
          <w:rFonts w:hint="eastAsia" w:ascii="宋体" w:hAnsi="宋体" w:eastAsia="宋体" w:cs="宋体"/>
          <w:b/>
          <w:bCs/>
          <w:color w:val="auto"/>
          <w:sz w:val="30"/>
          <w:szCs w:val="30"/>
          <w:lang w:bidi="zh-TW"/>
        </w:rPr>
        <w:t>）</w:t>
      </w:r>
    </w:p>
    <w:p w14:paraId="3D276079">
      <w:pPr>
        <w:spacing w:after="480" w:line="504" w:lineRule="exact"/>
        <w:ind w:firstLine="0" w:firstLineChars="0"/>
        <w:jc w:val="left"/>
        <w:rPr>
          <w:rFonts w:hint="eastAsia" w:ascii="宋体" w:hAnsi="宋体" w:eastAsia="宋体" w:cs="宋体"/>
          <w:color w:val="auto"/>
          <w:sz w:val="30"/>
          <w:szCs w:val="30"/>
          <w:lang w:val="zh-TW" w:bidi="zh-TW"/>
        </w:rPr>
      </w:pPr>
    </w:p>
    <w:p w14:paraId="4746954A">
      <w:pPr>
        <w:widowControl w:val="0"/>
        <w:spacing w:after="120" w:line="360" w:lineRule="auto"/>
        <w:ind w:left="480" w:leftChars="200" w:firstLine="480" w:firstLineChars="200"/>
        <w:jc w:val="both"/>
        <w:rPr>
          <w:rFonts w:hint="eastAsia" w:ascii="宋体" w:hAnsi="宋体" w:eastAsia="宋体" w:cs="宋体"/>
          <w:color w:val="auto"/>
          <w:kern w:val="2"/>
          <w:sz w:val="24"/>
          <w:szCs w:val="24"/>
          <w:lang w:val="zh-TW" w:eastAsia="zh-CN" w:bidi="ar-SA"/>
        </w:rPr>
      </w:pPr>
    </w:p>
    <w:p w14:paraId="0E1A833E">
      <w:pPr>
        <w:spacing w:after="480" w:line="240" w:lineRule="auto"/>
        <w:ind w:left="200" w:firstLine="621" w:firstLineChars="207"/>
        <w:jc w:val="left"/>
        <w:rPr>
          <w:rFonts w:hint="eastAsia" w:ascii="宋体" w:hAnsi="宋体" w:eastAsia="宋体" w:cs="宋体"/>
          <w:color w:val="auto"/>
          <w:sz w:val="30"/>
          <w:szCs w:val="30"/>
          <w:lang w:val="en-US" w:eastAsia="zh-CN" w:bidi="zh-TW"/>
        </w:rPr>
      </w:pPr>
      <w:r>
        <w:rPr>
          <w:rFonts w:hint="eastAsia" w:ascii="宋体" w:hAnsi="宋体" w:eastAsia="宋体" w:cs="宋体"/>
          <w:color w:val="auto"/>
          <w:sz w:val="30"/>
          <w:szCs w:val="30"/>
          <w:lang w:val="zh-TW" w:eastAsia="zh-TW" w:bidi="zh-TW"/>
        </w:rPr>
        <w:t>甲方：</w:t>
      </w:r>
    </w:p>
    <w:p w14:paraId="33C32BF2">
      <w:pPr>
        <w:spacing w:after="480" w:line="240" w:lineRule="auto"/>
        <w:ind w:left="200" w:firstLine="621" w:firstLineChars="207"/>
        <w:jc w:val="left"/>
        <w:rPr>
          <w:rFonts w:hint="eastAsia" w:ascii="宋体" w:hAnsi="宋体" w:eastAsia="宋体" w:cs="宋体"/>
          <w:color w:val="auto"/>
          <w:sz w:val="30"/>
          <w:szCs w:val="30"/>
          <w:u w:val="single"/>
          <w:lang w:bidi="zh-TW"/>
        </w:rPr>
      </w:pPr>
      <w:r>
        <w:rPr>
          <w:rFonts w:hint="eastAsia" w:ascii="宋体" w:hAnsi="宋体" w:eastAsia="宋体" w:cs="宋体"/>
          <w:color w:val="auto"/>
          <w:sz w:val="30"/>
          <w:szCs w:val="30"/>
          <w:lang w:val="zh-TW" w:eastAsia="zh-TW" w:bidi="zh-TW"/>
        </w:rPr>
        <w:t>乙方:</w:t>
      </w:r>
      <w:r>
        <w:rPr>
          <w:rFonts w:hint="eastAsia" w:ascii="宋体" w:hAnsi="宋体" w:eastAsia="宋体" w:cs="宋体"/>
          <w:color w:val="auto"/>
          <w:sz w:val="30"/>
          <w:szCs w:val="30"/>
          <w:lang w:bidi="zh-TW"/>
        </w:rPr>
        <w:t xml:space="preserve"> </w:t>
      </w:r>
    </w:p>
    <w:p w14:paraId="457A9A8F">
      <w:pPr>
        <w:spacing w:line="528" w:lineRule="exact"/>
        <w:ind w:left="1795" w:leftChars="748" w:firstLine="876" w:firstLineChars="292"/>
        <w:jc w:val="left"/>
        <w:rPr>
          <w:rFonts w:hint="eastAsia" w:ascii="宋体" w:hAnsi="宋体" w:eastAsia="宋体" w:cs="宋体"/>
          <w:color w:val="auto"/>
          <w:sz w:val="30"/>
          <w:szCs w:val="30"/>
          <w:lang w:val="en-US" w:eastAsia="zh-CN" w:bidi="en-US"/>
        </w:rPr>
      </w:pPr>
      <w:r>
        <w:rPr>
          <w:rFonts w:hint="eastAsia" w:ascii="宋体" w:hAnsi="宋体" w:eastAsia="宋体" w:cs="宋体"/>
          <w:color w:val="auto"/>
          <w:sz w:val="30"/>
          <w:szCs w:val="30"/>
          <w:lang w:val="en-US" w:eastAsia="zh-CN" w:bidi="en-US"/>
        </w:rPr>
        <w:t xml:space="preserve"> </w:t>
      </w:r>
    </w:p>
    <w:p w14:paraId="3E48A16D">
      <w:pPr>
        <w:spacing w:line="480" w:lineRule="auto"/>
        <w:ind w:left="1440" w:leftChars="100" w:hanging="1200" w:hangingChars="400"/>
        <w:jc w:val="center"/>
        <w:rPr>
          <w:rFonts w:hint="eastAsia" w:ascii="宋体" w:hAnsi="宋体" w:eastAsia="宋体" w:cs="宋体"/>
          <w:color w:val="auto"/>
        </w:rPr>
      </w:pPr>
      <w:r>
        <w:rPr>
          <w:rFonts w:hint="eastAsia" w:ascii="宋体" w:hAnsi="宋体" w:eastAsia="宋体" w:cs="宋体"/>
          <w:color w:val="auto"/>
          <w:sz w:val="30"/>
          <w:szCs w:val="30"/>
          <w:lang w:bidi="en-US"/>
        </w:rPr>
        <w:t>202</w:t>
      </w:r>
      <w:r>
        <w:rPr>
          <w:rFonts w:hint="eastAsia" w:ascii="宋体" w:hAnsi="宋体" w:eastAsia="宋体" w:cs="宋体"/>
          <w:color w:val="auto"/>
          <w:sz w:val="30"/>
          <w:szCs w:val="30"/>
          <w:lang w:val="en-US" w:eastAsia="zh-CN" w:bidi="en-US"/>
        </w:rPr>
        <w:t>6</w:t>
      </w:r>
      <w:r>
        <w:rPr>
          <w:rFonts w:hint="eastAsia" w:ascii="宋体" w:hAnsi="宋体" w:eastAsia="宋体" w:cs="宋体"/>
          <w:color w:val="auto"/>
          <w:sz w:val="30"/>
          <w:szCs w:val="30"/>
          <w:lang w:val="zh-TW" w:eastAsia="zh-TW" w:bidi="zh-TW"/>
        </w:rPr>
        <w:t>年</w:t>
      </w:r>
      <w:r>
        <w:rPr>
          <w:rFonts w:hint="eastAsia" w:ascii="宋体" w:hAnsi="宋体" w:eastAsia="宋体" w:cs="宋体"/>
          <w:color w:val="auto"/>
          <w:sz w:val="30"/>
          <w:szCs w:val="30"/>
          <w:u w:val="single"/>
          <w:lang w:bidi="zh-TW"/>
        </w:rPr>
        <w:t xml:space="preserve">   </w:t>
      </w:r>
      <w:r>
        <w:rPr>
          <w:rFonts w:hint="eastAsia" w:ascii="宋体" w:hAnsi="宋体" w:eastAsia="宋体" w:cs="宋体"/>
          <w:color w:val="auto"/>
          <w:sz w:val="30"/>
          <w:szCs w:val="30"/>
          <w:lang w:val="zh-TW" w:eastAsia="zh-TW" w:bidi="zh-TW"/>
        </w:rPr>
        <w:t>月</w:t>
      </w:r>
    </w:p>
    <w:p w14:paraId="3665064C">
      <w:pPr>
        <w:spacing w:line="360" w:lineRule="auto"/>
        <w:ind w:left="0" w:leftChars="0" w:firstLine="480" w:firstLineChars="200"/>
        <w:rPr>
          <w:rFonts w:hint="eastAsia" w:ascii="宋体" w:hAnsi="宋体" w:eastAsia="宋体" w:cs="宋体"/>
          <w:color w:val="auto"/>
        </w:rPr>
      </w:pPr>
    </w:p>
    <w:p w14:paraId="429BACD8">
      <w:pPr>
        <w:spacing w:line="360" w:lineRule="auto"/>
        <w:ind w:left="0" w:leftChars="0" w:firstLine="480" w:firstLineChars="200"/>
        <w:rPr>
          <w:rFonts w:hint="eastAsia" w:ascii="宋体" w:hAnsi="宋体" w:eastAsia="宋体" w:cs="宋体"/>
          <w:color w:val="auto"/>
        </w:rPr>
      </w:pPr>
    </w:p>
    <w:p w14:paraId="4A6A16B4">
      <w:pPr>
        <w:spacing w:line="360" w:lineRule="auto"/>
        <w:ind w:left="0" w:leftChars="0" w:firstLine="480" w:firstLineChars="200"/>
        <w:rPr>
          <w:rFonts w:hint="eastAsia" w:ascii="宋体" w:hAnsi="宋体" w:eastAsia="宋体" w:cs="宋体"/>
          <w:color w:val="auto"/>
        </w:rPr>
      </w:pPr>
    </w:p>
    <w:p w14:paraId="7CA4D5C6">
      <w:pPr>
        <w:spacing w:line="360" w:lineRule="auto"/>
        <w:ind w:left="0" w:leftChars="0" w:firstLine="480" w:firstLineChars="200"/>
        <w:rPr>
          <w:rFonts w:hint="eastAsia" w:ascii="宋体" w:hAnsi="宋体" w:eastAsia="宋体" w:cs="宋体"/>
          <w:color w:val="auto"/>
        </w:rPr>
      </w:pPr>
    </w:p>
    <w:p w14:paraId="65F8F039">
      <w:pPr>
        <w:spacing w:line="360" w:lineRule="auto"/>
        <w:ind w:left="0" w:leftChars="0" w:firstLine="480" w:firstLineChars="200"/>
        <w:rPr>
          <w:rFonts w:hint="eastAsia" w:ascii="宋体" w:hAnsi="宋体" w:eastAsia="宋体" w:cs="宋体"/>
          <w:color w:val="auto"/>
        </w:rPr>
      </w:pPr>
    </w:p>
    <w:p w14:paraId="78950750">
      <w:pPr>
        <w:spacing w:line="360" w:lineRule="auto"/>
        <w:ind w:left="0" w:leftChars="0" w:firstLine="480" w:firstLineChars="200"/>
        <w:rPr>
          <w:rFonts w:hint="eastAsia" w:ascii="宋体" w:hAnsi="宋体" w:eastAsia="宋体" w:cs="宋体"/>
          <w:color w:val="auto"/>
        </w:rPr>
      </w:pPr>
    </w:p>
    <w:p w14:paraId="2799FF4B">
      <w:pPr>
        <w:spacing w:line="360" w:lineRule="auto"/>
        <w:ind w:left="0" w:leftChars="0" w:firstLine="480" w:firstLineChars="200"/>
        <w:rPr>
          <w:rFonts w:hint="eastAsia" w:ascii="宋体" w:hAnsi="宋体" w:eastAsia="宋体" w:cs="宋体"/>
          <w:color w:val="auto"/>
        </w:rPr>
      </w:pPr>
    </w:p>
    <w:p w14:paraId="5267945E">
      <w:pPr>
        <w:spacing w:line="360" w:lineRule="auto"/>
        <w:ind w:left="0" w:leftChars="0" w:firstLine="480" w:firstLineChars="200"/>
        <w:rPr>
          <w:rFonts w:hint="eastAsia" w:ascii="宋体" w:hAnsi="宋体" w:eastAsia="宋体" w:cs="宋体"/>
          <w:color w:val="auto"/>
        </w:rPr>
      </w:pPr>
    </w:p>
    <w:p w14:paraId="32C3EEB3">
      <w:pPr>
        <w:spacing w:line="360" w:lineRule="auto"/>
        <w:ind w:left="0" w:leftChars="0" w:firstLine="480" w:firstLineChars="200"/>
        <w:rPr>
          <w:rFonts w:hint="eastAsia" w:ascii="宋体" w:hAnsi="宋体" w:eastAsia="宋体" w:cs="宋体"/>
          <w:color w:val="auto"/>
          <w:u w:val="single"/>
          <w:lang w:val="en-US" w:eastAsia="zh-CN"/>
        </w:rPr>
      </w:pPr>
      <w:r>
        <w:rPr>
          <w:rFonts w:hint="eastAsia" w:ascii="宋体" w:hAnsi="宋体" w:eastAsia="宋体" w:cs="宋体"/>
          <w:color w:val="auto"/>
        </w:rPr>
        <w:t>合同编号：</w:t>
      </w:r>
      <w:r>
        <w:rPr>
          <w:rFonts w:hint="eastAsia" w:ascii="宋体" w:hAnsi="宋体" w:eastAsia="宋体" w:cs="宋体"/>
          <w:color w:val="auto"/>
          <w:u w:val="single"/>
          <w:lang w:val="en-US" w:eastAsia="zh-CN"/>
        </w:rPr>
        <w:t xml:space="preserve">                              </w:t>
      </w:r>
    </w:p>
    <w:p w14:paraId="41D5824C">
      <w:pPr>
        <w:spacing w:line="360" w:lineRule="auto"/>
        <w:ind w:left="0" w:leftChars="0" w:firstLine="480" w:firstLineChars="200"/>
        <w:rPr>
          <w:rFonts w:hint="eastAsia" w:ascii="宋体" w:hAnsi="宋体" w:eastAsia="宋体" w:cs="宋体"/>
          <w:color w:val="auto"/>
          <w:u w:val="single"/>
          <w:lang w:val="en-US" w:eastAsia="zh-CN"/>
        </w:rPr>
      </w:pPr>
      <w:r>
        <w:rPr>
          <w:rFonts w:hint="eastAsia" w:ascii="宋体" w:hAnsi="宋体" w:eastAsia="宋体" w:cs="宋体"/>
          <w:color w:val="auto"/>
        </w:rPr>
        <w:t>签订日期：</w:t>
      </w:r>
      <w:r>
        <w:rPr>
          <w:rFonts w:hint="eastAsia" w:ascii="宋体" w:hAnsi="宋体" w:eastAsia="宋体" w:cs="宋体"/>
          <w:color w:val="auto"/>
          <w:u w:val="single"/>
          <w:lang w:val="en-US" w:eastAsia="zh-CN"/>
        </w:rPr>
        <w:t xml:space="preserve">                              </w:t>
      </w:r>
    </w:p>
    <w:p w14:paraId="23FBC04E">
      <w:pPr>
        <w:spacing w:line="360" w:lineRule="auto"/>
        <w:ind w:left="0" w:leftChars="0" w:firstLine="480" w:firstLineChars="200"/>
        <w:rPr>
          <w:rFonts w:hint="eastAsia" w:ascii="宋体" w:hAnsi="宋体" w:eastAsia="宋体" w:cs="宋体"/>
          <w:color w:val="auto"/>
          <w:u w:val="single"/>
          <w:lang w:val="en-US" w:eastAsia="zh-CN"/>
        </w:rPr>
      </w:pPr>
      <w:r>
        <w:rPr>
          <w:rFonts w:hint="eastAsia" w:ascii="宋体" w:hAnsi="宋体" w:eastAsia="宋体" w:cs="宋体"/>
          <w:color w:val="auto"/>
        </w:rPr>
        <w:t>签订地点：</w:t>
      </w:r>
      <w:r>
        <w:rPr>
          <w:rFonts w:hint="eastAsia" w:ascii="宋体" w:hAnsi="宋体" w:eastAsia="宋体" w:cs="宋体"/>
          <w:color w:val="auto"/>
          <w:u w:val="single"/>
          <w:lang w:val="en-US" w:eastAsia="zh-CN"/>
        </w:rPr>
        <w:t xml:space="preserve">                              </w:t>
      </w:r>
    </w:p>
    <w:p w14:paraId="679D6575">
      <w:pPr>
        <w:spacing w:line="360" w:lineRule="auto"/>
        <w:ind w:left="0" w:leftChars="0" w:firstLine="480" w:firstLineChars="200"/>
        <w:rPr>
          <w:rFonts w:hint="eastAsia" w:ascii="宋体" w:hAnsi="宋体" w:eastAsia="宋体" w:cs="宋体"/>
          <w:color w:val="auto"/>
          <w:u w:val="single"/>
          <w:lang w:val="en-US" w:eastAsia="zh-CN"/>
        </w:rPr>
      </w:pPr>
      <w:r>
        <w:rPr>
          <w:rFonts w:hint="eastAsia" w:ascii="宋体" w:hAnsi="宋体" w:eastAsia="宋体" w:cs="宋体"/>
          <w:color w:val="auto"/>
        </w:rPr>
        <w:t>采购方（甲方）：</w:t>
      </w:r>
      <w:r>
        <w:rPr>
          <w:rFonts w:hint="eastAsia" w:ascii="宋体" w:hAnsi="宋体" w:eastAsia="宋体" w:cs="宋体"/>
          <w:color w:val="auto"/>
          <w:u w:val="single"/>
          <w:lang w:val="en-US" w:eastAsia="zh-CN"/>
        </w:rPr>
        <w:t xml:space="preserve">                        </w:t>
      </w:r>
    </w:p>
    <w:p w14:paraId="1877A3AD">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检测机构（乙方）：</w:t>
      </w:r>
      <w:r>
        <w:rPr>
          <w:rFonts w:hint="eastAsia" w:ascii="宋体" w:hAnsi="宋体" w:eastAsia="宋体" w:cs="宋体"/>
          <w:color w:val="auto"/>
          <w:u w:val="single"/>
          <w:lang w:val="en-US" w:eastAsia="zh-CN"/>
        </w:rPr>
        <w:t xml:space="preserve">                      </w:t>
      </w:r>
    </w:p>
    <w:p w14:paraId="6C5FF39F">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依据《中华人民共和国</w:t>
      </w:r>
      <w:r>
        <w:rPr>
          <w:rFonts w:hint="eastAsia" w:ascii="宋体" w:hAnsi="宋体" w:eastAsia="宋体" w:cs="宋体"/>
          <w:color w:val="auto"/>
          <w:lang w:val="en-US" w:eastAsia="zh-CN"/>
        </w:rPr>
        <w:t>民法典</w:t>
      </w:r>
      <w:r>
        <w:rPr>
          <w:rFonts w:hint="eastAsia" w:ascii="宋体" w:hAnsi="宋体" w:eastAsia="宋体" w:cs="宋体"/>
          <w:color w:val="auto"/>
        </w:rPr>
        <w:t>》、《中华人民共和国政府采购法》、《政府采购竞争性磋商采购方式管理暂行办法》与项目行业有关的法律法规，以及</w:t>
      </w:r>
      <w:r>
        <w:rPr>
          <w:rFonts w:hint="eastAsia" w:ascii="宋体" w:hAnsi="宋体" w:eastAsia="宋体" w:cs="宋体"/>
          <w:color w:val="auto"/>
          <w:lang w:val="en-US" w:eastAsia="zh-CN"/>
        </w:rPr>
        <w:t>2026年度食品安全监督抽查采购项目（项目</w:t>
      </w:r>
      <w:r>
        <w:rPr>
          <w:rFonts w:hint="eastAsia" w:ascii="宋体" w:hAnsi="宋体" w:eastAsia="宋体" w:cs="宋体"/>
          <w:color w:val="auto"/>
          <w:lang w:val="zh-CN"/>
        </w:rPr>
        <w:t>编号：</w:t>
      </w:r>
      <w:r>
        <w:rPr>
          <w:rFonts w:hint="eastAsia" w:ascii="宋体" w:hAnsi="宋体" w:eastAsia="宋体" w:cs="宋体"/>
          <w:color w:val="auto"/>
          <w:lang w:val="zh-CN" w:eastAsia="zh-CN"/>
        </w:rPr>
        <w:t>HYTF-202607054</w:t>
      </w:r>
      <w:r>
        <w:rPr>
          <w:rFonts w:hint="eastAsia" w:ascii="宋体" w:hAnsi="宋体" w:eastAsia="宋体" w:cs="宋体"/>
          <w:color w:val="auto"/>
          <w:lang w:val="en-US" w:eastAsia="zh-CN"/>
        </w:rPr>
        <w:t>）</w:t>
      </w:r>
      <w:r>
        <w:rPr>
          <w:rFonts w:hint="eastAsia" w:ascii="宋体" w:hAnsi="宋体" w:eastAsia="宋体" w:cs="宋体"/>
          <w:color w:val="auto"/>
        </w:rPr>
        <w:t>的《竞争性磋商文件》、乙方的《磋商响应文件》及《</w:t>
      </w:r>
      <w:r>
        <w:rPr>
          <w:rFonts w:hint="eastAsia" w:ascii="宋体" w:hAnsi="宋体" w:eastAsia="宋体" w:cs="宋体"/>
          <w:color w:val="auto"/>
          <w:lang w:val="en-US" w:eastAsia="zh-CN"/>
        </w:rPr>
        <w:t>成交</w:t>
      </w:r>
      <w:r>
        <w:rPr>
          <w:rFonts w:hint="eastAsia" w:ascii="宋体" w:hAnsi="宋体" w:eastAsia="宋体" w:cs="宋体"/>
          <w:color w:val="auto"/>
        </w:rPr>
        <w:t>通知书》，甲、乙双方同意按下述条款和条件签署本合同。详细服务说明及其他有关合同项目的特定信息由合同条款及附件予以说明，合同附件为本合同的组成部分。</w:t>
      </w:r>
    </w:p>
    <w:p w14:paraId="11A863DF">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甲方通过竞争性磋商采购，接受了乙方以金额￥：</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(以下简称“合同价”)的项目磋商单价总和提供合同条款及附件所述的服务。</w:t>
      </w:r>
    </w:p>
    <w:p w14:paraId="1B21EFBE">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第一条  服务内容</w:t>
      </w:r>
    </w:p>
    <w:p w14:paraId="685E410D">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按照采购方要求，依据相关法律法规提供食品抽样和食品检验检测，出具有效的检验报告，并对报告真实性负责。</w:t>
      </w:r>
    </w:p>
    <w:p w14:paraId="58C1EB38">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1、承担</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食品安全监督抽检工作。</w:t>
      </w:r>
    </w:p>
    <w:p w14:paraId="3E474265">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2、承担甲方临时性、突发性食品安全检验检测任务。</w:t>
      </w:r>
    </w:p>
    <w:p w14:paraId="40D43F6C">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第二条  服务期限</w:t>
      </w:r>
    </w:p>
    <w:p w14:paraId="05A9C6F5">
      <w:pPr>
        <w:spacing w:line="360" w:lineRule="auto"/>
        <w:ind w:left="0" w:leftChars="0" w:firstLine="480" w:firstLineChars="200"/>
        <w:rPr>
          <w:rFonts w:hint="eastAsia" w:ascii="宋体" w:hAnsi="宋体" w:eastAsia="宋体" w:cs="宋体"/>
          <w:color w:val="auto"/>
          <w:u w:val="single"/>
          <w:lang w:val="en-US" w:eastAsia="zh-CN"/>
        </w:rPr>
      </w:pPr>
      <w:r>
        <w:rPr>
          <w:rFonts w:hint="eastAsia" w:ascii="宋体" w:hAnsi="宋体" w:eastAsia="宋体" w:cs="宋体"/>
          <w:color w:val="auto"/>
          <w:u w:val="single"/>
          <w:lang w:val="en-US" w:eastAsia="zh-CN"/>
        </w:rPr>
        <w:t xml:space="preserve">                                   </w:t>
      </w:r>
    </w:p>
    <w:p w14:paraId="587FF0D7">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第三条  服务地点</w:t>
      </w:r>
    </w:p>
    <w:p w14:paraId="6E0EFC59">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采购方指定地点。</w:t>
      </w:r>
    </w:p>
    <w:p w14:paraId="4BC3EEAA">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第四条  技术要求</w:t>
      </w:r>
    </w:p>
    <w:p w14:paraId="35DCB685">
      <w:pPr>
        <w:spacing w:line="360" w:lineRule="auto"/>
        <w:ind w:left="0" w:leftChars="0" w:firstLine="480" w:firstLineChars="200"/>
        <w:rPr>
          <w:rFonts w:hint="eastAsia" w:ascii="宋体" w:hAnsi="宋体" w:eastAsia="宋体" w:cs="宋体"/>
          <w:color w:val="auto"/>
          <w:u w:val="single"/>
          <w:lang w:val="en-US" w:eastAsia="zh-CN"/>
        </w:rPr>
      </w:pPr>
      <w:r>
        <w:rPr>
          <w:rFonts w:hint="eastAsia" w:ascii="宋体" w:hAnsi="宋体" w:eastAsia="宋体" w:cs="宋体"/>
          <w:color w:val="auto"/>
          <w:u w:val="single"/>
          <w:lang w:val="en-US" w:eastAsia="zh-CN"/>
        </w:rPr>
        <w:t xml:space="preserve">                                   </w:t>
      </w:r>
    </w:p>
    <w:p w14:paraId="26241CE4">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 xml:space="preserve">第五条  验收和检测 </w:t>
      </w:r>
    </w:p>
    <w:p w14:paraId="7D6748BF">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1、检测后，甲方根据乙方提供的检测报告进行验收，确认检测结果真实、有效、 合理。</w:t>
      </w:r>
    </w:p>
    <w:p w14:paraId="15BDD793">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2、验收合格后，乙方应与甲方办理相关的验收交接手续，填写交接验收单，验收 各方签字后送合同各方。</w:t>
      </w:r>
    </w:p>
    <w:p w14:paraId="788A0596">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 xml:space="preserve">3、验收依据：（1）合同文本（2）国内相应的标准、规范（3）竞争性磋商文件、响应文件、响应承诺。 </w:t>
      </w:r>
    </w:p>
    <w:p w14:paraId="7809CB99">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第六条  合同价款及付款方式</w:t>
      </w:r>
    </w:p>
    <w:p w14:paraId="178FFB31">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1、检验品种、项目：</w:t>
      </w:r>
      <w:r>
        <w:rPr>
          <w:rFonts w:hint="eastAsia" w:ascii="宋体" w:hAnsi="宋体" w:eastAsia="宋体" w:cs="宋体"/>
          <w:color w:val="auto"/>
          <w:lang w:val="en-US" w:eastAsia="zh-CN"/>
        </w:rPr>
        <w:t>根据采购人要求（后附检验项目及价格明细）</w:t>
      </w:r>
      <w:r>
        <w:rPr>
          <w:rFonts w:hint="eastAsia" w:ascii="宋体" w:hAnsi="宋体" w:eastAsia="宋体" w:cs="宋体"/>
          <w:color w:val="auto"/>
        </w:rPr>
        <w:t>。</w:t>
      </w:r>
    </w:p>
    <w:p w14:paraId="491F1833">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2、合同单价：检测单价包括该项目完成检验检测工作所包含的一切费用，包括：检测费、买样费以及验收合格之前所包括的一切费用。检测单价一次包死，不受市场价变化的影响。</w:t>
      </w:r>
      <w:r>
        <w:rPr>
          <w:rFonts w:hint="eastAsia" w:ascii="宋体" w:hAnsi="宋体" w:eastAsia="宋体" w:cs="宋体"/>
          <w:color w:val="auto"/>
          <w:lang w:val="en-US" w:eastAsia="zh-CN"/>
        </w:rPr>
        <w:t>乙方</w:t>
      </w:r>
      <w:r>
        <w:rPr>
          <w:rFonts w:hint="eastAsia" w:ascii="宋体" w:hAnsi="宋体" w:eastAsia="宋体" w:cs="宋体"/>
          <w:color w:val="auto"/>
        </w:rPr>
        <w:t>在签订合同时须将项目单价作为合同附件，合同附件作为合同的一部分，与合同具有同等法律效力。</w:t>
      </w:r>
    </w:p>
    <w:p w14:paraId="4B9FE0CC">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3、结算方式：依实际抽检的批次和检验的项目及</w:t>
      </w:r>
      <w:r>
        <w:rPr>
          <w:rFonts w:hint="eastAsia" w:ascii="宋体" w:hAnsi="宋体" w:eastAsia="宋体" w:cs="宋体"/>
          <w:color w:val="auto"/>
          <w:lang w:val="en-US" w:eastAsia="zh-CN"/>
        </w:rPr>
        <w:t>乙方</w:t>
      </w:r>
      <w:r>
        <w:rPr>
          <w:rFonts w:hint="eastAsia" w:ascii="宋体" w:hAnsi="宋体" w:eastAsia="宋体" w:cs="宋体"/>
          <w:color w:val="auto"/>
        </w:rPr>
        <w:t>的磋商</w:t>
      </w:r>
      <w:r>
        <w:rPr>
          <w:rFonts w:hint="eastAsia" w:ascii="宋体" w:hAnsi="宋体" w:eastAsia="宋体" w:cs="宋体"/>
          <w:color w:val="auto"/>
          <w:lang w:val="en-US" w:eastAsia="zh-CN"/>
        </w:rPr>
        <w:t>价格</w:t>
      </w:r>
      <w:r>
        <w:rPr>
          <w:rFonts w:hint="eastAsia" w:ascii="宋体" w:hAnsi="宋体" w:eastAsia="宋体" w:cs="宋体"/>
          <w:color w:val="auto"/>
        </w:rPr>
        <w:t xml:space="preserve">据实结算。即按照有效期内实际发生检测次数、检测的项目分类统计，以乙方投标时提供的各项目报价为单价，计算总价。 </w:t>
      </w:r>
    </w:p>
    <w:p w14:paraId="235ED9E7">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4、付款方式：由采购人负责以人民币的方式进行结算，乙方开具结算金额总价数的全额发票交采购人。检测费以银行转账方式进行支付。</w:t>
      </w:r>
    </w:p>
    <w:p w14:paraId="32B0CFEE">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第七条  知识产权</w:t>
      </w:r>
    </w:p>
    <w:p w14:paraId="2746ABF3">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乙方应保证所提供的服务或其任何一部分均不会侵犯任何第三方的专利权、商标权或著作权，否则由乙方承担全部责任。</w:t>
      </w:r>
    </w:p>
    <w:p w14:paraId="5E1B3860">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第八条  双方责任</w:t>
      </w:r>
    </w:p>
    <w:p w14:paraId="76BBD70B">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甲方的责任：</w:t>
      </w:r>
    </w:p>
    <w:p w14:paraId="77A4DE06">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1、甲方应视情况对乙方实施抽样检验委托，并如实填写委托单，并注明要求使用的检验方法（依照检测样品的国家标准，没有国家标准的，可按照地方标准和相关的行业标准、企业标准、产品标签明示值或国家明文规定的限量值</w:t>
      </w:r>
      <w:r>
        <w:rPr>
          <w:rFonts w:hint="eastAsia" w:ascii="宋体" w:hAnsi="宋体" w:eastAsia="宋体" w:cs="宋体"/>
          <w:color w:val="auto"/>
          <w:lang w:val="en-US" w:eastAsia="zh-CN"/>
        </w:rPr>
        <w:t>及</w:t>
      </w:r>
      <w:r>
        <w:rPr>
          <w:rFonts w:hint="eastAsia" w:ascii="宋体" w:hAnsi="宋体" w:eastAsia="宋体" w:cs="宋体"/>
          <w:color w:val="auto"/>
        </w:rPr>
        <w:t>国家指定的特定检验方法等进行检验），还应根据乙方的要求提供必要的业务资料，对所提供的有关业务资料的真实性、合法性负责。</w:t>
      </w:r>
    </w:p>
    <w:p w14:paraId="6E4263B7">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2、甲方需监督配合乙方按国家相关要求抽取样品。</w:t>
      </w:r>
    </w:p>
    <w:p w14:paraId="20803934">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3、如对检验报告有特殊要求，甲方应在委托单上“备注”栏内注明。</w:t>
      </w:r>
    </w:p>
    <w:p w14:paraId="511827E0">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4、按照本合同约定及时足额支付检测费用。</w:t>
      </w:r>
    </w:p>
    <w:p w14:paraId="4F4040DA">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乙方的责任：</w:t>
      </w:r>
    </w:p>
    <w:p w14:paraId="6283E20F">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1、乙方未征得甲方同意，不得私自将检验任务外包或分包给其他检测机构检验。</w:t>
      </w:r>
    </w:p>
    <w:p w14:paraId="6DE28989">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2、乙方若接受委托时，须详细审核委托单内容。在确认甲方的委托及要求后，应填写委托单同一页上的领证凭条交付甲方，甲方凭此查询及索取检验报告。</w:t>
      </w:r>
    </w:p>
    <w:p w14:paraId="42723F49">
      <w:pPr>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检验机构收到检品后20个工作日出具检验报告。对于特殊、涉案样品的检验，3天出结果，7天出报告</w:t>
      </w:r>
      <w:r>
        <w:rPr>
          <w:rFonts w:hint="eastAsia" w:ascii="宋体" w:hAnsi="宋体" w:eastAsia="宋体" w:cs="宋体"/>
          <w:color w:val="auto"/>
          <w:highlight w:val="none"/>
        </w:rPr>
        <w:t>。</w:t>
      </w:r>
    </w:p>
    <w:p w14:paraId="37B418C6">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4、乙方需向甲方提供优质的服务，合格检验报告须在检验结论作出后7个工作日内通知并交给甲方签收，不合格检验报告须在检验结论作出后2个工作日内通知并交给甲方签收。</w:t>
      </w:r>
    </w:p>
    <w:p w14:paraId="1675EFDA">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5、成果要求：乙方完成检测任务后，应提交样品检验报告，只可向委托方汇报，严禁未经甲方同意私自向社会或被检单位透漏监督抽检相关信息。</w:t>
      </w:r>
    </w:p>
    <w:p w14:paraId="6C7FA1C2">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6、乙方对甲方提出的有关咨询问题负有及时解释的责任，并提供相关的报告分析等服务。</w:t>
      </w:r>
    </w:p>
    <w:p w14:paraId="2A6B2326">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第九条  违约责任</w:t>
      </w:r>
    </w:p>
    <w:p w14:paraId="419A3C53">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1、合同生效后，因甲方原因而终止合同，甲方应向乙方支付已完成工作量的费用。</w:t>
      </w:r>
    </w:p>
    <w:p w14:paraId="27F30FD3">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2、乙方出具虚假、错误检验数据和结论，一经发现，立即取消合作资格。</w:t>
      </w:r>
    </w:p>
    <w:p w14:paraId="54F991B5">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3、由于乙方在监督抽检过程中工作不规范引起纠纷，应由乙方负责协调处理，所产生的费用由甲方从检验费中扣除。乙方须针对问题进行整改培训，同时甲方可依据严重程度调整乙方的工作任务；</w:t>
      </w:r>
    </w:p>
    <w:p w14:paraId="12F827BA">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由于乙方检测报告质量不符合要求，应自行采取有效措施，积极、主动地弥补过失，保证工作质量能够满足甲方要求，所引起的纠纷由乙方负责协调处理，所产生的费用由甲方从检验费中扣除。乙方须针对问题进行整改培训，同时甲方可依据严重程度调整乙方的工作任务。</w:t>
      </w:r>
    </w:p>
    <w:p w14:paraId="660FD226">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4、乙方无条件接受甲方随时抽查和考核，发现弄虚作假情况和考核不合格情况，甲方可随时终止合同。</w:t>
      </w:r>
    </w:p>
    <w:p w14:paraId="492538DB">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5、如因乙方未全面履行合同义务或者发生违约，甲方有权终止合约，依法向乙方进行经济索赔，并报请政府采购监督管理机关进行相应的行政处罚。甲方违约的，应当赔偿给乙方造成的直接经济损失。</w:t>
      </w:r>
    </w:p>
    <w:p w14:paraId="191136F3">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6、乙方工作人员在履行职务过程中的疏忽、失职、过错等故意或者过失原因给甲方造成损失或侵害，包括但不限于甲方本身的财产损失、由此而导致的甲方对任何第三方的法律责任等，乙方对此均应承担全部的赔偿责任。因乙方责任而造成延期，每超过一天按合同总价款的5‰支付采购人误期赔偿金，直接交货或提供服务结束为止，所有因延期而产生的费用由乙方承担。</w:t>
      </w:r>
    </w:p>
    <w:p w14:paraId="2B93BD79">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 xml:space="preserve">7、乙方履约延误 </w:t>
      </w:r>
    </w:p>
    <w:p w14:paraId="6173CD05">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 xml:space="preserve">7-1、如乙方事先未征得甲方同意并得到甲方的谅解而单方面延迟交货，将按违约终止合同。 </w:t>
      </w:r>
    </w:p>
    <w:p w14:paraId="597B3AF4">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 xml:space="preserve">7-2、在履行合同过程中，如果乙方遇到可能妨碍按时交货和提供服务的情况（不可抗力），应及时以书面形式将拖延的事实，可能拖延的期限和理由通知甲方。甲方在 收到乙方通知后，应尽快对情况进行评价，并确定是否通过修改合同，酌情延长交货时间或对乙方加收误期赔偿金。每延误一天，误期赔偿费为未按合同要求提供货物或质量不能满足技术要求的货物交货价或服务费用的 10 倍（例如 1 批次检测任务的服务费用为 800 元，则每延误一天的误期赔偿费为 8000 元），直至按照国家法律法规、规章制度的要求或合同的约定交货或提供服务为止；因乙方的原因造成检验报告打印错误、未盖检测机构公章、检验报告与“国家食品安全抽样检验信息系统”上生成的电子文档不一致或未按照法律规定时限给甲方送达检验报告，每批次检测任务的赔偿费为 10000 元；因乙方未按照规定的数量采样或未留够复检样品，致使无法开展复检工作的，每批次检测任务的赔偿费为 30000 元。误期赔偿费的最高限额为合同价格的百分之五（5%）。一旦达到误期赔偿费的最高限额，甲方可终止合同。 </w:t>
      </w:r>
    </w:p>
    <w:p w14:paraId="21CC6737">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 xml:space="preserve">8、违约终止合同：未按合同要求提供货物或质量不能满足技术要求，甲方会同监督机构有权终止合同，对乙方违约行为进行追究，同时按政府采购法的有关规定进行相 应的处罚。 </w:t>
      </w:r>
    </w:p>
    <w:p w14:paraId="476CD940">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第十条  不可抗力事件处理</w:t>
      </w:r>
    </w:p>
    <w:p w14:paraId="0D5E7531">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1、签约双方任何一方由于不可抗力事件的影响而不能执行合同时，履行合同的期限应予延长，其延长的期限应相当于时间所影响的时间。不可抗力事件系指买卖双方在缔结合同时所不能预见的，并且它的发生及其后果是无法避免和无法克服的事件，诸如战争、严重火灾、洪水、台风、地震等。</w:t>
      </w:r>
    </w:p>
    <w:p w14:paraId="1E27D8C3">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2、受影响一方应在不可抗力事件发生后尽快用书面形式通知对方，并于不可抗力事件发生后十四（14）天内将有关当局出具的证明文件用特快专递或挂号信寄给对方审阅确认。一旦不可抗力事件的影响持续一百二十（120）天以上，双方应通过友好协商在合理的时间内达成进一步履行合同的协议。</w:t>
      </w:r>
    </w:p>
    <w:p w14:paraId="55AB05E8">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3、因合同一方延迟履行合同后发生不可抗力的，不能免除迟延履行方的相应责任。</w:t>
      </w:r>
    </w:p>
    <w:p w14:paraId="1A094FF2">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第十一条  解决合同纠纷的方式</w:t>
      </w:r>
    </w:p>
    <w:p w14:paraId="14BA9B2F">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因执行本合同所发生的或与本合同有关的一切争议，双方应通过友好协商解决，如协商不能达成一致的，任何一方均可向甲方所在地人民法院提起诉讼。</w:t>
      </w:r>
    </w:p>
    <w:p w14:paraId="74834BAC">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第十二条  合同生效及其他</w:t>
      </w:r>
    </w:p>
    <w:p w14:paraId="32DE27FE">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1、合同未尽事宜、由甲、乙双方协商，作为合同补充，与原合同具有同等法律效力。合同经双方法定代表人或授权委托代理人签字并加盖单位公章后生效。</w:t>
      </w:r>
    </w:p>
    <w:p w14:paraId="5B5494EE">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2、本合同一式</w:t>
      </w:r>
      <w:r>
        <w:rPr>
          <w:rFonts w:hint="eastAsia" w:ascii="宋体" w:hAnsi="宋体" w:eastAsia="宋体" w:cs="宋体"/>
          <w:color w:val="auto"/>
          <w:u w:val="single"/>
        </w:rPr>
        <w:t xml:space="preserve">    </w:t>
      </w:r>
      <w:r>
        <w:rPr>
          <w:rFonts w:hint="eastAsia" w:ascii="宋体" w:hAnsi="宋体" w:eastAsia="宋体" w:cs="宋体"/>
          <w:color w:val="auto"/>
        </w:rPr>
        <w:t>份，自双方签章之日起生效。其中，甲方</w:t>
      </w:r>
      <w:r>
        <w:rPr>
          <w:rFonts w:hint="eastAsia" w:ascii="宋体" w:hAnsi="宋体" w:eastAsia="宋体" w:cs="宋体"/>
          <w:color w:val="auto"/>
          <w:u w:val="single"/>
        </w:rPr>
        <w:t xml:space="preserve">       </w:t>
      </w:r>
      <w:r>
        <w:rPr>
          <w:rFonts w:hint="eastAsia" w:ascii="宋体" w:hAnsi="宋体" w:eastAsia="宋体" w:cs="宋体"/>
          <w:color w:val="auto"/>
        </w:rPr>
        <w:t>份，乙方</w:t>
      </w:r>
      <w:r>
        <w:rPr>
          <w:rFonts w:hint="eastAsia" w:ascii="宋体" w:hAnsi="宋体" w:eastAsia="宋体" w:cs="宋体"/>
          <w:color w:val="auto"/>
          <w:u w:val="single"/>
        </w:rPr>
        <w:t xml:space="preserve">      </w:t>
      </w:r>
      <w:r>
        <w:rPr>
          <w:rFonts w:hint="eastAsia" w:ascii="宋体" w:hAnsi="宋体" w:eastAsia="宋体" w:cs="宋体"/>
          <w:color w:val="auto"/>
        </w:rPr>
        <w:t>份，具有同等法律效力。</w:t>
      </w:r>
    </w:p>
    <w:p w14:paraId="06F5997E">
      <w:pPr>
        <w:spacing w:line="360" w:lineRule="auto"/>
        <w:ind w:left="0" w:leftChars="0" w:firstLine="482" w:firstLineChars="200"/>
        <w:rPr>
          <w:rFonts w:hint="eastAsia" w:ascii="宋体" w:hAnsi="宋体" w:eastAsia="宋体" w:cs="宋体"/>
          <w:b/>
          <w:bCs/>
          <w:color w:val="auto"/>
        </w:rPr>
      </w:pPr>
      <w:r>
        <w:rPr>
          <w:rFonts w:hint="eastAsia" w:ascii="宋体" w:hAnsi="宋体" w:eastAsia="宋体" w:cs="宋体"/>
          <w:b/>
          <w:bCs/>
          <w:color w:val="auto"/>
        </w:rPr>
        <w:t>第十三条  附件</w:t>
      </w:r>
    </w:p>
    <w:p w14:paraId="56B9A3E7">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1、《成交通知书》</w:t>
      </w:r>
    </w:p>
    <w:p w14:paraId="567D0804">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2、《合同文件》</w:t>
      </w:r>
    </w:p>
    <w:p w14:paraId="3194146B">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3、《国家相关规范及标准》</w:t>
      </w:r>
    </w:p>
    <w:p w14:paraId="0BB758F7">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4、《竞争性磋商文件》</w:t>
      </w:r>
    </w:p>
    <w:p w14:paraId="58A1ADF5">
      <w:pPr>
        <w:spacing w:line="360" w:lineRule="auto"/>
        <w:ind w:left="0" w:leftChars="0" w:firstLine="480" w:firstLineChars="200"/>
        <w:rPr>
          <w:rFonts w:hint="eastAsia" w:ascii="宋体" w:hAnsi="宋体" w:eastAsia="宋体" w:cs="宋体"/>
          <w:color w:val="auto"/>
        </w:rPr>
      </w:pPr>
      <w:r>
        <w:rPr>
          <w:rFonts w:hint="eastAsia" w:ascii="宋体" w:hAnsi="宋体" w:eastAsia="宋体" w:cs="宋体"/>
          <w:color w:val="auto"/>
        </w:rPr>
        <w:t>5、《响应文件》</w:t>
      </w:r>
    </w:p>
    <w:p w14:paraId="712556F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4885FFB">
      <w:pPr>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（本页无正文）</w:t>
      </w:r>
    </w:p>
    <w:tbl>
      <w:tblPr>
        <w:tblStyle w:val="46"/>
        <w:tblpPr w:leftFromText="181" w:rightFromText="181" w:vertAnchor="text" w:horzAnchor="page" w:tblpX="1507"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3"/>
        <w:gridCol w:w="4776"/>
      </w:tblGrid>
      <w:tr w14:paraId="27A3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4223" w:type="dxa"/>
            <w:tcBorders>
              <w:top w:val="single" w:color="auto" w:sz="4" w:space="0"/>
              <w:left w:val="single" w:color="auto" w:sz="4" w:space="0"/>
              <w:bottom w:val="single" w:color="auto" w:sz="4" w:space="0"/>
              <w:right w:val="single" w:color="auto" w:sz="4" w:space="0"/>
            </w:tcBorders>
            <w:noWrap/>
          </w:tcPr>
          <w:p w14:paraId="167A76CC">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甲  方</w:t>
            </w:r>
          </w:p>
        </w:tc>
        <w:tc>
          <w:tcPr>
            <w:tcW w:w="4776" w:type="dxa"/>
            <w:tcBorders>
              <w:top w:val="single" w:color="auto" w:sz="4" w:space="0"/>
              <w:left w:val="single" w:color="auto" w:sz="4" w:space="0"/>
              <w:bottom w:val="single" w:color="auto" w:sz="4" w:space="0"/>
              <w:right w:val="single" w:color="auto" w:sz="4" w:space="0"/>
            </w:tcBorders>
            <w:noWrap/>
          </w:tcPr>
          <w:p w14:paraId="14EBEB37">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乙  方</w:t>
            </w:r>
          </w:p>
        </w:tc>
      </w:tr>
      <w:tr w14:paraId="075C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4223" w:type="dxa"/>
            <w:tcBorders>
              <w:top w:val="single" w:color="auto" w:sz="4" w:space="0"/>
              <w:left w:val="single" w:color="auto" w:sz="4" w:space="0"/>
              <w:bottom w:val="single" w:color="auto" w:sz="4" w:space="0"/>
              <w:right w:val="single" w:color="auto" w:sz="4" w:space="0"/>
            </w:tcBorders>
            <w:noWrap/>
            <w:vAlign w:val="center"/>
          </w:tcPr>
          <w:p w14:paraId="0029FDBB">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采购人全称</w:t>
            </w:r>
          </w:p>
          <w:p w14:paraId="6444B22E">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（公章）</w:t>
            </w:r>
          </w:p>
        </w:tc>
        <w:tc>
          <w:tcPr>
            <w:tcW w:w="4776" w:type="dxa"/>
            <w:tcBorders>
              <w:top w:val="single" w:color="auto" w:sz="4" w:space="0"/>
              <w:left w:val="single" w:color="auto" w:sz="4" w:space="0"/>
              <w:bottom w:val="single" w:color="auto" w:sz="4" w:space="0"/>
              <w:right w:val="single" w:color="auto" w:sz="4" w:space="0"/>
            </w:tcBorders>
            <w:noWrap/>
            <w:vAlign w:val="center"/>
          </w:tcPr>
          <w:p w14:paraId="4A8CBA51">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供应商全称</w:t>
            </w:r>
          </w:p>
          <w:p w14:paraId="228FAE2E">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（公章）</w:t>
            </w:r>
          </w:p>
        </w:tc>
      </w:tr>
      <w:tr w14:paraId="1585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4223" w:type="dxa"/>
            <w:tcBorders>
              <w:top w:val="single" w:color="auto" w:sz="4" w:space="0"/>
              <w:left w:val="single" w:color="auto" w:sz="4" w:space="0"/>
              <w:bottom w:val="single" w:color="auto" w:sz="4" w:space="0"/>
              <w:right w:val="single" w:color="auto" w:sz="4" w:space="0"/>
            </w:tcBorders>
            <w:noWrap/>
          </w:tcPr>
          <w:p w14:paraId="2EBD39E9">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地址：</w:t>
            </w:r>
          </w:p>
        </w:tc>
        <w:tc>
          <w:tcPr>
            <w:tcW w:w="4776" w:type="dxa"/>
            <w:tcBorders>
              <w:top w:val="single" w:color="auto" w:sz="4" w:space="0"/>
              <w:left w:val="single" w:color="auto" w:sz="4" w:space="0"/>
              <w:bottom w:val="single" w:color="auto" w:sz="4" w:space="0"/>
              <w:right w:val="single" w:color="auto" w:sz="4" w:space="0"/>
            </w:tcBorders>
            <w:noWrap/>
          </w:tcPr>
          <w:p w14:paraId="78FDFFCE">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地址：</w:t>
            </w:r>
          </w:p>
        </w:tc>
      </w:tr>
      <w:tr w14:paraId="3EBD4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4223" w:type="dxa"/>
            <w:tcBorders>
              <w:top w:val="single" w:color="auto" w:sz="4" w:space="0"/>
              <w:left w:val="single" w:color="auto" w:sz="4" w:space="0"/>
              <w:bottom w:val="single" w:color="auto" w:sz="4" w:space="0"/>
              <w:right w:val="single" w:color="auto" w:sz="4" w:space="0"/>
            </w:tcBorders>
            <w:noWrap/>
          </w:tcPr>
          <w:p w14:paraId="5D933B03">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邮编：</w:t>
            </w:r>
          </w:p>
        </w:tc>
        <w:tc>
          <w:tcPr>
            <w:tcW w:w="4776" w:type="dxa"/>
            <w:tcBorders>
              <w:top w:val="single" w:color="auto" w:sz="4" w:space="0"/>
              <w:left w:val="single" w:color="auto" w:sz="4" w:space="0"/>
              <w:bottom w:val="single" w:color="auto" w:sz="4" w:space="0"/>
              <w:right w:val="single" w:color="auto" w:sz="4" w:space="0"/>
            </w:tcBorders>
            <w:noWrap/>
          </w:tcPr>
          <w:p w14:paraId="1F72A7E5">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邮编：</w:t>
            </w:r>
          </w:p>
        </w:tc>
      </w:tr>
      <w:tr w14:paraId="4B1F4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4223" w:type="dxa"/>
            <w:tcBorders>
              <w:top w:val="single" w:color="auto" w:sz="4" w:space="0"/>
              <w:left w:val="single" w:color="auto" w:sz="4" w:space="0"/>
              <w:bottom w:val="single" w:color="auto" w:sz="4" w:space="0"/>
              <w:right w:val="single" w:color="auto" w:sz="4" w:space="0"/>
            </w:tcBorders>
            <w:noWrap/>
          </w:tcPr>
          <w:p w14:paraId="67B7D428">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法定代表人或被授权人：</w:t>
            </w:r>
          </w:p>
        </w:tc>
        <w:tc>
          <w:tcPr>
            <w:tcW w:w="4776" w:type="dxa"/>
            <w:tcBorders>
              <w:top w:val="single" w:color="auto" w:sz="4" w:space="0"/>
              <w:left w:val="single" w:color="auto" w:sz="4" w:space="0"/>
              <w:bottom w:val="single" w:color="auto" w:sz="4" w:space="0"/>
              <w:right w:val="single" w:color="auto" w:sz="4" w:space="0"/>
            </w:tcBorders>
            <w:noWrap/>
          </w:tcPr>
          <w:p w14:paraId="63E982B6">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法定代表人或被授权人：</w:t>
            </w:r>
          </w:p>
        </w:tc>
      </w:tr>
      <w:tr w14:paraId="753E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4223" w:type="dxa"/>
            <w:tcBorders>
              <w:top w:val="single" w:color="auto" w:sz="4" w:space="0"/>
              <w:left w:val="single" w:color="auto" w:sz="4" w:space="0"/>
              <w:bottom w:val="single" w:color="auto" w:sz="4" w:space="0"/>
              <w:right w:val="single" w:color="auto" w:sz="4" w:space="0"/>
            </w:tcBorders>
            <w:noWrap/>
          </w:tcPr>
          <w:p w14:paraId="3B114720">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4776" w:type="dxa"/>
            <w:tcBorders>
              <w:top w:val="single" w:color="auto" w:sz="4" w:space="0"/>
              <w:left w:val="single" w:color="auto" w:sz="4" w:space="0"/>
              <w:bottom w:val="single" w:color="auto" w:sz="4" w:space="0"/>
              <w:right w:val="single" w:color="auto" w:sz="4" w:space="0"/>
            </w:tcBorders>
            <w:noWrap/>
          </w:tcPr>
          <w:p w14:paraId="679B27E5">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电话：</w:t>
            </w:r>
          </w:p>
        </w:tc>
      </w:tr>
      <w:tr w14:paraId="212D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4223" w:type="dxa"/>
            <w:tcBorders>
              <w:top w:val="single" w:color="auto" w:sz="4" w:space="0"/>
              <w:left w:val="single" w:color="auto" w:sz="4" w:space="0"/>
              <w:bottom w:val="single" w:color="auto" w:sz="4" w:space="0"/>
              <w:right w:val="single" w:color="auto" w:sz="4" w:space="0"/>
            </w:tcBorders>
            <w:noWrap/>
          </w:tcPr>
          <w:p w14:paraId="5E7B4904">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4776" w:type="dxa"/>
            <w:tcBorders>
              <w:top w:val="single" w:color="auto" w:sz="4" w:space="0"/>
              <w:left w:val="single" w:color="auto" w:sz="4" w:space="0"/>
              <w:bottom w:val="single" w:color="auto" w:sz="4" w:space="0"/>
              <w:right w:val="single" w:color="auto" w:sz="4" w:space="0"/>
            </w:tcBorders>
            <w:noWrap/>
          </w:tcPr>
          <w:p w14:paraId="4B43F7EC">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传真：</w:t>
            </w:r>
          </w:p>
        </w:tc>
      </w:tr>
      <w:tr w14:paraId="18FAC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4223" w:type="dxa"/>
            <w:tcBorders>
              <w:top w:val="single" w:color="auto" w:sz="4" w:space="0"/>
              <w:left w:val="single" w:color="auto" w:sz="4" w:space="0"/>
              <w:bottom w:val="single" w:color="auto" w:sz="4" w:space="0"/>
              <w:right w:val="single" w:color="auto" w:sz="4" w:space="0"/>
            </w:tcBorders>
            <w:noWrap/>
          </w:tcPr>
          <w:p w14:paraId="24B64904">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银行账户：</w:t>
            </w:r>
          </w:p>
        </w:tc>
        <w:tc>
          <w:tcPr>
            <w:tcW w:w="4776" w:type="dxa"/>
            <w:tcBorders>
              <w:top w:val="single" w:color="auto" w:sz="4" w:space="0"/>
              <w:left w:val="single" w:color="auto" w:sz="4" w:space="0"/>
              <w:bottom w:val="single" w:color="auto" w:sz="4" w:space="0"/>
              <w:right w:val="single" w:color="auto" w:sz="4" w:space="0"/>
            </w:tcBorders>
            <w:noWrap/>
          </w:tcPr>
          <w:p w14:paraId="7B33BB0E">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开户银行：</w:t>
            </w:r>
          </w:p>
        </w:tc>
      </w:tr>
      <w:tr w14:paraId="07B13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4223" w:type="dxa"/>
            <w:tcBorders>
              <w:top w:val="single" w:color="auto" w:sz="4" w:space="0"/>
              <w:left w:val="single" w:color="auto" w:sz="4" w:space="0"/>
              <w:bottom w:val="single" w:color="auto" w:sz="4" w:space="0"/>
              <w:right w:val="single" w:color="auto" w:sz="4" w:space="0"/>
            </w:tcBorders>
            <w:noWrap/>
          </w:tcPr>
          <w:p w14:paraId="537C1169">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帐号：</w:t>
            </w:r>
          </w:p>
        </w:tc>
        <w:tc>
          <w:tcPr>
            <w:tcW w:w="4776" w:type="dxa"/>
            <w:tcBorders>
              <w:top w:val="single" w:color="auto" w:sz="4" w:space="0"/>
              <w:left w:val="single" w:color="auto" w:sz="4" w:space="0"/>
              <w:bottom w:val="single" w:color="auto" w:sz="4" w:space="0"/>
              <w:right w:val="single" w:color="auto" w:sz="4" w:space="0"/>
            </w:tcBorders>
            <w:noWrap/>
          </w:tcPr>
          <w:p w14:paraId="1F7DCFCD">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帐号：</w:t>
            </w:r>
          </w:p>
        </w:tc>
      </w:tr>
      <w:tr w14:paraId="0FF4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4223" w:type="dxa"/>
            <w:tcBorders>
              <w:top w:val="single" w:color="auto" w:sz="4" w:space="0"/>
              <w:left w:val="single" w:color="auto" w:sz="4" w:space="0"/>
              <w:bottom w:val="single" w:color="auto" w:sz="4" w:space="0"/>
              <w:right w:val="single" w:color="auto" w:sz="4" w:space="0"/>
            </w:tcBorders>
            <w:noWrap/>
          </w:tcPr>
          <w:p w14:paraId="0A94216F">
            <w:pPr>
              <w:spacing w:line="360" w:lineRule="auto"/>
              <w:ind w:left="0" w:leftChars="0" w:firstLine="0" w:firstLineChars="0"/>
              <w:jc w:val="center"/>
              <w:rPr>
                <w:rFonts w:hint="eastAsia" w:ascii="宋体" w:hAnsi="宋体" w:eastAsia="宋体" w:cs="宋体"/>
                <w:color w:val="auto"/>
                <w:highlight w:val="none"/>
              </w:rPr>
            </w:pPr>
          </w:p>
          <w:p w14:paraId="7D5F5B36">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年  月  日</w:t>
            </w:r>
          </w:p>
        </w:tc>
        <w:tc>
          <w:tcPr>
            <w:tcW w:w="4776" w:type="dxa"/>
            <w:tcBorders>
              <w:top w:val="single" w:color="auto" w:sz="4" w:space="0"/>
              <w:left w:val="single" w:color="auto" w:sz="4" w:space="0"/>
              <w:bottom w:val="single" w:color="auto" w:sz="4" w:space="0"/>
              <w:right w:val="single" w:color="auto" w:sz="4" w:space="0"/>
            </w:tcBorders>
            <w:noWrap/>
          </w:tcPr>
          <w:p w14:paraId="3DEC962F">
            <w:pPr>
              <w:spacing w:line="360" w:lineRule="auto"/>
              <w:ind w:left="0" w:leftChars="0" w:firstLine="0" w:firstLineChars="0"/>
              <w:jc w:val="center"/>
              <w:rPr>
                <w:rFonts w:hint="eastAsia" w:ascii="宋体" w:hAnsi="宋体" w:eastAsia="宋体" w:cs="宋体"/>
                <w:color w:val="auto"/>
                <w:highlight w:val="none"/>
              </w:rPr>
            </w:pPr>
          </w:p>
          <w:p w14:paraId="28522549">
            <w:pPr>
              <w:spacing w:line="36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年  月  日</w:t>
            </w:r>
          </w:p>
        </w:tc>
      </w:tr>
    </w:tbl>
    <w:p w14:paraId="13D5F5AC">
      <w:pPr>
        <w:spacing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EB5FFE0">
      <w:pPr>
        <w:pStyle w:val="2"/>
        <w:rPr>
          <w:rFonts w:hint="eastAsia" w:ascii="宋体" w:hAnsi="宋体" w:eastAsia="宋体" w:cs="宋体"/>
          <w:color w:val="auto"/>
          <w:highlight w:val="none"/>
        </w:rPr>
      </w:pPr>
      <w:bookmarkStart w:id="69" w:name="_Toc331"/>
      <w:bookmarkStart w:id="70" w:name="_Toc6986"/>
      <w:bookmarkStart w:id="71" w:name="_Toc12330_WPSOffice_Level1"/>
      <w:r>
        <w:rPr>
          <w:rFonts w:hint="eastAsia" w:ascii="宋体" w:hAnsi="宋体" w:eastAsia="宋体" w:cs="宋体"/>
          <w:color w:val="auto"/>
          <w:highlight w:val="none"/>
        </w:rPr>
        <w:t>响应文件格式</w:t>
      </w:r>
      <w:bookmarkEnd w:id="69"/>
      <w:bookmarkEnd w:id="70"/>
      <w:bookmarkEnd w:id="71"/>
    </w:p>
    <w:p w14:paraId="296C1874">
      <w:pPr>
        <w:widowControl/>
        <w:rPr>
          <w:rFonts w:hint="eastAsia" w:ascii="宋体" w:hAnsi="宋体" w:eastAsia="宋体" w:cs="宋体"/>
          <w:b/>
          <w:bCs/>
          <w:color w:val="auto"/>
          <w:kern w:val="0"/>
          <w:sz w:val="28"/>
          <w:szCs w:val="28"/>
          <w:highlight w:val="none"/>
          <w:lang w:val="zh-CN"/>
        </w:rPr>
        <w:sectPr>
          <w:headerReference r:id="rId12" w:type="default"/>
          <w:footerReference r:id="rId13" w:type="default"/>
          <w:pgSz w:w="11906" w:h="16838"/>
          <w:pgMar w:top="1418" w:right="1304" w:bottom="1418" w:left="1304" w:header="851" w:footer="992" w:gutter="0"/>
          <w:pgBorders>
            <w:top w:val="none" w:sz="0" w:space="0"/>
            <w:left w:val="none" w:sz="0" w:space="0"/>
            <w:bottom w:val="none" w:sz="0" w:space="0"/>
            <w:right w:val="none" w:sz="0" w:space="0"/>
          </w:pgBorders>
          <w:pgNumType w:fmt="decimal"/>
          <w:cols w:space="720" w:num="1"/>
          <w:docGrid w:linePitch="312" w:charSpace="0"/>
        </w:sectPr>
      </w:pPr>
    </w:p>
    <w:p w14:paraId="35DD05F9">
      <w:pPr>
        <w:widowControl/>
        <w:rPr>
          <w:rFonts w:hint="eastAsia" w:ascii="宋体" w:hAnsi="宋体" w:eastAsia="宋体" w:cs="宋体"/>
          <w:b/>
          <w:bCs/>
          <w:color w:val="auto"/>
          <w:kern w:val="0"/>
          <w:sz w:val="28"/>
          <w:szCs w:val="28"/>
          <w:highlight w:val="none"/>
          <w:lang w:val="zh-CN"/>
        </w:rPr>
      </w:pPr>
      <w:bookmarkStart w:id="72" w:name="_Toc1349"/>
      <w:bookmarkStart w:id="73" w:name="_Toc21095_WPSOffice_Level1"/>
      <w:bookmarkStart w:id="74" w:name="_Toc21872_WPSOffice_Level1"/>
      <w:bookmarkStart w:id="75" w:name="_Toc6858_WPSOffice_Level1"/>
      <w:bookmarkStart w:id="76" w:name="_Toc18869"/>
      <w:bookmarkStart w:id="77" w:name="_Toc15681_WPSOffice_Level1"/>
      <w:bookmarkStart w:id="78" w:name="_Toc19016_WPSOffice_Level1"/>
      <w:bookmarkStart w:id="79" w:name="_Toc16405_WPSOffice_Level1"/>
      <w:r>
        <w:rPr>
          <w:rFonts w:hint="eastAsia" w:ascii="宋体" w:hAnsi="宋体" w:eastAsia="宋体" w:cs="宋体"/>
          <w:b/>
          <w:bCs/>
          <w:color w:val="auto"/>
          <w:kern w:val="0"/>
          <w:sz w:val="28"/>
          <w:szCs w:val="28"/>
          <w:highlight w:val="none"/>
          <w:lang w:val="zh-CN"/>
        </w:rPr>
        <w:t>正本/副本</w:t>
      </w:r>
      <w:bookmarkEnd w:id="72"/>
      <w:bookmarkEnd w:id="73"/>
      <w:bookmarkEnd w:id="74"/>
      <w:bookmarkEnd w:id="75"/>
      <w:bookmarkEnd w:id="76"/>
      <w:bookmarkEnd w:id="77"/>
      <w:bookmarkEnd w:id="78"/>
      <w:bookmarkEnd w:id="79"/>
    </w:p>
    <w:p w14:paraId="08FF2D09">
      <w:pPr>
        <w:widowControl/>
        <w:jc w:val="right"/>
        <w:rPr>
          <w:rFonts w:hint="eastAsia" w:ascii="宋体" w:hAnsi="宋体" w:eastAsia="宋体" w:cs="宋体"/>
          <w:b/>
          <w:bCs/>
          <w:color w:val="auto"/>
          <w:kern w:val="0"/>
          <w:sz w:val="28"/>
          <w:szCs w:val="28"/>
          <w:highlight w:val="none"/>
          <w:lang w:val="zh-CN" w:eastAsia="zh-CN"/>
        </w:rPr>
      </w:pPr>
      <w:r>
        <w:rPr>
          <w:rFonts w:hint="eastAsia" w:ascii="宋体" w:hAnsi="宋体" w:eastAsia="宋体" w:cs="宋体"/>
          <w:b/>
          <w:bCs/>
          <w:color w:val="auto"/>
          <w:kern w:val="0"/>
          <w:sz w:val="28"/>
          <w:szCs w:val="28"/>
          <w:highlight w:val="none"/>
          <w:lang w:val="zh-CN"/>
        </w:rPr>
        <w:t>采购项目编号：</w:t>
      </w:r>
      <w:r>
        <w:rPr>
          <w:rFonts w:hint="eastAsia" w:ascii="宋体" w:hAnsi="宋体" w:eastAsia="宋体" w:cs="宋体"/>
          <w:b/>
          <w:bCs/>
          <w:color w:val="auto"/>
          <w:kern w:val="0"/>
          <w:sz w:val="28"/>
          <w:szCs w:val="28"/>
          <w:highlight w:val="none"/>
          <w:lang w:val="zh-CN" w:eastAsia="zh-CN"/>
        </w:rPr>
        <w:t>HYTF-202607054</w:t>
      </w:r>
    </w:p>
    <w:p w14:paraId="21631BC3">
      <w:pPr>
        <w:widowControl/>
        <w:jc w:val="right"/>
        <w:rPr>
          <w:rFonts w:hint="eastAsia" w:ascii="宋体" w:hAnsi="宋体" w:eastAsia="宋体" w:cs="宋体"/>
          <w:b/>
          <w:bCs/>
          <w:color w:val="auto"/>
          <w:kern w:val="0"/>
          <w:sz w:val="28"/>
          <w:szCs w:val="28"/>
          <w:highlight w:val="none"/>
          <w:lang w:val="zh-CN" w:eastAsia="zh-CN"/>
        </w:rPr>
      </w:pPr>
    </w:p>
    <w:p w14:paraId="06F70495">
      <w:pPr>
        <w:widowControl/>
        <w:jc w:val="right"/>
        <w:outlineLvl w:val="0"/>
        <w:rPr>
          <w:rFonts w:hint="eastAsia" w:ascii="宋体" w:hAnsi="宋体" w:eastAsia="宋体" w:cs="宋体"/>
          <w:b/>
          <w:bCs/>
          <w:color w:val="auto"/>
          <w:kern w:val="0"/>
          <w:sz w:val="28"/>
          <w:szCs w:val="28"/>
          <w:highlight w:val="none"/>
          <w:lang w:val="zh-CN"/>
        </w:rPr>
      </w:pPr>
    </w:p>
    <w:p w14:paraId="7A44FF69">
      <w:pPr>
        <w:widowControl/>
        <w:ind w:firstLine="0" w:firstLineChars="0"/>
        <w:jc w:val="center"/>
        <w:rPr>
          <w:rFonts w:hint="eastAsia" w:ascii="宋体" w:hAnsi="宋体" w:eastAsia="宋体" w:cs="宋体"/>
          <w:b/>
          <w:bCs/>
          <w:color w:val="auto"/>
          <w:kern w:val="0"/>
          <w:sz w:val="52"/>
          <w:szCs w:val="52"/>
          <w:highlight w:val="none"/>
          <w:lang w:val="en-US" w:eastAsia="zh-CN"/>
        </w:rPr>
      </w:pPr>
      <w:bookmarkStart w:id="80" w:name="_Toc29276_WPSOffice_Level2"/>
      <w:bookmarkStart w:id="81" w:name="_Toc27024_WPSOffice_Level2"/>
      <w:r>
        <w:rPr>
          <w:rFonts w:hint="eastAsia" w:ascii="宋体" w:hAnsi="宋体" w:eastAsia="宋体" w:cs="宋体"/>
          <w:b/>
          <w:bCs/>
          <w:color w:val="auto"/>
          <w:kern w:val="0"/>
          <w:sz w:val="52"/>
          <w:szCs w:val="52"/>
          <w:highlight w:val="none"/>
          <w:lang w:val="en-US" w:eastAsia="zh-CN"/>
        </w:rPr>
        <w:t>2026年度食品安全监督抽查采购项目</w:t>
      </w:r>
    </w:p>
    <w:p w14:paraId="1CE1ED4D">
      <w:pPr>
        <w:widowControl/>
        <w:ind w:firstLine="0" w:firstLineChars="0"/>
        <w:jc w:val="center"/>
        <w:rPr>
          <w:rFonts w:hint="eastAsia" w:ascii="宋体" w:hAnsi="宋体" w:eastAsia="宋体" w:cs="宋体"/>
          <w:b/>
          <w:bCs/>
          <w:color w:val="auto"/>
          <w:kern w:val="0"/>
          <w:sz w:val="52"/>
          <w:szCs w:val="52"/>
          <w:highlight w:val="none"/>
          <w:lang w:val="en-US" w:eastAsia="zh-CN"/>
        </w:rPr>
      </w:pPr>
    </w:p>
    <w:p w14:paraId="5A57B69A">
      <w:pPr>
        <w:widowControl/>
        <w:ind w:firstLine="0" w:firstLineChars="0"/>
        <w:jc w:val="center"/>
        <w:rPr>
          <w:rFonts w:hint="eastAsia" w:ascii="宋体" w:hAnsi="宋体" w:eastAsia="宋体" w:cs="宋体"/>
          <w:b/>
          <w:bCs/>
          <w:color w:val="auto"/>
          <w:kern w:val="0"/>
          <w:sz w:val="72"/>
          <w:szCs w:val="72"/>
          <w:highlight w:val="none"/>
          <w:lang w:val="zh-CN"/>
        </w:rPr>
      </w:pPr>
      <w:r>
        <w:rPr>
          <w:rFonts w:hint="eastAsia" w:ascii="宋体" w:hAnsi="宋体" w:eastAsia="宋体" w:cs="宋体"/>
          <w:b/>
          <w:bCs/>
          <w:color w:val="auto"/>
          <w:kern w:val="0"/>
          <w:sz w:val="72"/>
          <w:szCs w:val="72"/>
          <w:highlight w:val="none"/>
        </w:rPr>
        <w:t>竞争性磋商响应</w:t>
      </w:r>
      <w:r>
        <w:rPr>
          <w:rFonts w:hint="eastAsia" w:ascii="宋体" w:hAnsi="宋体" w:eastAsia="宋体" w:cs="宋体"/>
          <w:b/>
          <w:bCs/>
          <w:color w:val="auto"/>
          <w:kern w:val="0"/>
          <w:sz w:val="72"/>
          <w:szCs w:val="72"/>
          <w:highlight w:val="none"/>
          <w:lang w:val="zh-CN"/>
        </w:rPr>
        <w:t>文件</w:t>
      </w:r>
      <w:bookmarkEnd w:id="80"/>
      <w:bookmarkEnd w:id="81"/>
    </w:p>
    <w:p w14:paraId="74B9B49A">
      <w:pPr>
        <w:widowControl/>
        <w:jc w:val="center"/>
        <w:rPr>
          <w:rFonts w:hint="eastAsia" w:ascii="宋体" w:hAnsi="宋体" w:eastAsia="宋体" w:cs="宋体"/>
          <w:b/>
          <w:bCs/>
          <w:color w:val="auto"/>
          <w:kern w:val="0"/>
          <w:sz w:val="28"/>
          <w:szCs w:val="28"/>
          <w:highlight w:val="none"/>
          <w:lang w:val="zh-CN"/>
        </w:rPr>
      </w:pPr>
    </w:p>
    <w:p w14:paraId="3DA766B0">
      <w:pPr>
        <w:widowControl/>
        <w:rPr>
          <w:rFonts w:hint="eastAsia" w:ascii="宋体" w:hAnsi="宋体" w:eastAsia="宋体" w:cs="宋体"/>
          <w:b/>
          <w:bCs/>
          <w:color w:val="auto"/>
          <w:kern w:val="0"/>
          <w:highlight w:val="none"/>
        </w:rPr>
      </w:pPr>
    </w:p>
    <w:p w14:paraId="63F7F910">
      <w:pPr>
        <w:widowControl/>
        <w:rPr>
          <w:rFonts w:hint="eastAsia" w:ascii="宋体" w:hAnsi="宋体" w:eastAsia="宋体" w:cs="宋体"/>
          <w:b/>
          <w:bCs/>
          <w:color w:val="auto"/>
          <w:kern w:val="0"/>
          <w:highlight w:val="none"/>
        </w:rPr>
      </w:pPr>
    </w:p>
    <w:p w14:paraId="15A695E8">
      <w:pPr>
        <w:widowControl/>
        <w:rPr>
          <w:rFonts w:hint="eastAsia" w:ascii="宋体" w:hAnsi="宋体" w:eastAsia="宋体" w:cs="宋体"/>
          <w:b/>
          <w:bCs/>
          <w:color w:val="auto"/>
          <w:kern w:val="0"/>
          <w:highlight w:val="none"/>
        </w:rPr>
      </w:pPr>
    </w:p>
    <w:p w14:paraId="6E9BFED5">
      <w:pPr>
        <w:pStyle w:val="45"/>
        <w:rPr>
          <w:rFonts w:hint="eastAsia" w:ascii="宋体" w:hAnsi="宋体" w:eastAsia="宋体" w:cs="宋体"/>
          <w:b/>
          <w:bCs/>
          <w:color w:val="auto"/>
          <w:kern w:val="0"/>
          <w:highlight w:val="none"/>
        </w:rPr>
      </w:pPr>
    </w:p>
    <w:p w14:paraId="10150B9F">
      <w:pPr>
        <w:pStyle w:val="45"/>
        <w:rPr>
          <w:rFonts w:hint="eastAsia" w:ascii="宋体" w:hAnsi="宋体" w:eastAsia="宋体" w:cs="宋体"/>
          <w:b/>
          <w:bCs/>
          <w:color w:val="auto"/>
          <w:kern w:val="0"/>
          <w:highlight w:val="none"/>
        </w:rPr>
      </w:pPr>
    </w:p>
    <w:p w14:paraId="4D9A358B">
      <w:pPr>
        <w:widowControl/>
        <w:rPr>
          <w:rFonts w:hint="eastAsia" w:ascii="宋体" w:hAnsi="宋体" w:eastAsia="宋体" w:cs="宋体"/>
          <w:b/>
          <w:bCs/>
          <w:color w:val="auto"/>
          <w:kern w:val="0"/>
          <w:highlight w:val="none"/>
        </w:rPr>
      </w:pPr>
    </w:p>
    <w:p w14:paraId="220B56A6">
      <w:pPr>
        <w:widowControl/>
        <w:ind w:firstLine="2530" w:firstLineChars="900"/>
        <w:jc w:val="both"/>
        <w:outlineLvl w:val="0"/>
        <w:rPr>
          <w:rFonts w:hint="eastAsia" w:ascii="宋体" w:hAnsi="宋体" w:eastAsia="宋体" w:cs="宋体"/>
          <w:b/>
          <w:bCs/>
          <w:color w:val="auto"/>
          <w:kern w:val="0"/>
          <w:sz w:val="28"/>
          <w:szCs w:val="28"/>
          <w:highlight w:val="none"/>
          <w:u w:val="single"/>
          <w:lang w:val="en-US" w:eastAsia="zh-CN"/>
        </w:rPr>
      </w:pPr>
      <w:bookmarkStart w:id="82" w:name="_Toc8461"/>
      <w:bookmarkStart w:id="83" w:name="_Toc7607_WPSOffice_Level1"/>
      <w:bookmarkStart w:id="84" w:name="_Toc31078_WPSOffice_Level1"/>
      <w:bookmarkStart w:id="85" w:name="_Toc32411_WPSOffice_Level1"/>
      <w:bookmarkStart w:id="86" w:name="_Toc23023_WPSOffice_Level1"/>
      <w:bookmarkStart w:id="87" w:name="_Toc24244_WPSOffice_Level1"/>
      <w:bookmarkStart w:id="88" w:name="_Toc11535_WPSOffice_Level1"/>
      <w:bookmarkStart w:id="89" w:name="_Toc9130"/>
      <w:r>
        <w:rPr>
          <w:rFonts w:hint="eastAsia" w:ascii="宋体" w:hAnsi="宋体" w:eastAsia="宋体" w:cs="宋体"/>
          <w:b/>
          <w:bCs/>
          <w:color w:val="auto"/>
          <w:kern w:val="0"/>
          <w:sz w:val="28"/>
          <w:szCs w:val="28"/>
          <w:highlight w:val="none"/>
        </w:rPr>
        <w:t xml:space="preserve">供 应 商 </w:t>
      </w:r>
      <w:r>
        <w:rPr>
          <w:rFonts w:hint="eastAsia" w:ascii="宋体" w:hAnsi="宋体" w:eastAsia="宋体" w:cs="宋体"/>
          <w:b/>
          <w:bCs/>
          <w:color w:val="auto"/>
          <w:kern w:val="0"/>
          <w:sz w:val="28"/>
          <w:szCs w:val="28"/>
          <w:highlight w:val="none"/>
          <w:lang w:val="zh-CN"/>
        </w:rPr>
        <w:t>：</w:t>
      </w:r>
      <w:bookmarkEnd w:id="82"/>
      <w:bookmarkEnd w:id="83"/>
      <w:bookmarkEnd w:id="84"/>
      <w:bookmarkEnd w:id="85"/>
      <w:bookmarkEnd w:id="86"/>
      <w:bookmarkEnd w:id="87"/>
      <w:bookmarkEnd w:id="88"/>
      <w:bookmarkEnd w:id="89"/>
      <w:r>
        <w:rPr>
          <w:rFonts w:hint="eastAsia" w:ascii="宋体" w:hAnsi="宋体" w:eastAsia="宋体" w:cs="宋体"/>
          <w:b/>
          <w:bCs/>
          <w:color w:val="auto"/>
          <w:kern w:val="0"/>
          <w:sz w:val="28"/>
          <w:szCs w:val="28"/>
          <w:highlight w:val="none"/>
          <w:u w:val="single"/>
          <w:lang w:val="en-US" w:eastAsia="zh-CN"/>
        </w:rPr>
        <w:t xml:space="preserve">       （公章）       </w:t>
      </w:r>
    </w:p>
    <w:p w14:paraId="6BE47C7D">
      <w:pPr>
        <w:widowControl/>
        <w:ind w:firstLine="2530" w:firstLineChars="900"/>
        <w:rPr>
          <w:rFonts w:hint="eastAsia" w:ascii="宋体" w:hAnsi="宋体" w:eastAsia="宋体" w:cs="宋体"/>
          <w:b/>
          <w:bCs/>
          <w:color w:val="auto"/>
          <w:kern w:val="0"/>
          <w:sz w:val="28"/>
          <w:szCs w:val="28"/>
          <w:highlight w:val="none"/>
          <w:lang w:val="zh-CN"/>
        </w:rPr>
      </w:pPr>
      <w:bookmarkStart w:id="90" w:name="_Toc1030_WPSOffice_Level1"/>
      <w:bookmarkStart w:id="91" w:name="_Toc11689_WPSOffice_Level1"/>
      <w:bookmarkStart w:id="92" w:name="_Toc5864_WPSOffice_Level1"/>
    </w:p>
    <w:p w14:paraId="0915B466">
      <w:pPr>
        <w:widowControl/>
        <w:ind w:firstLine="2530" w:firstLineChars="900"/>
        <w:outlineLvl w:val="0"/>
        <w:rPr>
          <w:rFonts w:hint="eastAsia" w:ascii="宋体" w:hAnsi="宋体" w:eastAsia="宋体" w:cs="宋体"/>
          <w:b/>
          <w:color w:val="auto"/>
          <w:sz w:val="52"/>
          <w:szCs w:val="52"/>
          <w:highlight w:val="none"/>
          <w:lang w:val="en-US" w:eastAsia="zh-CN"/>
        </w:rPr>
      </w:pPr>
      <w:bookmarkStart w:id="93" w:name="_Toc8749"/>
      <w:bookmarkStart w:id="94" w:name="_Toc19130_WPSOffice_Level1"/>
      <w:bookmarkStart w:id="95" w:name="_Toc23123_WPSOffice_Level1"/>
      <w:bookmarkStart w:id="96" w:name="_Toc23670"/>
      <w:bookmarkStart w:id="97" w:name="_Toc28776_WPSOffice_Level1"/>
      <w:r>
        <w:rPr>
          <w:rFonts w:hint="eastAsia" w:ascii="宋体" w:hAnsi="宋体" w:eastAsia="宋体" w:cs="宋体"/>
          <w:b/>
          <w:bCs/>
          <w:color w:val="auto"/>
          <w:kern w:val="0"/>
          <w:sz w:val="28"/>
          <w:szCs w:val="28"/>
          <w:highlight w:val="none"/>
          <w:lang w:val="zh-CN"/>
        </w:rPr>
        <w:t>日</w:t>
      </w:r>
      <w:r>
        <w:rPr>
          <w:rFonts w:hint="eastAsia" w:ascii="宋体" w:hAnsi="宋体" w:eastAsia="宋体" w:cs="宋体"/>
          <w:b/>
          <w:bCs/>
          <w:color w:val="auto"/>
          <w:kern w:val="0"/>
          <w:sz w:val="28"/>
          <w:szCs w:val="28"/>
          <w:highlight w:val="none"/>
          <w:lang w:val="en-US" w:eastAsia="zh-CN"/>
        </w:rPr>
        <w:t xml:space="preserve">    </w:t>
      </w:r>
      <w:r>
        <w:rPr>
          <w:rFonts w:hint="eastAsia" w:ascii="宋体" w:hAnsi="宋体" w:eastAsia="宋体" w:cs="宋体"/>
          <w:b/>
          <w:bCs/>
          <w:color w:val="auto"/>
          <w:kern w:val="0"/>
          <w:sz w:val="28"/>
          <w:szCs w:val="28"/>
          <w:highlight w:val="none"/>
          <w:lang w:val="zh-CN"/>
        </w:rPr>
        <w:t>期：</w:t>
      </w:r>
      <w:bookmarkEnd w:id="90"/>
      <w:bookmarkEnd w:id="91"/>
      <w:bookmarkEnd w:id="92"/>
      <w:bookmarkEnd w:id="93"/>
      <w:bookmarkEnd w:id="94"/>
      <w:bookmarkEnd w:id="95"/>
      <w:bookmarkEnd w:id="96"/>
      <w:bookmarkEnd w:id="97"/>
      <w:bookmarkStart w:id="98" w:name="_Toc21178_WPSOffice_Level1"/>
      <w:bookmarkStart w:id="99" w:name="_Toc4724_WPSOffice_Level1"/>
      <w:bookmarkStart w:id="100" w:name="_Toc26798"/>
      <w:bookmarkStart w:id="101" w:name="_Toc3007_WPSOffice_Level1"/>
      <w:bookmarkStart w:id="102" w:name="_Toc15010_WPSOffice_Level1"/>
      <w:bookmarkStart w:id="103" w:name="_Toc16275_WPSOffice_Level1"/>
      <w:bookmarkStart w:id="104" w:name="_Toc2998_WPSOffice_Level1"/>
      <w:bookmarkStart w:id="105" w:name="_Toc533610812"/>
      <w:r>
        <w:rPr>
          <w:rFonts w:hint="eastAsia" w:ascii="宋体" w:hAnsi="宋体" w:eastAsia="宋体" w:cs="宋体"/>
          <w:b/>
          <w:bCs/>
          <w:color w:val="auto"/>
          <w:kern w:val="0"/>
          <w:sz w:val="28"/>
          <w:szCs w:val="28"/>
          <w:highlight w:val="none"/>
          <w:lang w:val="en-US" w:eastAsia="zh-CN"/>
        </w:rPr>
        <w:t xml:space="preserve"> </w:t>
      </w:r>
      <w:r>
        <w:rPr>
          <w:rFonts w:hint="eastAsia" w:ascii="宋体" w:hAnsi="宋体" w:eastAsia="宋体" w:cs="宋体"/>
          <w:b/>
          <w:bCs/>
          <w:color w:val="auto"/>
          <w:kern w:val="0"/>
          <w:sz w:val="28"/>
          <w:szCs w:val="28"/>
          <w:highlight w:val="none"/>
          <w:u w:val="single"/>
          <w:lang w:val="en-US" w:eastAsia="zh-CN"/>
        </w:rPr>
        <w:t xml:space="preserve">                      </w:t>
      </w:r>
    </w:p>
    <w:p w14:paraId="798C4AE0">
      <w:pPr>
        <w:widowControl/>
        <w:spacing w:line="240" w:lineRule="auto"/>
        <w:ind w:firstLine="0" w:firstLineChars="0"/>
        <w:jc w:val="center"/>
        <w:rPr>
          <w:rFonts w:hint="eastAsia" w:ascii="宋体" w:hAnsi="宋体" w:eastAsia="宋体" w:cs="宋体"/>
          <w:b/>
          <w:color w:val="auto"/>
          <w:sz w:val="52"/>
          <w:szCs w:val="52"/>
          <w:highlight w:val="none"/>
          <w:lang w:val="zh-CN"/>
        </w:rPr>
      </w:pPr>
    </w:p>
    <w:bookmarkEnd w:id="59"/>
    <w:bookmarkEnd w:id="60"/>
    <w:bookmarkEnd w:id="61"/>
    <w:bookmarkEnd w:id="62"/>
    <w:bookmarkEnd w:id="63"/>
    <w:bookmarkEnd w:id="64"/>
    <w:bookmarkEnd w:id="65"/>
    <w:bookmarkEnd w:id="98"/>
    <w:bookmarkEnd w:id="99"/>
    <w:bookmarkEnd w:id="100"/>
    <w:bookmarkEnd w:id="101"/>
    <w:bookmarkEnd w:id="102"/>
    <w:bookmarkEnd w:id="103"/>
    <w:bookmarkEnd w:id="104"/>
    <w:bookmarkEnd w:id="105"/>
    <w:p w14:paraId="2DA48DEF">
      <w:pPr>
        <w:rPr>
          <w:rFonts w:hint="eastAsia" w:ascii="宋体" w:hAnsi="宋体" w:eastAsia="宋体" w:cs="宋体"/>
          <w:color w:val="auto"/>
          <w:highlight w:val="none"/>
          <w:lang w:val="zh-CN"/>
        </w:rPr>
      </w:pPr>
      <w:bookmarkStart w:id="106" w:name="_Toc32343"/>
      <w:bookmarkStart w:id="107" w:name="_Toc23018_WPSOffice_Level1"/>
      <w:bookmarkStart w:id="108" w:name="_Toc24887_WPSOffice_Level1"/>
      <w:bookmarkStart w:id="109" w:name="_Toc4386_WPSOffice_Level1"/>
      <w:r>
        <w:rPr>
          <w:rFonts w:hint="eastAsia" w:ascii="宋体" w:hAnsi="宋体" w:eastAsia="宋体" w:cs="宋体"/>
          <w:color w:val="auto"/>
          <w:highlight w:val="none"/>
          <w:lang w:val="zh-CN"/>
        </w:rPr>
        <w:br w:type="page"/>
      </w:r>
    </w:p>
    <w:p w14:paraId="0327D1F7">
      <w:pPr>
        <w:pStyle w:val="4"/>
        <w:numPr>
          <w:ilvl w:val="0"/>
          <w:numId w:val="0"/>
        </w:numPr>
        <w:ind w:left="480" w:leftChars="200"/>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第一部分  </w:t>
      </w:r>
      <w:r>
        <w:rPr>
          <w:rFonts w:hint="eastAsia" w:ascii="宋体" w:hAnsi="宋体" w:eastAsia="宋体" w:cs="宋体"/>
          <w:color w:val="auto"/>
          <w:highlight w:val="none"/>
        </w:rPr>
        <w:t>响应</w:t>
      </w:r>
      <w:r>
        <w:rPr>
          <w:rFonts w:hint="eastAsia" w:ascii="宋体" w:hAnsi="宋体" w:eastAsia="宋体" w:cs="宋体"/>
          <w:color w:val="auto"/>
          <w:highlight w:val="none"/>
          <w:lang w:val="zh-CN"/>
        </w:rPr>
        <w:t>函</w:t>
      </w:r>
      <w:bookmarkEnd w:id="106"/>
      <w:bookmarkEnd w:id="107"/>
      <w:bookmarkEnd w:id="108"/>
      <w:bookmarkEnd w:id="109"/>
    </w:p>
    <w:p w14:paraId="23862370">
      <w:pPr>
        <w:widowControl/>
        <w:ind w:firstLine="0" w:firstLineChars="0"/>
        <w:rPr>
          <w:rFonts w:hint="eastAsia" w:ascii="宋体" w:hAnsi="宋体" w:eastAsia="宋体" w:cs="宋体"/>
          <w:b/>
          <w:bCs/>
          <w:color w:val="auto"/>
          <w:kern w:val="0"/>
          <w:highlight w:val="none"/>
        </w:rPr>
      </w:pPr>
      <w:bookmarkStart w:id="110" w:name="_Toc24126_WPSOffice_Level1"/>
      <w:bookmarkStart w:id="111" w:name="_Toc28497_WPSOffice_Level1"/>
      <w:bookmarkStart w:id="112" w:name="_Toc15463_WPSOffice_Level1"/>
      <w:bookmarkStart w:id="113" w:name="_Toc533610813"/>
      <w:bookmarkStart w:id="114" w:name="_Toc698"/>
      <w:bookmarkStart w:id="115" w:name="_Toc30984_WPSOffice_Level1"/>
      <w:bookmarkStart w:id="116" w:name="_Toc14839_WPSOffice_Level1"/>
      <w:r>
        <w:rPr>
          <w:rFonts w:hint="eastAsia" w:ascii="宋体" w:hAnsi="宋体" w:eastAsia="宋体" w:cs="宋体"/>
          <w:b/>
          <w:bCs/>
          <w:color w:val="auto"/>
          <w:kern w:val="0"/>
        </w:rPr>
        <w:t>陕西四方衡裕项目管理有限公司</w:t>
      </w:r>
      <w:r>
        <w:rPr>
          <w:rFonts w:hint="eastAsia" w:ascii="宋体" w:hAnsi="宋体" w:eastAsia="宋体" w:cs="宋体"/>
          <w:b/>
          <w:bCs/>
          <w:color w:val="auto"/>
          <w:kern w:val="0"/>
          <w:highlight w:val="none"/>
          <w:lang w:val="zh-CN"/>
        </w:rPr>
        <w:t>：</w:t>
      </w:r>
    </w:p>
    <w:p w14:paraId="59DBD95E">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我单位收到贵公司</w:t>
      </w:r>
      <w:r>
        <w:rPr>
          <w:rFonts w:hint="eastAsia" w:ascii="宋体" w:hAnsi="宋体" w:eastAsia="宋体" w:cs="宋体"/>
          <w:color w:val="auto"/>
          <w:kern w:val="0"/>
          <w:highlight w:val="none"/>
          <w:u w:val="single"/>
          <w:lang w:val="zh-CN"/>
        </w:rPr>
        <w:t>（采购项目名称）（</w:t>
      </w:r>
      <w:r>
        <w:rPr>
          <w:rFonts w:hint="eastAsia" w:ascii="宋体" w:hAnsi="宋体" w:eastAsia="宋体" w:cs="宋体"/>
          <w:color w:val="auto"/>
          <w:kern w:val="0"/>
          <w:highlight w:val="none"/>
          <w:u w:val="single"/>
          <w:lang w:val="en-US" w:eastAsia="zh-CN"/>
        </w:rPr>
        <w:t>项目</w:t>
      </w:r>
      <w:r>
        <w:rPr>
          <w:rFonts w:hint="eastAsia" w:ascii="宋体" w:hAnsi="宋体" w:eastAsia="宋体" w:cs="宋体"/>
          <w:color w:val="auto"/>
          <w:kern w:val="0"/>
          <w:highlight w:val="none"/>
          <w:u w:val="single"/>
        </w:rPr>
        <w:t>编号</w:t>
      </w:r>
      <w:r>
        <w:rPr>
          <w:rFonts w:hint="eastAsia" w:ascii="宋体" w:hAnsi="宋体" w:eastAsia="宋体" w:cs="宋体"/>
          <w:color w:val="auto"/>
          <w:kern w:val="0"/>
          <w:highlight w:val="none"/>
          <w:u w:val="single"/>
          <w:lang w:val="zh-CN"/>
        </w:rPr>
        <w:t>）</w:t>
      </w:r>
      <w:r>
        <w:rPr>
          <w:rFonts w:hint="eastAsia" w:ascii="宋体" w:hAnsi="宋体" w:eastAsia="宋体" w:cs="宋体"/>
          <w:color w:val="auto"/>
          <w:kern w:val="0"/>
          <w:highlight w:val="none"/>
          <w:lang w:val="zh-CN"/>
        </w:rPr>
        <w:t>磋商文件，经详细研究，我们决定参加本次磋商活动。为此，我方郑重声明以下诸点，并负法律责任。</w:t>
      </w:r>
    </w:p>
    <w:p w14:paraId="01DD537E">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、愿意按照磋商文件中的一切要求，提供本项目服务，完成合同的责任和义务。</w:t>
      </w:r>
    </w:p>
    <w:p w14:paraId="399E0E90">
      <w:pPr>
        <w:widowControl/>
        <w:rPr>
          <w:rFonts w:hint="eastAsia" w:ascii="宋体" w:hAnsi="宋体" w:eastAsia="宋体" w:cs="宋体"/>
          <w:color w:val="auto"/>
          <w:kern w:val="0"/>
          <w:highlight w:val="yellow"/>
        </w:rPr>
      </w:pP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zh-CN"/>
        </w:rPr>
        <w:t>、按磋商文件的规定，我公司的</w:t>
      </w:r>
      <w:r>
        <w:rPr>
          <w:rFonts w:hint="eastAsia" w:ascii="宋体" w:hAnsi="宋体" w:eastAsia="宋体" w:cs="宋体"/>
          <w:color w:val="auto"/>
          <w:kern w:val="0"/>
          <w:highlight w:val="none"/>
        </w:rPr>
        <w:t>磋商</w:t>
      </w:r>
      <w:r>
        <w:rPr>
          <w:rFonts w:hint="eastAsia" w:ascii="宋体" w:hAnsi="宋体" w:eastAsia="宋体" w:cs="宋体"/>
          <w:color w:val="auto"/>
          <w:kern w:val="0"/>
          <w:highlight w:val="none"/>
          <w:lang w:val="zh-CN"/>
        </w:rPr>
        <w:t>报价为：人民币（大写）：</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小写</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none"/>
        </w:rPr>
        <w:t>元</w:t>
      </w:r>
      <w:r>
        <w:rPr>
          <w:rFonts w:hint="eastAsia" w:ascii="宋体" w:hAnsi="宋体" w:eastAsia="宋体" w:cs="宋体"/>
          <w:color w:val="auto"/>
          <w:kern w:val="0"/>
          <w:highlight w:val="none"/>
          <w:lang w:val="zh-CN"/>
        </w:rPr>
        <w:t>）。</w:t>
      </w:r>
    </w:p>
    <w:p w14:paraId="4F769070">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zh-CN"/>
        </w:rPr>
        <w:t>、我方提交的响应文件正本</w:t>
      </w:r>
      <w:r>
        <w:rPr>
          <w:rFonts w:hint="eastAsia" w:ascii="宋体" w:hAnsi="宋体" w:eastAsia="宋体" w:cs="宋体"/>
          <w:color w:val="auto"/>
          <w:kern w:val="0"/>
          <w:highlight w:val="none"/>
        </w:rPr>
        <w:t>壹</w:t>
      </w:r>
      <w:r>
        <w:rPr>
          <w:rFonts w:hint="eastAsia" w:ascii="宋体" w:hAnsi="宋体" w:eastAsia="宋体" w:cs="宋体"/>
          <w:color w:val="auto"/>
          <w:kern w:val="0"/>
          <w:highlight w:val="none"/>
          <w:lang w:val="zh-CN"/>
        </w:rPr>
        <w:t>份、副本</w:t>
      </w:r>
      <w:r>
        <w:rPr>
          <w:rFonts w:hint="eastAsia" w:ascii="宋体" w:hAnsi="宋体" w:eastAsia="宋体" w:cs="宋体"/>
          <w:color w:val="auto"/>
          <w:kern w:val="0"/>
          <w:highlight w:val="none"/>
          <w:lang w:val="en-US" w:eastAsia="zh-CN"/>
        </w:rPr>
        <w:t>壹</w:t>
      </w:r>
      <w:r>
        <w:rPr>
          <w:rFonts w:hint="eastAsia" w:ascii="宋体" w:hAnsi="宋体" w:eastAsia="宋体" w:cs="宋体"/>
          <w:color w:val="auto"/>
          <w:kern w:val="0"/>
          <w:highlight w:val="none"/>
          <w:lang w:val="zh-CN"/>
        </w:rPr>
        <w:t>份、</w:t>
      </w:r>
      <w:r>
        <w:rPr>
          <w:rFonts w:hint="eastAsia" w:ascii="宋体" w:hAnsi="宋体" w:eastAsia="宋体" w:cs="宋体"/>
          <w:color w:val="auto"/>
          <w:kern w:val="0"/>
          <w:highlight w:val="none"/>
          <w:lang w:val="en-US" w:eastAsia="zh-CN"/>
        </w:rPr>
        <w:t>电子版壹份</w:t>
      </w:r>
      <w:r>
        <w:rPr>
          <w:rFonts w:hint="eastAsia" w:ascii="宋体" w:hAnsi="宋体" w:eastAsia="宋体" w:cs="宋体"/>
          <w:color w:val="auto"/>
          <w:kern w:val="0"/>
          <w:highlight w:val="none"/>
          <w:lang w:val="zh-CN"/>
        </w:rPr>
        <w:t>。</w:t>
      </w:r>
    </w:p>
    <w:p w14:paraId="41CC377B">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4</w:t>
      </w:r>
      <w:r>
        <w:rPr>
          <w:rFonts w:hint="eastAsia" w:ascii="宋体" w:hAnsi="宋体" w:eastAsia="宋体" w:cs="宋体"/>
          <w:color w:val="auto"/>
          <w:kern w:val="0"/>
          <w:highlight w:val="none"/>
          <w:lang w:val="zh-CN"/>
        </w:rPr>
        <w:t>、已详细阅读了磋商文件，完全理解并放弃提出含糊不清或易形成歧义的表述和资料。</w:t>
      </w:r>
    </w:p>
    <w:p w14:paraId="0776CAEE">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5</w:t>
      </w:r>
      <w:r>
        <w:rPr>
          <w:rFonts w:hint="eastAsia" w:ascii="宋体" w:hAnsi="宋体" w:eastAsia="宋体" w:cs="宋体"/>
          <w:color w:val="auto"/>
          <w:kern w:val="0"/>
          <w:highlight w:val="none"/>
          <w:lang w:val="zh-CN"/>
        </w:rPr>
        <w:t>、磋商后在规定的有效期内撤</w:t>
      </w:r>
      <w:r>
        <w:rPr>
          <w:rFonts w:hint="eastAsia" w:ascii="宋体" w:hAnsi="宋体" w:eastAsia="宋体" w:cs="宋体"/>
          <w:color w:val="auto"/>
          <w:kern w:val="0"/>
          <w:highlight w:val="none"/>
        </w:rPr>
        <w:t>销</w:t>
      </w:r>
      <w:r>
        <w:rPr>
          <w:rFonts w:hint="eastAsia" w:ascii="宋体" w:hAnsi="宋体" w:eastAsia="宋体" w:cs="宋体"/>
          <w:color w:val="auto"/>
          <w:kern w:val="0"/>
          <w:highlight w:val="none"/>
          <w:lang w:val="zh-CN"/>
        </w:rPr>
        <w:t>响应</w:t>
      </w:r>
      <w:r>
        <w:rPr>
          <w:rFonts w:hint="eastAsia" w:ascii="宋体" w:hAnsi="宋体" w:eastAsia="宋体" w:cs="宋体"/>
          <w:color w:val="auto"/>
          <w:kern w:val="0"/>
          <w:highlight w:val="none"/>
        </w:rPr>
        <w:t>文件</w:t>
      </w:r>
      <w:r>
        <w:rPr>
          <w:rFonts w:hint="eastAsia" w:ascii="宋体" w:hAnsi="宋体" w:eastAsia="宋体" w:cs="宋体"/>
          <w:color w:val="auto"/>
          <w:kern w:val="0"/>
          <w:highlight w:val="none"/>
          <w:lang w:val="zh-CN"/>
        </w:rPr>
        <w:t>，我们愿接受政府采购的有关处罚决定。</w:t>
      </w:r>
    </w:p>
    <w:p w14:paraId="5B6B2463">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6</w:t>
      </w:r>
      <w:r>
        <w:rPr>
          <w:rFonts w:hint="eastAsia" w:ascii="宋体" w:hAnsi="宋体" w:eastAsia="宋体" w:cs="宋体"/>
          <w:color w:val="auto"/>
          <w:kern w:val="0"/>
          <w:highlight w:val="none"/>
          <w:lang w:val="zh-CN"/>
        </w:rPr>
        <w:t>、同意向贵方提供可能要求的，与本次响应有关的任何证据或资料。我们完全理解最低磋商报价不作为成交的唯一条件，且尊重磋商小组的评审结论和</w:t>
      </w:r>
      <w:r>
        <w:rPr>
          <w:rFonts w:hint="eastAsia" w:ascii="宋体" w:hAnsi="宋体" w:eastAsia="宋体" w:cs="宋体"/>
          <w:color w:val="auto"/>
          <w:kern w:val="0"/>
          <w:highlight w:val="none"/>
        </w:rPr>
        <w:t>成交</w:t>
      </w:r>
      <w:r>
        <w:rPr>
          <w:rFonts w:hint="eastAsia" w:ascii="宋体" w:hAnsi="宋体" w:eastAsia="宋体" w:cs="宋体"/>
          <w:color w:val="auto"/>
          <w:kern w:val="0"/>
          <w:highlight w:val="none"/>
          <w:lang w:val="zh-CN"/>
        </w:rPr>
        <w:t>结果。</w:t>
      </w:r>
    </w:p>
    <w:p w14:paraId="42AE4CF6">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7</w:t>
      </w:r>
      <w:r>
        <w:rPr>
          <w:rFonts w:hint="eastAsia" w:ascii="宋体" w:hAnsi="宋体" w:eastAsia="宋体" w:cs="宋体"/>
          <w:color w:val="auto"/>
          <w:kern w:val="0"/>
          <w:highlight w:val="none"/>
          <w:lang w:val="zh-CN"/>
        </w:rPr>
        <w:t>、我方的响应文件</w:t>
      </w:r>
      <w:r>
        <w:rPr>
          <w:rFonts w:hint="eastAsia" w:ascii="宋体" w:hAnsi="宋体" w:eastAsia="宋体" w:cs="宋体"/>
          <w:color w:val="auto"/>
          <w:kern w:val="0"/>
          <w:highlight w:val="none"/>
        </w:rPr>
        <w:t>有效期自磋商之日起</w:t>
      </w:r>
      <w:r>
        <w:rPr>
          <w:rFonts w:hint="eastAsia" w:ascii="宋体" w:hAnsi="宋体" w:eastAsia="宋体" w:cs="宋体"/>
          <w:color w:val="auto"/>
          <w:kern w:val="0"/>
          <w:highlight w:val="none"/>
          <w:lang w:val="en-US" w:eastAsia="zh-CN"/>
        </w:rPr>
        <w:t>九十</w:t>
      </w:r>
      <w:r>
        <w:rPr>
          <w:rFonts w:hint="eastAsia" w:ascii="宋体" w:hAnsi="宋体" w:eastAsia="宋体" w:cs="宋体"/>
          <w:color w:val="auto"/>
          <w:kern w:val="0"/>
          <w:highlight w:val="none"/>
          <w:lang w:val="zh-CN"/>
        </w:rPr>
        <w:t>个日历天，若我方成交，响应文件有效期延长至合同执行完毕。</w:t>
      </w:r>
    </w:p>
    <w:p w14:paraId="0B63C926">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8</w:t>
      </w:r>
      <w:r>
        <w:rPr>
          <w:rFonts w:hint="eastAsia" w:ascii="宋体" w:hAnsi="宋体" w:eastAsia="宋体" w:cs="宋体"/>
          <w:color w:val="auto"/>
          <w:kern w:val="0"/>
          <w:highlight w:val="none"/>
          <w:lang w:val="zh-CN"/>
        </w:rPr>
        <w:t>、有关于本项目的函电，请按下列地址联系。</w:t>
      </w:r>
    </w:p>
    <w:p w14:paraId="1CA11FB4">
      <w:pPr>
        <w:widowControl/>
        <w:rPr>
          <w:rFonts w:hint="eastAsia" w:ascii="宋体" w:hAnsi="宋体" w:eastAsia="宋体" w:cs="宋体"/>
          <w:color w:val="auto"/>
          <w:kern w:val="0"/>
          <w:highlight w:val="none"/>
        </w:rPr>
      </w:pPr>
    </w:p>
    <w:p w14:paraId="5B5F67F6">
      <w:pPr>
        <w:widowControl/>
        <w:rPr>
          <w:rFonts w:hint="eastAsia" w:ascii="宋体" w:hAnsi="宋体" w:eastAsia="宋体" w:cs="宋体"/>
          <w:color w:val="auto"/>
          <w:kern w:val="0"/>
          <w:highlight w:val="none"/>
          <w:lang w:val="zh-CN"/>
        </w:rPr>
      </w:pPr>
    </w:p>
    <w:p w14:paraId="13695CD2">
      <w:pPr>
        <w:widowControl/>
        <w:rPr>
          <w:rFonts w:hint="eastAsia" w:ascii="宋体" w:hAnsi="宋体" w:eastAsia="宋体" w:cs="宋体"/>
          <w:color w:val="auto"/>
          <w:kern w:val="0"/>
          <w:highlight w:val="none"/>
          <w:u w:val="single"/>
          <w:lang w:val="en-US" w:eastAsia="zh-CN"/>
        </w:rPr>
      </w:pPr>
      <w:r>
        <w:rPr>
          <w:rFonts w:hint="eastAsia" w:ascii="宋体" w:hAnsi="宋体" w:eastAsia="宋体" w:cs="宋体"/>
          <w:color w:val="auto"/>
          <w:kern w:val="0"/>
          <w:highlight w:val="none"/>
          <w:lang w:val="zh-CN"/>
        </w:rPr>
        <w:t>供应商全称（</w:t>
      </w:r>
      <w:r>
        <w:rPr>
          <w:rFonts w:hint="eastAsia" w:ascii="宋体" w:hAnsi="宋体" w:eastAsia="宋体" w:cs="宋体"/>
          <w:color w:val="auto"/>
          <w:kern w:val="0"/>
          <w:highlight w:val="none"/>
        </w:rPr>
        <w:t>印</w:t>
      </w:r>
      <w:r>
        <w:rPr>
          <w:rFonts w:hint="eastAsia" w:ascii="宋体" w:hAnsi="宋体" w:eastAsia="宋体" w:cs="宋体"/>
          <w:color w:val="auto"/>
          <w:kern w:val="0"/>
          <w:highlight w:val="none"/>
          <w:lang w:val="zh-CN"/>
        </w:rPr>
        <w:t>章）：</w:t>
      </w:r>
      <w:r>
        <w:rPr>
          <w:rFonts w:hint="eastAsia" w:ascii="宋体" w:hAnsi="宋体" w:eastAsia="宋体" w:cs="宋体"/>
          <w:color w:val="auto"/>
          <w:kern w:val="0"/>
          <w:highlight w:val="none"/>
          <w:lang w:val="en-US" w:eastAsia="zh-CN"/>
        </w:rPr>
        <w:t xml:space="preserve"> </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en-US" w:eastAsia="zh-CN"/>
        </w:rPr>
        <w:t xml:space="preserve">                       </w:t>
      </w:r>
    </w:p>
    <w:p w14:paraId="63CF5222">
      <w:pPr>
        <w:widowControl/>
        <w:rPr>
          <w:rFonts w:hint="eastAsia" w:ascii="宋体" w:hAnsi="宋体" w:eastAsia="宋体" w:cs="宋体"/>
          <w:color w:val="auto"/>
          <w:kern w:val="0"/>
          <w:highlight w:val="none"/>
          <w:u w:val="single"/>
          <w:lang w:val="en-US" w:eastAsia="zh-CN"/>
        </w:rPr>
      </w:pPr>
      <w:r>
        <w:rPr>
          <w:rFonts w:hint="eastAsia" w:ascii="宋体" w:hAnsi="宋体" w:eastAsia="宋体" w:cs="宋体"/>
          <w:color w:val="auto"/>
          <w:kern w:val="0"/>
          <w:highlight w:val="none"/>
          <w:lang w:val="zh-CN"/>
        </w:rPr>
        <w:t>地址</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en-US" w:eastAsia="zh-CN"/>
        </w:rPr>
        <w:t xml:space="preserve">                   </w:t>
      </w:r>
    </w:p>
    <w:p w14:paraId="2031D744">
      <w:pPr>
        <w:widowControl/>
        <w:rPr>
          <w:rFonts w:hint="eastAsia" w:ascii="宋体" w:hAnsi="宋体" w:eastAsia="宋体" w:cs="宋体"/>
          <w:color w:val="auto"/>
          <w:kern w:val="0"/>
          <w:highlight w:val="none"/>
          <w:u w:val="single"/>
          <w:lang w:val="en-US" w:eastAsia="zh-CN"/>
        </w:rPr>
      </w:pPr>
      <w:r>
        <w:rPr>
          <w:rFonts w:hint="eastAsia" w:ascii="宋体" w:hAnsi="宋体" w:eastAsia="宋体" w:cs="宋体"/>
          <w:color w:val="auto"/>
          <w:kern w:val="0"/>
          <w:highlight w:val="none"/>
          <w:lang w:val="zh-CN"/>
        </w:rPr>
        <w:t>开户银行：</w:t>
      </w:r>
      <w:r>
        <w:rPr>
          <w:rFonts w:hint="eastAsia" w:ascii="宋体" w:hAnsi="宋体" w:eastAsia="宋体" w:cs="宋体"/>
          <w:color w:val="auto"/>
          <w:kern w:val="0"/>
          <w:highlight w:val="none"/>
          <w:u w:val="single"/>
          <w:lang w:val="en-US" w:eastAsia="zh-CN"/>
        </w:rPr>
        <w:t xml:space="preserve">                                                             </w:t>
      </w:r>
    </w:p>
    <w:p w14:paraId="539B6D7A">
      <w:pPr>
        <w:widowControl/>
        <w:rPr>
          <w:rFonts w:hint="eastAsia" w:ascii="宋体" w:hAnsi="宋体" w:eastAsia="宋体" w:cs="宋体"/>
          <w:color w:val="auto"/>
          <w:kern w:val="0"/>
          <w:highlight w:val="none"/>
          <w:u w:val="single"/>
          <w:lang w:val="en-US" w:eastAsia="zh-CN"/>
        </w:rPr>
      </w:pPr>
      <w:r>
        <w:rPr>
          <w:rFonts w:hint="eastAsia" w:ascii="宋体" w:hAnsi="宋体" w:eastAsia="宋体" w:cs="宋体"/>
          <w:color w:val="auto"/>
          <w:kern w:val="0"/>
          <w:highlight w:val="none"/>
          <w:lang w:val="zh-CN"/>
        </w:rPr>
        <w:t>帐号：</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en-US" w:eastAsia="zh-CN"/>
        </w:rPr>
        <w:t xml:space="preserve"> </w:t>
      </w:r>
    </w:p>
    <w:p w14:paraId="2C571401">
      <w:pPr>
        <w:widowControl/>
        <w:rPr>
          <w:rFonts w:hint="eastAsia" w:ascii="宋体" w:hAnsi="宋体" w:eastAsia="宋体" w:cs="宋体"/>
          <w:color w:val="auto"/>
          <w:kern w:val="0"/>
          <w:highlight w:val="none"/>
          <w:u w:val="single"/>
          <w:lang w:val="en-US" w:eastAsia="zh-CN"/>
        </w:rPr>
      </w:pPr>
      <w:r>
        <w:rPr>
          <w:rFonts w:hint="eastAsia" w:ascii="宋体" w:hAnsi="宋体" w:eastAsia="宋体" w:cs="宋体"/>
          <w:color w:val="auto"/>
          <w:kern w:val="0"/>
          <w:highlight w:val="none"/>
          <w:lang w:val="zh-CN"/>
        </w:rPr>
        <w:t>电话：</w:t>
      </w:r>
      <w:r>
        <w:rPr>
          <w:rFonts w:hint="eastAsia" w:ascii="宋体" w:hAnsi="宋体" w:eastAsia="宋体" w:cs="宋体"/>
          <w:color w:val="auto"/>
          <w:kern w:val="0"/>
          <w:highlight w:val="none"/>
          <w:u w:val="single"/>
          <w:lang w:val="en-US" w:eastAsia="zh-CN"/>
        </w:rPr>
        <w:t xml:space="preserve">                                       </w:t>
      </w:r>
    </w:p>
    <w:p w14:paraId="659DB760">
      <w:pPr>
        <w:widowControl/>
        <w:rPr>
          <w:rFonts w:hint="eastAsia" w:ascii="宋体" w:hAnsi="宋体" w:eastAsia="宋体" w:cs="宋体"/>
          <w:color w:val="auto"/>
          <w:kern w:val="0"/>
          <w:highlight w:val="none"/>
          <w:u w:val="single"/>
          <w:lang w:val="en-US" w:eastAsia="zh-CN"/>
        </w:rPr>
      </w:pPr>
      <w:r>
        <w:rPr>
          <w:rFonts w:hint="eastAsia" w:ascii="宋体" w:hAnsi="宋体" w:eastAsia="宋体" w:cs="宋体"/>
          <w:color w:val="auto"/>
          <w:kern w:val="0"/>
          <w:highlight w:val="none"/>
          <w:lang w:val="zh-CN"/>
        </w:rPr>
        <w:t>传真：</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en-US" w:eastAsia="zh-CN"/>
        </w:rPr>
        <w:t xml:space="preserve">      </w:t>
      </w:r>
    </w:p>
    <w:p w14:paraId="2D25853E">
      <w:pPr>
        <w:widowControl/>
        <w:rPr>
          <w:rFonts w:hint="eastAsia" w:ascii="宋体" w:hAnsi="宋体" w:eastAsia="宋体" w:cs="宋体"/>
          <w:color w:val="auto"/>
          <w:kern w:val="0"/>
          <w:highlight w:val="none"/>
          <w:u w:val="single"/>
          <w:lang w:val="en-US" w:eastAsia="zh-CN"/>
        </w:rPr>
      </w:pPr>
      <w:r>
        <w:rPr>
          <w:rFonts w:hint="eastAsia" w:ascii="宋体" w:hAnsi="宋体" w:eastAsia="宋体" w:cs="宋体"/>
          <w:color w:val="auto"/>
          <w:kern w:val="0"/>
          <w:highlight w:val="none"/>
          <w:lang w:val="zh-CN"/>
        </w:rPr>
        <w:t>法定代表人</w:t>
      </w:r>
      <w:r>
        <w:rPr>
          <w:rFonts w:hint="eastAsia" w:ascii="宋体" w:hAnsi="宋体" w:eastAsia="宋体" w:cs="宋体"/>
          <w:color w:val="auto"/>
          <w:kern w:val="0"/>
          <w:highlight w:val="none"/>
        </w:rPr>
        <w:t>或</w:t>
      </w:r>
      <w:r>
        <w:rPr>
          <w:rFonts w:hint="eastAsia" w:ascii="宋体" w:hAnsi="宋体" w:eastAsia="宋体" w:cs="宋体"/>
          <w:color w:val="auto"/>
          <w:kern w:val="0"/>
          <w:highlight w:val="none"/>
          <w:lang w:val="zh-CN"/>
        </w:rPr>
        <w:t>授权代表（</w:t>
      </w:r>
      <w:r>
        <w:rPr>
          <w:rFonts w:hint="eastAsia" w:ascii="宋体" w:hAnsi="宋体" w:eastAsia="宋体" w:cs="宋体"/>
          <w:color w:val="auto"/>
          <w:kern w:val="0"/>
          <w:highlight w:val="none"/>
        </w:rPr>
        <w:t>签字</w:t>
      </w:r>
      <w:r>
        <w:rPr>
          <w:rFonts w:hint="eastAsia" w:ascii="宋体" w:hAnsi="宋体" w:eastAsia="宋体" w:cs="宋体"/>
          <w:color w:val="auto"/>
          <w:kern w:val="0"/>
          <w:highlight w:val="none"/>
          <w:lang w:val="en-US" w:eastAsia="zh-CN"/>
        </w:rPr>
        <w:t>或盖章</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u w:val="single"/>
          <w:lang w:val="en-US" w:eastAsia="zh-CN"/>
        </w:rPr>
        <w:t xml:space="preserve">             </w:t>
      </w:r>
    </w:p>
    <w:p w14:paraId="6A0F8C42">
      <w:pPr>
        <w:widowControl/>
        <w:rPr>
          <w:rFonts w:hint="eastAsia" w:ascii="宋体" w:hAnsi="宋体" w:eastAsia="宋体" w:cs="宋体"/>
          <w:color w:val="auto"/>
          <w:kern w:val="0"/>
          <w:highlight w:val="none"/>
        </w:rPr>
      </w:pPr>
    </w:p>
    <w:p w14:paraId="5AFA4C8F">
      <w:pPr>
        <w:widowControl/>
        <w:rPr>
          <w:rFonts w:hint="eastAsia" w:ascii="宋体" w:hAnsi="宋体" w:eastAsia="宋体" w:cs="宋体"/>
          <w:color w:val="auto"/>
          <w:kern w:val="0"/>
          <w:highlight w:val="none"/>
        </w:rPr>
        <w:sectPr>
          <w:pgSz w:w="11906" w:h="16838"/>
          <w:pgMar w:top="1418" w:right="1304" w:bottom="1418" w:left="1247"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eastAsia="宋体" w:cs="宋体"/>
          <w:color w:val="auto"/>
          <w:kern w:val="0"/>
          <w:highlight w:val="none"/>
        </w:rPr>
        <w:t xml:space="preserve"> _____</w:t>
      </w:r>
      <w:r>
        <w:rPr>
          <w:rFonts w:hint="eastAsia" w:ascii="宋体" w:hAnsi="宋体" w:eastAsia="宋体" w:cs="宋体"/>
          <w:color w:val="auto"/>
          <w:kern w:val="0"/>
          <w:highlight w:val="none"/>
          <w:lang w:val="zh-CN"/>
        </w:rPr>
        <w:t>年</w:t>
      </w:r>
      <w:r>
        <w:rPr>
          <w:rFonts w:hint="eastAsia" w:ascii="宋体" w:hAnsi="宋体" w:eastAsia="宋体" w:cs="宋体"/>
          <w:color w:val="auto"/>
          <w:kern w:val="0"/>
          <w:highlight w:val="none"/>
        </w:rPr>
        <w:t>_____</w:t>
      </w:r>
      <w:r>
        <w:rPr>
          <w:rFonts w:hint="eastAsia" w:ascii="宋体" w:hAnsi="宋体" w:eastAsia="宋体" w:cs="宋体"/>
          <w:color w:val="auto"/>
          <w:kern w:val="0"/>
          <w:highlight w:val="none"/>
          <w:lang w:val="zh-CN"/>
        </w:rPr>
        <w:t>月</w:t>
      </w:r>
      <w:r>
        <w:rPr>
          <w:rFonts w:hint="eastAsia" w:ascii="宋体" w:hAnsi="宋体" w:eastAsia="宋体" w:cs="宋体"/>
          <w:color w:val="auto"/>
          <w:kern w:val="0"/>
          <w:highlight w:val="none"/>
        </w:rPr>
        <w:t>_____</w:t>
      </w:r>
      <w:r>
        <w:rPr>
          <w:rFonts w:hint="eastAsia" w:ascii="宋体" w:hAnsi="宋体" w:eastAsia="宋体" w:cs="宋体"/>
          <w:color w:val="auto"/>
          <w:kern w:val="0"/>
          <w:highlight w:val="none"/>
          <w:lang w:val="zh-CN"/>
        </w:rPr>
        <w:t>日</w:t>
      </w:r>
    </w:p>
    <w:bookmarkEnd w:id="110"/>
    <w:bookmarkEnd w:id="111"/>
    <w:bookmarkEnd w:id="112"/>
    <w:bookmarkEnd w:id="113"/>
    <w:bookmarkEnd w:id="114"/>
    <w:bookmarkEnd w:id="115"/>
    <w:bookmarkEnd w:id="116"/>
    <w:p w14:paraId="6AD49875">
      <w:pPr>
        <w:pStyle w:val="4"/>
        <w:numPr>
          <w:ilvl w:val="0"/>
          <w:numId w:val="0"/>
        </w:numPr>
        <w:ind w:left="480" w:leftChars="200"/>
        <w:jc w:val="center"/>
        <w:rPr>
          <w:rFonts w:hint="eastAsia" w:ascii="宋体" w:hAnsi="宋体" w:eastAsia="宋体" w:cs="宋体"/>
          <w:color w:val="auto"/>
          <w:highlight w:val="none"/>
          <w:lang w:val="zh-CN"/>
        </w:rPr>
      </w:pPr>
      <w:bookmarkStart w:id="117" w:name="_Toc13533"/>
      <w:bookmarkStart w:id="118" w:name="_Toc11669_WPSOffice_Level1"/>
      <w:bookmarkStart w:id="119" w:name="_Toc24066_WPSOffice_Level1"/>
      <w:bookmarkStart w:id="120" w:name="_Toc21246_WPSOffice_Level1"/>
      <w:bookmarkStart w:id="121" w:name="_Toc21214_WPSOffice_Level1"/>
      <w:r>
        <w:rPr>
          <w:rFonts w:hint="eastAsia" w:ascii="宋体" w:hAnsi="宋体" w:eastAsia="宋体" w:cs="宋体"/>
          <w:color w:val="auto"/>
          <w:highlight w:val="none"/>
          <w:lang w:val="zh-CN"/>
        </w:rPr>
        <w:t>第二部分   磋商报价一览表</w:t>
      </w:r>
      <w:bookmarkEnd w:id="117"/>
      <w:bookmarkEnd w:id="118"/>
      <w:bookmarkEnd w:id="119"/>
      <w:bookmarkEnd w:id="120"/>
      <w:bookmarkEnd w:id="121"/>
    </w:p>
    <w:p w14:paraId="06F31C4C">
      <w:pPr>
        <w:widowControl/>
        <w:ind w:firstLine="7680" w:firstLineChars="32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单位：元</w:t>
      </w:r>
    </w:p>
    <w:tbl>
      <w:tblPr>
        <w:tblStyle w:val="46"/>
        <w:tblW w:w="82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55"/>
        <w:gridCol w:w="6194"/>
      </w:tblGrid>
      <w:tr w14:paraId="4490D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2055" w:type="dxa"/>
            <w:tcBorders>
              <w:top w:val="single" w:color="auto" w:sz="6" w:space="0"/>
              <w:left w:val="single" w:color="auto" w:sz="6" w:space="0"/>
              <w:bottom w:val="single" w:color="auto" w:sz="6" w:space="0"/>
              <w:right w:val="single" w:color="auto" w:sz="6" w:space="0"/>
            </w:tcBorders>
            <w:noWrap/>
            <w:vAlign w:val="center"/>
          </w:tcPr>
          <w:p w14:paraId="206A3FE8">
            <w:pPr>
              <w:widowControl/>
              <w:ind w:left="0" w:firstLine="0" w:firstLineChars="0"/>
              <w:jc w:val="center"/>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采购项目名称</w:t>
            </w:r>
          </w:p>
        </w:tc>
        <w:tc>
          <w:tcPr>
            <w:tcW w:w="6194" w:type="dxa"/>
            <w:tcBorders>
              <w:top w:val="single" w:color="auto" w:sz="6" w:space="0"/>
              <w:left w:val="single" w:color="auto" w:sz="6" w:space="0"/>
              <w:bottom w:val="single" w:color="auto" w:sz="6" w:space="0"/>
              <w:right w:val="single" w:color="auto" w:sz="4" w:space="0"/>
            </w:tcBorders>
            <w:noWrap/>
            <w:vAlign w:val="center"/>
          </w:tcPr>
          <w:p w14:paraId="4832BC8C">
            <w:pPr>
              <w:widowControl/>
              <w:rPr>
                <w:rFonts w:hint="eastAsia" w:ascii="宋体" w:hAnsi="宋体" w:eastAsia="宋体" w:cs="宋体"/>
                <w:color w:val="auto"/>
                <w:kern w:val="0"/>
                <w:highlight w:val="none"/>
              </w:rPr>
            </w:pPr>
          </w:p>
        </w:tc>
      </w:tr>
      <w:tr w14:paraId="5D943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2055" w:type="dxa"/>
            <w:tcBorders>
              <w:top w:val="single" w:color="auto" w:sz="6" w:space="0"/>
              <w:left w:val="single" w:color="auto" w:sz="6" w:space="0"/>
              <w:bottom w:val="single" w:color="auto" w:sz="6" w:space="0"/>
              <w:right w:val="single" w:color="auto" w:sz="6" w:space="0"/>
            </w:tcBorders>
            <w:noWrap/>
            <w:vAlign w:val="center"/>
          </w:tcPr>
          <w:p w14:paraId="65546333">
            <w:pPr>
              <w:widowControl/>
              <w:ind w:firstLine="0" w:firstLineChars="0"/>
              <w:jc w:val="center"/>
              <w:rPr>
                <w:rFonts w:hint="eastAsia" w:ascii="宋体" w:hAnsi="宋体" w:eastAsia="宋体" w:cs="宋体"/>
                <w:color w:val="auto"/>
                <w:kern w:val="0"/>
                <w:highlight w:val="none"/>
                <w:lang w:val="en-US"/>
              </w:rPr>
            </w:pPr>
            <w:r>
              <w:rPr>
                <w:rFonts w:hint="eastAsia" w:ascii="宋体" w:hAnsi="宋体" w:eastAsia="宋体" w:cs="宋体"/>
                <w:color w:val="auto"/>
                <w:kern w:val="0"/>
                <w:highlight w:val="none"/>
                <w:lang w:val="en-US" w:eastAsia="zh-CN"/>
              </w:rPr>
              <w:t>项目编号</w:t>
            </w:r>
          </w:p>
        </w:tc>
        <w:tc>
          <w:tcPr>
            <w:tcW w:w="6194" w:type="dxa"/>
            <w:tcBorders>
              <w:top w:val="single" w:color="auto" w:sz="6" w:space="0"/>
              <w:left w:val="single" w:color="auto" w:sz="6" w:space="0"/>
              <w:bottom w:val="single" w:color="auto" w:sz="6" w:space="0"/>
              <w:right w:val="single" w:color="auto" w:sz="4" w:space="0"/>
            </w:tcBorders>
            <w:noWrap/>
            <w:vAlign w:val="center"/>
          </w:tcPr>
          <w:p w14:paraId="0B8CC2B5">
            <w:pPr>
              <w:widowControl/>
              <w:rPr>
                <w:rFonts w:hint="eastAsia" w:ascii="宋体" w:hAnsi="宋体" w:eastAsia="宋体" w:cs="宋体"/>
                <w:color w:val="auto"/>
                <w:kern w:val="0"/>
                <w:highlight w:val="none"/>
              </w:rPr>
            </w:pPr>
          </w:p>
        </w:tc>
      </w:tr>
      <w:tr w14:paraId="01E1F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8" w:hRule="atLeast"/>
          <w:jc w:val="center"/>
        </w:trPr>
        <w:tc>
          <w:tcPr>
            <w:tcW w:w="2055" w:type="dxa"/>
            <w:tcBorders>
              <w:top w:val="single" w:color="auto" w:sz="6" w:space="0"/>
              <w:left w:val="single" w:color="auto" w:sz="6" w:space="0"/>
              <w:bottom w:val="single" w:color="auto" w:sz="6" w:space="0"/>
              <w:right w:val="single" w:color="auto" w:sz="6" w:space="0"/>
            </w:tcBorders>
            <w:noWrap/>
            <w:vAlign w:val="center"/>
          </w:tcPr>
          <w:p w14:paraId="616A1A89">
            <w:pPr>
              <w:widowControl/>
              <w:ind w:firstLine="0" w:firstLineChars="0"/>
              <w:jc w:val="center"/>
              <w:rPr>
                <w:rFonts w:hint="eastAsia" w:ascii="宋体" w:hAnsi="宋体" w:eastAsia="宋体" w:cs="宋体"/>
                <w:color w:val="auto"/>
                <w:kern w:val="0"/>
                <w:highlight w:val="none"/>
                <w:lang w:val="zh-CN" w:eastAsia="zh-CN"/>
              </w:rPr>
            </w:pPr>
            <w:r>
              <w:rPr>
                <w:rFonts w:hint="eastAsia" w:ascii="宋体" w:hAnsi="宋体" w:eastAsia="宋体" w:cs="宋体"/>
                <w:color w:val="auto"/>
                <w:kern w:val="0"/>
                <w:highlight w:val="none"/>
              </w:rPr>
              <w:t>磋商报价</w:t>
            </w:r>
          </w:p>
        </w:tc>
        <w:tc>
          <w:tcPr>
            <w:tcW w:w="6194" w:type="dxa"/>
            <w:tcBorders>
              <w:top w:val="single" w:color="auto" w:sz="6" w:space="0"/>
              <w:left w:val="single" w:color="auto" w:sz="6" w:space="0"/>
              <w:bottom w:val="single" w:color="auto" w:sz="6" w:space="0"/>
              <w:right w:val="single" w:color="auto" w:sz="4" w:space="0"/>
            </w:tcBorders>
            <w:noWrap/>
            <w:vAlign w:val="center"/>
          </w:tcPr>
          <w:p w14:paraId="5CA0D5F7">
            <w:pPr>
              <w:widowControl/>
              <w:ind w:firstLine="0" w:firstLineChars="0"/>
              <w:jc w:val="left"/>
              <w:rPr>
                <w:rFonts w:hint="eastAsia" w:ascii="宋体" w:hAnsi="宋体" w:eastAsia="宋体" w:cs="宋体"/>
                <w:color w:val="auto"/>
                <w:highlight w:val="none"/>
              </w:rPr>
            </w:pPr>
          </w:p>
          <w:p w14:paraId="01F29B30">
            <w:pPr>
              <w:widowControl/>
              <w:ind w:firstLine="0" w:firstLineChars="0"/>
              <w:jc w:val="left"/>
              <w:rPr>
                <w:rFonts w:hint="eastAsia" w:ascii="宋体" w:hAnsi="宋体" w:eastAsia="宋体" w:cs="宋体"/>
                <w:color w:val="auto"/>
                <w:highlight w:val="none"/>
                <w:u w:val="single"/>
              </w:rPr>
            </w:pP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p>
          <w:p w14:paraId="35D8FC2C">
            <w:pPr>
              <w:pStyle w:val="40"/>
              <w:ind w:firstLine="0" w:firstLineChars="0"/>
              <w:jc w:val="left"/>
              <w:rPr>
                <w:rFonts w:hint="eastAsia" w:ascii="宋体" w:hAnsi="宋体" w:eastAsia="宋体" w:cs="宋体"/>
                <w:color w:val="auto"/>
                <w:kern w:val="0"/>
                <w:sz w:val="24"/>
                <w:highlight w:val="none"/>
              </w:rPr>
            </w:pPr>
          </w:p>
          <w:p w14:paraId="04C1851C">
            <w:pPr>
              <w:pStyle w:val="40"/>
              <w:ind w:firstLine="0" w:firstLineChars="0"/>
              <w:jc w:val="left"/>
              <w:rPr>
                <w:rFonts w:hint="eastAsia" w:ascii="宋体" w:hAnsi="宋体" w:eastAsia="宋体" w:cs="宋体"/>
                <w:color w:val="auto"/>
                <w:highlight w:val="none"/>
                <w:u w:val="single"/>
              </w:rPr>
            </w:pPr>
            <w:r>
              <w:rPr>
                <w:rFonts w:hint="eastAsia" w:ascii="宋体" w:hAnsi="宋体" w:eastAsia="宋体" w:cs="宋体"/>
                <w:color w:val="auto"/>
                <w:kern w:val="0"/>
                <w:sz w:val="24"/>
                <w:highlight w:val="none"/>
              </w:rPr>
              <w:t>小写：</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none"/>
              </w:rPr>
              <w:t>元</w:t>
            </w:r>
          </w:p>
        </w:tc>
      </w:tr>
      <w:tr w14:paraId="4597F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055" w:type="dxa"/>
            <w:tcBorders>
              <w:top w:val="single" w:color="auto" w:sz="6" w:space="0"/>
              <w:left w:val="single" w:color="auto" w:sz="6" w:space="0"/>
              <w:bottom w:val="single" w:color="auto" w:sz="6" w:space="0"/>
              <w:right w:val="single" w:color="auto" w:sz="6" w:space="0"/>
            </w:tcBorders>
            <w:noWrap/>
            <w:vAlign w:val="center"/>
          </w:tcPr>
          <w:p w14:paraId="2A2A187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0"/>
                <w:highlight w:val="none"/>
              </w:rPr>
            </w:pPr>
            <w:r>
              <w:rPr>
                <w:rFonts w:hint="eastAsia" w:ascii="宋体" w:hAnsi="宋体" w:eastAsia="宋体" w:cs="宋体"/>
                <w:b w:val="0"/>
                <w:bCs/>
                <w:color w:val="auto"/>
                <w:sz w:val="24"/>
                <w:szCs w:val="24"/>
                <w:highlight w:val="none"/>
              </w:rPr>
              <w:t>供应商在技术参数范围内通过CMA/CATL认证的项目总数（项）</w:t>
            </w:r>
          </w:p>
        </w:tc>
        <w:tc>
          <w:tcPr>
            <w:tcW w:w="6194" w:type="dxa"/>
            <w:tcBorders>
              <w:top w:val="single" w:color="auto" w:sz="6" w:space="0"/>
              <w:left w:val="single" w:color="auto" w:sz="6" w:space="0"/>
              <w:bottom w:val="single" w:color="auto" w:sz="6" w:space="0"/>
              <w:right w:val="single" w:color="auto" w:sz="4" w:space="0"/>
            </w:tcBorders>
            <w:noWrap/>
            <w:vAlign w:val="center"/>
          </w:tcPr>
          <w:p w14:paraId="7B719FE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认证的项目总数为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w:t>
            </w:r>
          </w:p>
          <w:p w14:paraId="76B5486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0"/>
                <w:highlight w:val="none"/>
              </w:rPr>
            </w:pPr>
            <w:r>
              <w:rPr>
                <w:rFonts w:hint="eastAsia" w:ascii="宋体" w:hAnsi="宋体" w:eastAsia="宋体" w:cs="宋体"/>
                <w:color w:val="auto"/>
                <w:sz w:val="24"/>
                <w:szCs w:val="24"/>
                <w:highlight w:val="none"/>
              </w:rPr>
              <w:t>本次检测能力覆盖率达到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%（可保留两位小数）</w:t>
            </w:r>
          </w:p>
        </w:tc>
      </w:tr>
      <w:tr w14:paraId="7294B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055" w:type="dxa"/>
            <w:tcBorders>
              <w:top w:val="single" w:color="auto" w:sz="6" w:space="0"/>
              <w:left w:val="single" w:color="auto" w:sz="6" w:space="0"/>
              <w:bottom w:val="single" w:color="auto" w:sz="6" w:space="0"/>
              <w:right w:val="single" w:color="auto" w:sz="6" w:space="0"/>
            </w:tcBorders>
            <w:noWrap/>
            <w:vAlign w:val="center"/>
          </w:tcPr>
          <w:p w14:paraId="7B1DFA1A">
            <w:pPr>
              <w:widowControl/>
              <w:ind w:firstLine="0" w:firstLineChars="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服务期限</w:t>
            </w:r>
          </w:p>
        </w:tc>
        <w:tc>
          <w:tcPr>
            <w:tcW w:w="6194" w:type="dxa"/>
            <w:tcBorders>
              <w:top w:val="single" w:color="auto" w:sz="6" w:space="0"/>
              <w:left w:val="single" w:color="auto" w:sz="6" w:space="0"/>
              <w:bottom w:val="single" w:color="auto" w:sz="6" w:space="0"/>
              <w:right w:val="single" w:color="auto" w:sz="4" w:space="0"/>
            </w:tcBorders>
            <w:noWrap/>
            <w:vAlign w:val="center"/>
          </w:tcPr>
          <w:p w14:paraId="2616AE79">
            <w:pPr>
              <w:widowControl/>
              <w:rPr>
                <w:rFonts w:hint="eastAsia" w:ascii="宋体" w:hAnsi="宋体" w:eastAsia="宋体" w:cs="宋体"/>
                <w:color w:val="auto"/>
                <w:kern w:val="0"/>
                <w:highlight w:val="none"/>
              </w:rPr>
            </w:pPr>
          </w:p>
        </w:tc>
      </w:tr>
      <w:tr w14:paraId="267DC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jc w:val="center"/>
        </w:trPr>
        <w:tc>
          <w:tcPr>
            <w:tcW w:w="2055" w:type="dxa"/>
            <w:tcBorders>
              <w:top w:val="single" w:color="auto" w:sz="6" w:space="0"/>
              <w:left w:val="single" w:color="auto" w:sz="6" w:space="0"/>
              <w:bottom w:val="single" w:color="auto" w:sz="6" w:space="0"/>
              <w:right w:val="single" w:color="auto" w:sz="6" w:space="0"/>
            </w:tcBorders>
            <w:noWrap/>
            <w:vAlign w:val="center"/>
          </w:tcPr>
          <w:p w14:paraId="7BF7FE55">
            <w:pPr>
              <w:widowControl/>
              <w:ind w:firstLine="0" w:firstLineChars="0"/>
              <w:jc w:val="center"/>
              <w:rPr>
                <w:rFonts w:hint="eastAsia" w:ascii="宋体" w:hAnsi="宋体" w:eastAsia="宋体" w:cs="宋体"/>
                <w:color w:val="auto"/>
                <w:kern w:val="0"/>
                <w:highlight w:val="none"/>
              </w:rPr>
            </w:pPr>
            <w:r>
              <w:rPr>
                <w:rFonts w:hint="eastAsia" w:ascii="宋体" w:hAnsi="宋体" w:eastAsia="宋体" w:cs="宋体"/>
                <w:b/>
                <w:bCs/>
                <w:color w:val="auto"/>
                <w:kern w:val="0"/>
                <w:highlight w:val="none"/>
              </w:rPr>
              <w:t>备注</w:t>
            </w:r>
          </w:p>
        </w:tc>
        <w:tc>
          <w:tcPr>
            <w:tcW w:w="6194" w:type="dxa"/>
            <w:tcBorders>
              <w:top w:val="single" w:color="auto" w:sz="6" w:space="0"/>
              <w:left w:val="single" w:color="auto" w:sz="6" w:space="0"/>
              <w:bottom w:val="single" w:color="auto" w:sz="6" w:space="0"/>
              <w:right w:val="single" w:color="auto" w:sz="4" w:space="0"/>
            </w:tcBorders>
            <w:noWrap/>
            <w:vAlign w:val="center"/>
          </w:tcPr>
          <w:p w14:paraId="5E513738">
            <w:pPr>
              <w:pStyle w:val="40"/>
              <w:numPr>
                <w:ilvl w:val="0"/>
                <w:numId w:val="0"/>
              </w:num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表内报价以元为单位，精确到小数点后两位。</w:t>
            </w:r>
          </w:p>
        </w:tc>
      </w:tr>
    </w:tbl>
    <w:p w14:paraId="3A4C3129">
      <w:pPr>
        <w:widowControl/>
        <w:rPr>
          <w:rFonts w:hint="eastAsia" w:ascii="宋体" w:hAnsi="宋体" w:eastAsia="宋体" w:cs="宋体"/>
          <w:color w:val="auto"/>
          <w:kern w:val="0"/>
          <w:highlight w:val="none"/>
        </w:rPr>
      </w:pPr>
    </w:p>
    <w:p w14:paraId="426836C4">
      <w:pPr>
        <w:widowControl/>
        <w:rPr>
          <w:rFonts w:hint="eastAsia" w:ascii="宋体" w:hAnsi="宋体" w:eastAsia="宋体" w:cs="宋体"/>
          <w:color w:val="auto"/>
          <w:kern w:val="0"/>
          <w:highlight w:val="none"/>
          <w:lang w:val="zh-CN"/>
        </w:rPr>
      </w:pPr>
    </w:p>
    <w:p w14:paraId="4AFD5C1A">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供应商</w:t>
      </w:r>
      <w:r>
        <w:rPr>
          <w:rFonts w:hint="eastAsia" w:ascii="宋体" w:hAnsi="宋体" w:eastAsia="宋体" w:cs="宋体"/>
          <w:color w:val="auto"/>
          <w:kern w:val="0"/>
          <w:highlight w:val="none"/>
        </w:rPr>
        <w:t>全称</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zh-CN"/>
        </w:rPr>
        <w:t>（公章）</w:t>
      </w:r>
    </w:p>
    <w:p w14:paraId="68E69F10">
      <w:pPr>
        <w:widowControl/>
        <w:rPr>
          <w:rFonts w:hint="eastAsia" w:ascii="宋体" w:hAnsi="宋体" w:eastAsia="宋体" w:cs="宋体"/>
          <w:color w:val="auto"/>
          <w:kern w:val="0"/>
          <w:highlight w:val="none"/>
        </w:rPr>
      </w:pPr>
    </w:p>
    <w:p w14:paraId="50345E1C">
      <w:pPr>
        <w:widowControl/>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法定代表人</w:t>
      </w:r>
      <w:r>
        <w:rPr>
          <w:rFonts w:hint="eastAsia" w:ascii="宋体" w:hAnsi="宋体" w:eastAsia="宋体" w:cs="宋体"/>
          <w:color w:val="auto"/>
          <w:kern w:val="0"/>
          <w:highlight w:val="none"/>
        </w:rPr>
        <w:t>或</w:t>
      </w:r>
      <w:r>
        <w:rPr>
          <w:rFonts w:hint="eastAsia" w:ascii="宋体" w:hAnsi="宋体" w:eastAsia="宋体" w:cs="宋体"/>
          <w:color w:val="auto"/>
          <w:kern w:val="0"/>
          <w:highlight w:val="none"/>
          <w:lang w:val="zh-CN"/>
        </w:rPr>
        <w:t>授权代表：</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zh-CN"/>
        </w:rPr>
        <w:t>（签字）</w:t>
      </w:r>
    </w:p>
    <w:p w14:paraId="0DD2C3F6">
      <w:pPr>
        <w:widowControl/>
        <w:rPr>
          <w:rFonts w:hint="eastAsia" w:ascii="宋体" w:hAnsi="宋体" w:eastAsia="宋体" w:cs="宋体"/>
          <w:color w:val="auto"/>
          <w:kern w:val="0"/>
          <w:highlight w:val="none"/>
          <w:lang w:val="zh-CN"/>
        </w:rPr>
      </w:pPr>
    </w:p>
    <w:p w14:paraId="3FCA2FE7">
      <w:pPr>
        <w:widowControl/>
        <w:ind w:firstLine="6000" w:firstLineChars="25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年       月      日</w:t>
      </w:r>
    </w:p>
    <w:p w14:paraId="0020C649">
      <w:pPr>
        <w:widowControl/>
        <w:rPr>
          <w:rFonts w:hint="eastAsia" w:ascii="宋体" w:hAnsi="宋体" w:eastAsia="宋体" w:cs="宋体"/>
          <w:b/>
          <w:bCs/>
          <w:color w:val="auto"/>
          <w:kern w:val="0"/>
          <w:highlight w:val="none"/>
        </w:rPr>
        <w:sectPr>
          <w:pgSz w:w="11906" w:h="16838"/>
          <w:pgMar w:top="1418" w:right="1304" w:bottom="1418" w:left="1247" w:header="851" w:footer="992" w:gutter="0"/>
          <w:pgBorders>
            <w:top w:val="none" w:sz="0" w:space="0"/>
            <w:left w:val="none" w:sz="0" w:space="0"/>
            <w:bottom w:val="none" w:sz="0" w:space="0"/>
            <w:right w:val="none" w:sz="0" w:space="0"/>
          </w:pgBorders>
          <w:pgNumType w:fmt="decimal"/>
          <w:cols w:space="720" w:num="1"/>
          <w:docGrid w:linePitch="312" w:charSpace="0"/>
        </w:sectPr>
      </w:pPr>
    </w:p>
    <w:p w14:paraId="47B7F680">
      <w:pPr>
        <w:widowControl/>
        <w:ind w:firstLine="0" w:firstLineChars="0"/>
        <w:jc w:val="center"/>
        <w:rPr>
          <w:rFonts w:hint="eastAsia" w:ascii="宋体" w:hAnsi="宋体" w:eastAsia="宋体" w:cs="宋体"/>
          <w:color w:val="auto"/>
          <w:kern w:val="0"/>
          <w:sz w:val="24"/>
          <w:highlight w:val="none"/>
        </w:rPr>
      </w:pPr>
      <w:r>
        <w:rPr>
          <w:rFonts w:hint="eastAsia" w:ascii="宋体" w:hAnsi="宋体" w:eastAsia="宋体" w:cs="宋体"/>
          <w:b/>
          <w:bCs/>
          <w:color w:val="auto"/>
          <w:kern w:val="0"/>
          <w:sz w:val="28"/>
          <w:szCs w:val="28"/>
          <w:highlight w:val="none"/>
        </w:rPr>
        <w:t>报价明细表</w:t>
      </w:r>
    </w:p>
    <w:p w14:paraId="44AD354D">
      <w:pPr>
        <w:pStyle w:val="17"/>
        <w:ind w:firstLine="240" w:firstLineChars="100"/>
        <w:rPr>
          <w:rFonts w:hint="eastAsia" w:ascii="宋体" w:hAnsi="宋体" w:eastAsia="宋体" w:cs="宋体"/>
          <w:color w:val="auto"/>
          <w:kern w:val="0"/>
          <w:sz w:val="24"/>
          <w:highlight w:val="none"/>
          <w:lang w:val="en-US"/>
        </w:rPr>
      </w:pPr>
      <w:r>
        <w:rPr>
          <w:rFonts w:hint="eastAsia" w:ascii="宋体" w:hAnsi="宋体" w:eastAsia="宋体" w:cs="宋体"/>
          <w:color w:val="auto"/>
          <w:kern w:val="0"/>
          <w:sz w:val="24"/>
          <w:highlight w:val="none"/>
          <w:lang w:val="en-US" w:eastAsia="zh-CN"/>
        </w:rPr>
        <w:t>项目</w:t>
      </w:r>
      <w:r>
        <w:rPr>
          <w:rFonts w:hint="eastAsia" w:ascii="宋体" w:hAnsi="宋体" w:eastAsia="宋体" w:cs="宋体"/>
          <w:color w:val="auto"/>
          <w:kern w:val="0"/>
          <w:sz w:val="24"/>
          <w:highlight w:val="none"/>
        </w:rPr>
        <w:t>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en-US" w:eastAsia="zh-CN"/>
        </w:rPr>
        <w:t xml:space="preserve">                 </w:t>
      </w:r>
    </w:p>
    <w:p w14:paraId="636F2A55">
      <w:pPr>
        <w:spacing w:line="240" w:lineRule="auto"/>
        <w:ind w:firstLine="0" w:firstLineChars="0"/>
        <w:jc w:val="center"/>
        <w:rPr>
          <w:rFonts w:hint="eastAsia" w:ascii="宋体" w:hAnsi="宋体" w:eastAsia="宋体" w:cs="宋体"/>
          <w:b/>
          <w:sz w:val="24"/>
          <w:szCs w:val="24"/>
        </w:rPr>
      </w:pPr>
      <w:r>
        <w:rPr>
          <w:rFonts w:hint="eastAsia" w:ascii="宋体" w:hAnsi="宋体" w:eastAsia="宋体" w:cs="宋体"/>
          <w:b/>
          <w:sz w:val="24"/>
          <w:szCs w:val="24"/>
        </w:rPr>
        <w:t>202</w:t>
      </w:r>
      <w:r>
        <w:rPr>
          <w:rFonts w:hint="eastAsia" w:ascii="宋体" w:hAnsi="宋体" w:eastAsia="宋体" w:cs="宋体"/>
          <w:b/>
          <w:sz w:val="24"/>
          <w:szCs w:val="24"/>
          <w:lang w:val="en-US" w:eastAsia="zh-CN"/>
        </w:rPr>
        <w:t>6</w:t>
      </w:r>
      <w:r>
        <w:rPr>
          <w:rFonts w:hint="eastAsia" w:ascii="宋体" w:hAnsi="宋体" w:eastAsia="宋体" w:cs="宋体"/>
          <w:b/>
          <w:sz w:val="24"/>
          <w:szCs w:val="24"/>
        </w:rPr>
        <w:t>年食品安全监督抽检方案（城乡结合部、农村流通环节及“三小”）</w:t>
      </w:r>
    </w:p>
    <w:tbl>
      <w:tblPr>
        <w:tblStyle w:val="46"/>
        <w:tblpPr w:leftFromText="180" w:rightFromText="180" w:vertAnchor="text" w:horzAnchor="page" w:tblpX="1442" w:tblpY="362"/>
        <w:tblOverlap w:val="never"/>
        <w:tblW w:w="54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927"/>
        <w:gridCol w:w="1005"/>
        <w:gridCol w:w="883"/>
        <w:gridCol w:w="1520"/>
        <w:gridCol w:w="4313"/>
        <w:gridCol w:w="801"/>
        <w:gridCol w:w="951"/>
        <w:gridCol w:w="741"/>
        <w:gridCol w:w="1135"/>
        <w:gridCol w:w="1302"/>
      </w:tblGrid>
      <w:tr w14:paraId="054D3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202" w:type="pct"/>
            <w:noWrap w:val="0"/>
            <w:vAlign w:val="center"/>
          </w:tcPr>
          <w:p w14:paraId="2D792443">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328" w:type="pct"/>
            <w:noWrap w:val="0"/>
            <w:vAlign w:val="center"/>
          </w:tcPr>
          <w:p w14:paraId="5E89DE2E">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食品大类（一级）</w:t>
            </w:r>
          </w:p>
        </w:tc>
        <w:tc>
          <w:tcPr>
            <w:tcW w:w="355" w:type="pct"/>
            <w:noWrap w:val="0"/>
            <w:vAlign w:val="center"/>
          </w:tcPr>
          <w:p w14:paraId="7C394AA7">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食品亚类（二级）</w:t>
            </w:r>
          </w:p>
        </w:tc>
        <w:tc>
          <w:tcPr>
            <w:tcW w:w="312" w:type="pct"/>
            <w:noWrap w:val="0"/>
            <w:vAlign w:val="center"/>
          </w:tcPr>
          <w:p w14:paraId="2F1CC2D5">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食品系类</w:t>
            </w:r>
          </w:p>
          <w:p w14:paraId="118C448E">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（三级）</w:t>
            </w:r>
          </w:p>
        </w:tc>
        <w:tc>
          <w:tcPr>
            <w:tcW w:w="537" w:type="pct"/>
            <w:noWrap w:val="0"/>
            <w:vAlign w:val="center"/>
          </w:tcPr>
          <w:p w14:paraId="780645B6">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食品系类（四类）及抽检范围</w:t>
            </w:r>
          </w:p>
        </w:tc>
        <w:tc>
          <w:tcPr>
            <w:tcW w:w="1524" w:type="pct"/>
            <w:noWrap w:val="0"/>
            <w:vAlign w:val="center"/>
          </w:tcPr>
          <w:p w14:paraId="44BB976B">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检测项目</w:t>
            </w:r>
          </w:p>
        </w:tc>
        <w:tc>
          <w:tcPr>
            <w:tcW w:w="283" w:type="pct"/>
            <w:noWrap w:val="0"/>
            <w:vAlign w:val="center"/>
          </w:tcPr>
          <w:p w14:paraId="17BDD76F">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抽检总量</w:t>
            </w:r>
          </w:p>
        </w:tc>
        <w:tc>
          <w:tcPr>
            <w:tcW w:w="336" w:type="pct"/>
            <w:noWrap w:val="0"/>
            <w:vAlign w:val="center"/>
          </w:tcPr>
          <w:p w14:paraId="3A461794">
            <w:pPr>
              <w:widowControl/>
              <w:spacing w:line="360" w:lineRule="auto"/>
              <w:ind w:left="0" w:leftChars="0" w:firstLine="0" w:firstLineChars="0"/>
              <w:jc w:val="center"/>
              <w:rPr>
                <w:rFonts w:hint="eastAsia" w:ascii="宋体" w:hAnsi="宋体" w:eastAsia="宋体" w:cs="宋体"/>
                <w:b/>
                <w:bCs/>
                <w:sz w:val="21"/>
                <w:szCs w:val="21"/>
              </w:rPr>
            </w:pPr>
            <w:r>
              <w:rPr>
                <w:rFonts w:hint="eastAsia" w:ascii="宋体" w:hAnsi="宋体" w:eastAsia="宋体" w:cs="宋体"/>
                <w:b/>
                <w:bCs/>
                <w:color w:val="auto"/>
                <w:kern w:val="0"/>
                <w:sz w:val="21"/>
                <w:szCs w:val="21"/>
                <w:highlight w:val="none"/>
                <w:lang w:val="en-US" w:eastAsia="zh-CN"/>
              </w:rPr>
              <w:t>单价</w:t>
            </w:r>
          </w:p>
        </w:tc>
        <w:tc>
          <w:tcPr>
            <w:tcW w:w="262" w:type="pct"/>
            <w:noWrap w:val="0"/>
            <w:vAlign w:val="center"/>
          </w:tcPr>
          <w:p w14:paraId="2E53F722">
            <w:pPr>
              <w:widowControl/>
              <w:spacing w:line="360" w:lineRule="auto"/>
              <w:ind w:left="0" w:leftChars="0" w:firstLine="0" w:firstLineChars="0"/>
              <w:jc w:val="center"/>
              <w:rPr>
                <w:rFonts w:hint="eastAsia" w:ascii="宋体" w:hAnsi="宋体" w:eastAsia="宋体" w:cs="宋体"/>
                <w:b/>
                <w:bCs/>
                <w:sz w:val="21"/>
                <w:szCs w:val="21"/>
              </w:rPr>
            </w:pPr>
            <w:r>
              <w:rPr>
                <w:rFonts w:hint="eastAsia" w:ascii="宋体" w:hAnsi="宋体" w:eastAsia="宋体" w:cs="宋体"/>
                <w:b/>
                <w:bCs/>
                <w:color w:val="auto"/>
                <w:kern w:val="0"/>
                <w:sz w:val="21"/>
                <w:szCs w:val="21"/>
                <w:highlight w:val="none"/>
                <w:lang w:val="en-US" w:eastAsia="zh-CN"/>
              </w:rPr>
              <w:t>小计</w:t>
            </w:r>
          </w:p>
        </w:tc>
        <w:tc>
          <w:tcPr>
            <w:tcW w:w="401" w:type="pct"/>
            <w:noWrap w:val="0"/>
            <w:vAlign w:val="center"/>
          </w:tcPr>
          <w:p w14:paraId="323023F0">
            <w:pPr>
              <w:widowControl/>
              <w:spacing w:line="360" w:lineRule="auto"/>
              <w:ind w:left="0" w:leftChars="0" w:firstLine="0" w:firstLineChars="0"/>
              <w:jc w:val="center"/>
              <w:rPr>
                <w:rFonts w:hint="eastAsia" w:ascii="宋体" w:hAnsi="宋体" w:eastAsia="宋体" w:cs="宋体"/>
                <w:b/>
                <w:bCs/>
                <w:sz w:val="21"/>
                <w:szCs w:val="21"/>
              </w:rPr>
            </w:pPr>
            <w:r>
              <w:rPr>
                <w:rFonts w:hint="eastAsia" w:ascii="宋体" w:hAnsi="宋体" w:eastAsia="宋体" w:cs="宋体"/>
                <w:b/>
                <w:bCs/>
                <w:color w:val="auto"/>
                <w:kern w:val="0"/>
                <w:sz w:val="21"/>
                <w:szCs w:val="21"/>
                <w:highlight w:val="none"/>
                <w:lang w:val="en-US" w:eastAsia="zh-CN"/>
              </w:rPr>
              <w:t>是否通过认证</w:t>
            </w:r>
          </w:p>
        </w:tc>
        <w:tc>
          <w:tcPr>
            <w:tcW w:w="457" w:type="pct"/>
            <w:noWrap w:val="0"/>
            <w:vAlign w:val="center"/>
          </w:tcPr>
          <w:p w14:paraId="2AACCAB1">
            <w:pPr>
              <w:widowControl/>
              <w:spacing w:line="360" w:lineRule="auto"/>
              <w:ind w:left="0" w:leftChars="0" w:firstLine="0" w:firstLineChars="0"/>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备注</w:t>
            </w:r>
          </w:p>
        </w:tc>
      </w:tr>
      <w:tr w14:paraId="55A9F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202" w:type="pct"/>
            <w:vMerge w:val="restart"/>
            <w:noWrap w:val="0"/>
            <w:vAlign w:val="center"/>
          </w:tcPr>
          <w:p w14:paraId="61780A12">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1</w:t>
            </w:r>
          </w:p>
        </w:tc>
        <w:tc>
          <w:tcPr>
            <w:tcW w:w="328" w:type="pct"/>
            <w:vMerge w:val="restart"/>
            <w:noWrap w:val="0"/>
            <w:vAlign w:val="center"/>
          </w:tcPr>
          <w:p w14:paraId="0861AA16">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粮食加工品</w:t>
            </w:r>
          </w:p>
        </w:tc>
        <w:tc>
          <w:tcPr>
            <w:tcW w:w="355" w:type="pct"/>
            <w:noWrap w:val="0"/>
            <w:vAlign w:val="center"/>
          </w:tcPr>
          <w:p w14:paraId="59CD1EBD">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小麦粉</w:t>
            </w:r>
          </w:p>
        </w:tc>
        <w:tc>
          <w:tcPr>
            <w:tcW w:w="312" w:type="pct"/>
            <w:noWrap w:val="0"/>
            <w:vAlign w:val="center"/>
          </w:tcPr>
          <w:p w14:paraId="535CCBA3">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小麦粉</w:t>
            </w:r>
          </w:p>
        </w:tc>
        <w:tc>
          <w:tcPr>
            <w:tcW w:w="537" w:type="pct"/>
            <w:noWrap w:val="0"/>
            <w:vAlign w:val="center"/>
          </w:tcPr>
          <w:p w14:paraId="596183F1">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小麦粉</w:t>
            </w:r>
          </w:p>
        </w:tc>
        <w:tc>
          <w:tcPr>
            <w:tcW w:w="1524" w:type="pct"/>
            <w:noWrap w:val="0"/>
            <w:vAlign w:val="center"/>
          </w:tcPr>
          <w:p w14:paraId="74822D30">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sz w:val="21"/>
                <w:szCs w:val="21"/>
              </w:rPr>
              <w:t>铅（以Pb计）、镉（以Cd计）、过氧化苯甲酰、苯并〔a〕芘、玉米赤霉烯酮、脱氧雪腐镰刀菌烯醇、赭曲霉毒素A、黄曲霉毒素B</w:t>
            </w:r>
            <w:r>
              <w:rPr>
                <w:rFonts w:hint="eastAsia" w:ascii="宋体" w:hAnsi="宋体" w:eastAsia="宋体" w:cs="宋体"/>
                <w:sz w:val="21"/>
                <w:szCs w:val="21"/>
                <w:vertAlign w:val="subscript"/>
              </w:rPr>
              <w:t>1</w:t>
            </w:r>
            <w:r>
              <w:rPr>
                <w:rFonts w:hint="eastAsia" w:ascii="宋体" w:hAnsi="宋体" w:eastAsia="宋体" w:cs="宋体"/>
                <w:sz w:val="21"/>
                <w:szCs w:val="21"/>
                <w:lang w:eastAsia="zh-CN"/>
              </w:rPr>
              <w:t>、偶氮甲酰胺</w:t>
            </w:r>
          </w:p>
        </w:tc>
        <w:tc>
          <w:tcPr>
            <w:tcW w:w="283" w:type="pct"/>
            <w:noWrap w:val="0"/>
            <w:vAlign w:val="center"/>
          </w:tcPr>
          <w:p w14:paraId="0164B7C5">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8</w:t>
            </w:r>
          </w:p>
        </w:tc>
        <w:tc>
          <w:tcPr>
            <w:tcW w:w="336" w:type="pct"/>
            <w:noWrap w:val="0"/>
            <w:vAlign w:val="center"/>
          </w:tcPr>
          <w:p w14:paraId="32B9A6C6">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50261DC1">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260EBAC7">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46FDEB51">
            <w:pPr>
              <w:spacing w:line="240" w:lineRule="auto"/>
              <w:ind w:firstLine="0" w:firstLineChars="0"/>
              <w:jc w:val="center"/>
              <w:rPr>
                <w:rFonts w:hint="eastAsia" w:ascii="宋体" w:hAnsi="宋体" w:eastAsia="宋体" w:cs="宋体"/>
                <w:b/>
                <w:sz w:val="21"/>
                <w:szCs w:val="21"/>
                <w:lang w:val="en-US" w:eastAsia="zh-CN"/>
              </w:rPr>
            </w:pPr>
          </w:p>
        </w:tc>
      </w:tr>
      <w:tr w14:paraId="27A2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202" w:type="pct"/>
            <w:vMerge w:val="continue"/>
            <w:noWrap w:val="0"/>
            <w:vAlign w:val="center"/>
          </w:tcPr>
          <w:p w14:paraId="38DC022D">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4CD07AE6">
            <w:pPr>
              <w:widowControl/>
              <w:spacing w:line="240" w:lineRule="auto"/>
              <w:ind w:firstLine="0" w:firstLineChars="0"/>
              <w:jc w:val="center"/>
              <w:textAlignment w:val="center"/>
              <w:rPr>
                <w:rFonts w:hint="eastAsia" w:ascii="宋体" w:hAnsi="宋体" w:eastAsia="宋体" w:cs="宋体"/>
                <w:sz w:val="21"/>
                <w:szCs w:val="21"/>
              </w:rPr>
            </w:pPr>
          </w:p>
        </w:tc>
        <w:tc>
          <w:tcPr>
            <w:tcW w:w="355" w:type="pct"/>
            <w:noWrap w:val="0"/>
            <w:vAlign w:val="center"/>
          </w:tcPr>
          <w:p w14:paraId="082CA2A5">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大米</w:t>
            </w:r>
          </w:p>
        </w:tc>
        <w:tc>
          <w:tcPr>
            <w:tcW w:w="312" w:type="pct"/>
            <w:noWrap w:val="0"/>
            <w:vAlign w:val="center"/>
          </w:tcPr>
          <w:p w14:paraId="1C47E85D">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大米</w:t>
            </w:r>
          </w:p>
        </w:tc>
        <w:tc>
          <w:tcPr>
            <w:tcW w:w="537" w:type="pct"/>
            <w:noWrap w:val="0"/>
            <w:vAlign w:val="center"/>
          </w:tcPr>
          <w:p w14:paraId="5E791158">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大米</w:t>
            </w:r>
          </w:p>
        </w:tc>
        <w:tc>
          <w:tcPr>
            <w:tcW w:w="1524" w:type="pct"/>
            <w:noWrap w:val="0"/>
            <w:vAlign w:val="center"/>
          </w:tcPr>
          <w:p w14:paraId="539D9582">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sz w:val="21"/>
                <w:szCs w:val="21"/>
              </w:rPr>
              <w:t>铅（以Pb计）、镉（以Cd计）、无机砷（以AS）、黄曲霉毒素B</w:t>
            </w:r>
            <w:r>
              <w:rPr>
                <w:rFonts w:hint="eastAsia" w:ascii="宋体" w:hAnsi="宋体" w:eastAsia="宋体" w:cs="宋体"/>
                <w:sz w:val="21"/>
                <w:szCs w:val="21"/>
                <w:vertAlign w:val="subscript"/>
              </w:rPr>
              <w:t>1</w:t>
            </w:r>
            <w:r>
              <w:rPr>
                <w:rFonts w:hint="eastAsia" w:ascii="宋体" w:hAnsi="宋体" w:eastAsia="宋体" w:cs="宋体"/>
                <w:sz w:val="21"/>
                <w:szCs w:val="21"/>
              </w:rPr>
              <w:t>、苯并〔a〕芘、赭曲霉毒素A</w:t>
            </w:r>
          </w:p>
        </w:tc>
        <w:tc>
          <w:tcPr>
            <w:tcW w:w="283" w:type="pct"/>
            <w:noWrap w:val="0"/>
            <w:vAlign w:val="center"/>
          </w:tcPr>
          <w:p w14:paraId="6708FDD1">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8</w:t>
            </w:r>
          </w:p>
        </w:tc>
        <w:tc>
          <w:tcPr>
            <w:tcW w:w="336" w:type="pct"/>
            <w:noWrap w:val="0"/>
            <w:vAlign w:val="center"/>
          </w:tcPr>
          <w:p w14:paraId="5A477AD4">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4D15A5F0">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32F4E7AF">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63FA35F1">
            <w:pPr>
              <w:spacing w:line="240" w:lineRule="auto"/>
              <w:ind w:firstLine="0" w:firstLineChars="0"/>
              <w:jc w:val="center"/>
              <w:rPr>
                <w:rFonts w:hint="eastAsia" w:ascii="宋体" w:hAnsi="宋体" w:eastAsia="宋体" w:cs="宋体"/>
                <w:b/>
                <w:sz w:val="21"/>
                <w:szCs w:val="21"/>
                <w:lang w:val="en-US" w:eastAsia="zh-CN"/>
              </w:rPr>
            </w:pPr>
          </w:p>
        </w:tc>
      </w:tr>
      <w:tr w14:paraId="628A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trPr>
        <w:tc>
          <w:tcPr>
            <w:tcW w:w="202" w:type="pct"/>
            <w:vMerge w:val="continue"/>
            <w:noWrap w:val="0"/>
            <w:vAlign w:val="center"/>
          </w:tcPr>
          <w:p w14:paraId="6C998AD4">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3A47FCE0">
            <w:pPr>
              <w:widowControl/>
              <w:spacing w:line="240" w:lineRule="auto"/>
              <w:ind w:firstLine="0" w:firstLineChars="0"/>
              <w:jc w:val="center"/>
              <w:textAlignment w:val="center"/>
              <w:rPr>
                <w:rFonts w:hint="eastAsia" w:ascii="宋体" w:hAnsi="宋体" w:eastAsia="宋体" w:cs="宋体"/>
                <w:sz w:val="21"/>
                <w:szCs w:val="21"/>
              </w:rPr>
            </w:pPr>
          </w:p>
        </w:tc>
        <w:tc>
          <w:tcPr>
            <w:tcW w:w="355" w:type="pct"/>
            <w:vMerge w:val="restart"/>
            <w:noWrap w:val="0"/>
            <w:vAlign w:val="center"/>
          </w:tcPr>
          <w:p w14:paraId="0E386C7B">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其他粮食加工品</w:t>
            </w:r>
          </w:p>
        </w:tc>
        <w:tc>
          <w:tcPr>
            <w:tcW w:w="312" w:type="pct"/>
            <w:vMerge w:val="restart"/>
            <w:noWrap w:val="0"/>
            <w:vAlign w:val="center"/>
          </w:tcPr>
          <w:p w14:paraId="0C2247EE">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谷物粉类制成品</w:t>
            </w:r>
          </w:p>
        </w:tc>
        <w:tc>
          <w:tcPr>
            <w:tcW w:w="537" w:type="pct"/>
            <w:noWrap w:val="0"/>
            <w:vAlign w:val="center"/>
          </w:tcPr>
          <w:p w14:paraId="24D1235C">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发酵面制品</w:t>
            </w:r>
          </w:p>
        </w:tc>
        <w:tc>
          <w:tcPr>
            <w:tcW w:w="1524" w:type="pct"/>
            <w:noWrap w:val="0"/>
            <w:vAlign w:val="center"/>
          </w:tcPr>
          <w:p w14:paraId="190005AB">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铅（以Pb计）、</w:t>
            </w:r>
            <w:r>
              <w:rPr>
                <w:rFonts w:hint="eastAsia" w:ascii="宋体" w:hAnsi="宋体" w:eastAsia="宋体" w:cs="宋体"/>
                <w:kern w:val="0"/>
                <w:sz w:val="21"/>
                <w:szCs w:val="21"/>
              </w:rPr>
              <w:t>苯甲酸及其钠盐（以苯甲酸计）、山梨酸及其钾盐（以山梨酸计）、</w:t>
            </w:r>
            <w:r>
              <w:rPr>
                <w:rFonts w:hint="eastAsia" w:ascii="宋体" w:hAnsi="宋体" w:eastAsia="宋体" w:cs="宋体"/>
                <w:sz w:val="21"/>
                <w:szCs w:val="21"/>
              </w:rPr>
              <w:t>脱氢乙酸及其钠盐（以脱氢乙酸计）、防腐剂混合使用时各自用量占其最大使用量的比例之和、</w:t>
            </w:r>
            <w:r>
              <w:rPr>
                <w:rFonts w:hint="eastAsia" w:ascii="宋体" w:hAnsi="宋体" w:eastAsia="宋体" w:cs="宋体"/>
                <w:kern w:val="0"/>
                <w:sz w:val="21"/>
                <w:szCs w:val="21"/>
              </w:rPr>
              <w:t>糖精钠（以糖精计）、甜蜜素（以环己基氨基磺酸计）、</w:t>
            </w:r>
            <w:r>
              <w:rPr>
                <w:rFonts w:hint="eastAsia" w:ascii="宋体" w:hAnsi="宋体" w:eastAsia="宋体" w:cs="宋体"/>
                <w:kern w:val="0"/>
                <w:sz w:val="21"/>
                <w:szCs w:val="21"/>
                <w:lang w:eastAsia="zh-CN"/>
              </w:rPr>
              <w:t>安赛蜜、合成着色剂（柠檬黄、胭脂红，视色泽而定）、</w:t>
            </w:r>
            <w:r>
              <w:rPr>
                <w:rFonts w:hint="eastAsia" w:ascii="宋体" w:hAnsi="宋体" w:eastAsia="宋体" w:cs="宋体"/>
                <w:kern w:val="0"/>
                <w:sz w:val="21"/>
                <w:szCs w:val="21"/>
              </w:rPr>
              <w:t>菌落总数、大肠菌群</w:t>
            </w:r>
          </w:p>
        </w:tc>
        <w:tc>
          <w:tcPr>
            <w:tcW w:w="283" w:type="pct"/>
            <w:noWrap w:val="0"/>
            <w:vAlign w:val="center"/>
          </w:tcPr>
          <w:p w14:paraId="134DE46A">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5</w:t>
            </w:r>
          </w:p>
        </w:tc>
        <w:tc>
          <w:tcPr>
            <w:tcW w:w="336" w:type="pct"/>
            <w:noWrap w:val="0"/>
            <w:vAlign w:val="center"/>
          </w:tcPr>
          <w:p w14:paraId="6541A810">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0286DDD3">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6E5F9722">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7D34EA65">
            <w:pPr>
              <w:spacing w:line="240" w:lineRule="auto"/>
              <w:ind w:firstLine="0" w:firstLineChars="0"/>
              <w:jc w:val="center"/>
              <w:rPr>
                <w:rFonts w:hint="eastAsia" w:ascii="宋体" w:hAnsi="宋体" w:eastAsia="宋体" w:cs="宋体"/>
                <w:b/>
                <w:sz w:val="21"/>
                <w:szCs w:val="21"/>
                <w:lang w:val="en-US" w:eastAsia="zh-CN"/>
              </w:rPr>
            </w:pPr>
          </w:p>
        </w:tc>
      </w:tr>
      <w:tr w14:paraId="1E32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atLeast"/>
        </w:trPr>
        <w:tc>
          <w:tcPr>
            <w:tcW w:w="202" w:type="pct"/>
            <w:vMerge w:val="continue"/>
            <w:noWrap w:val="0"/>
            <w:vAlign w:val="center"/>
          </w:tcPr>
          <w:p w14:paraId="3CCE7543">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110A38A7">
            <w:pPr>
              <w:widowControl/>
              <w:spacing w:line="240" w:lineRule="auto"/>
              <w:ind w:firstLine="0" w:firstLineChars="0"/>
              <w:jc w:val="center"/>
              <w:textAlignment w:val="center"/>
              <w:rPr>
                <w:rFonts w:hint="eastAsia" w:ascii="宋体" w:hAnsi="宋体" w:eastAsia="宋体" w:cs="宋体"/>
                <w:sz w:val="21"/>
                <w:szCs w:val="21"/>
              </w:rPr>
            </w:pPr>
          </w:p>
        </w:tc>
        <w:tc>
          <w:tcPr>
            <w:tcW w:w="355" w:type="pct"/>
            <w:vMerge w:val="continue"/>
            <w:noWrap w:val="0"/>
            <w:vAlign w:val="center"/>
          </w:tcPr>
          <w:p w14:paraId="277A4D41">
            <w:pPr>
              <w:spacing w:line="240" w:lineRule="auto"/>
              <w:ind w:firstLine="0" w:firstLineChars="0"/>
              <w:jc w:val="center"/>
              <w:textAlignment w:val="center"/>
              <w:rPr>
                <w:rFonts w:hint="eastAsia" w:ascii="宋体" w:hAnsi="宋体" w:eastAsia="宋体" w:cs="宋体"/>
                <w:sz w:val="21"/>
                <w:szCs w:val="21"/>
              </w:rPr>
            </w:pPr>
          </w:p>
        </w:tc>
        <w:tc>
          <w:tcPr>
            <w:tcW w:w="312" w:type="pct"/>
            <w:vMerge w:val="continue"/>
            <w:noWrap w:val="0"/>
            <w:vAlign w:val="center"/>
          </w:tcPr>
          <w:p w14:paraId="61552604">
            <w:pPr>
              <w:spacing w:line="240" w:lineRule="auto"/>
              <w:ind w:firstLine="0" w:firstLineChars="0"/>
              <w:jc w:val="center"/>
              <w:textAlignment w:val="center"/>
              <w:rPr>
                <w:rFonts w:hint="eastAsia" w:ascii="宋体" w:hAnsi="宋体" w:eastAsia="宋体" w:cs="宋体"/>
                <w:sz w:val="21"/>
                <w:szCs w:val="21"/>
              </w:rPr>
            </w:pPr>
          </w:p>
        </w:tc>
        <w:tc>
          <w:tcPr>
            <w:tcW w:w="537" w:type="pct"/>
            <w:noWrap w:val="0"/>
            <w:vAlign w:val="center"/>
          </w:tcPr>
          <w:p w14:paraId="60041721">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其他谷物粉类制成品</w:t>
            </w:r>
          </w:p>
        </w:tc>
        <w:tc>
          <w:tcPr>
            <w:tcW w:w="1524" w:type="pct"/>
            <w:noWrap w:val="0"/>
            <w:vAlign w:val="center"/>
          </w:tcPr>
          <w:p w14:paraId="6721BA6E">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黄曲霉毒素B</w:t>
            </w:r>
            <w:r>
              <w:rPr>
                <w:rFonts w:hint="eastAsia" w:ascii="宋体" w:hAnsi="宋体" w:eastAsia="宋体" w:cs="宋体"/>
                <w:sz w:val="21"/>
                <w:szCs w:val="21"/>
                <w:vertAlign w:val="subscript"/>
              </w:rPr>
              <w:t>1</w:t>
            </w:r>
            <w:r>
              <w:rPr>
                <w:rFonts w:hint="eastAsia" w:ascii="宋体" w:hAnsi="宋体" w:eastAsia="宋体" w:cs="宋体"/>
                <w:sz w:val="21"/>
                <w:szCs w:val="21"/>
              </w:rPr>
              <w:t>、</w:t>
            </w:r>
            <w:r>
              <w:rPr>
                <w:rFonts w:hint="eastAsia" w:ascii="宋体" w:hAnsi="宋体" w:eastAsia="宋体" w:cs="宋体"/>
                <w:kern w:val="0"/>
                <w:sz w:val="21"/>
                <w:szCs w:val="21"/>
              </w:rPr>
              <w:t>苯甲酸及其钠盐（以苯甲酸计）、山梨酸及其钾盐（以山梨酸计）、</w:t>
            </w:r>
            <w:r>
              <w:rPr>
                <w:rFonts w:hint="eastAsia" w:ascii="宋体" w:hAnsi="宋体" w:eastAsia="宋体" w:cs="宋体"/>
                <w:sz w:val="21"/>
                <w:szCs w:val="21"/>
              </w:rPr>
              <w:t>脱氢乙酸及其钠盐（以脱氢乙酸计）、防腐剂混合使用时各自用量占其最大使用量的比例之和、铝的残留量（干样品、以AI计）、</w:t>
            </w:r>
            <w:r>
              <w:rPr>
                <w:rFonts w:hint="eastAsia" w:ascii="宋体" w:hAnsi="宋体" w:eastAsia="宋体" w:cs="宋体"/>
                <w:sz w:val="21"/>
                <w:szCs w:val="21"/>
                <w:lang w:eastAsia="zh-CN"/>
              </w:rPr>
              <w:t>合成着色剂（柠檬黄、日落黄、胭脂红、苋菜红、亮蓝，视色泽而定）、</w:t>
            </w:r>
            <w:r>
              <w:rPr>
                <w:rFonts w:hint="eastAsia" w:ascii="宋体" w:hAnsi="宋体" w:eastAsia="宋体" w:cs="宋体"/>
                <w:kern w:val="0"/>
                <w:sz w:val="21"/>
                <w:szCs w:val="21"/>
              </w:rPr>
              <w:t>菌落总数、大肠菌群</w:t>
            </w:r>
          </w:p>
        </w:tc>
        <w:tc>
          <w:tcPr>
            <w:tcW w:w="283" w:type="pct"/>
            <w:noWrap w:val="0"/>
            <w:vAlign w:val="center"/>
          </w:tcPr>
          <w:p w14:paraId="4BE811C8">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10</w:t>
            </w:r>
          </w:p>
        </w:tc>
        <w:tc>
          <w:tcPr>
            <w:tcW w:w="336" w:type="pct"/>
            <w:noWrap w:val="0"/>
            <w:vAlign w:val="center"/>
          </w:tcPr>
          <w:p w14:paraId="62E77B32">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303E406A">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4B3C36FC">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6FC58A9E">
            <w:pPr>
              <w:spacing w:line="240" w:lineRule="auto"/>
              <w:ind w:firstLine="0" w:firstLineChars="0"/>
              <w:jc w:val="center"/>
              <w:rPr>
                <w:rFonts w:hint="eastAsia" w:ascii="宋体" w:hAnsi="宋体" w:eastAsia="宋体" w:cs="宋体"/>
                <w:b/>
                <w:sz w:val="21"/>
                <w:szCs w:val="21"/>
                <w:lang w:val="en-US" w:eastAsia="zh-CN"/>
              </w:rPr>
            </w:pPr>
          </w:p>
        </w:tc>
      </w:tr>
      <w:tr w14:paraId="0F3D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02" w:type="pct"/>
            <w:vMerge w:val="restart"/>
            <w:noWrap w:val="0"/>
            <w:vAlign w:val="center"/>
          </w:tcPr>
          <w:p w14:paraId="026B458B">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328" w:type="pct"/>
            <w:vMerge w:val="restart"/>
            <w:noWrap w:val="0"/>
            <w:vAlign w:val="center"/>
          </w:tcPr>
          <w:p w14:paraId="14687832">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bCs/>
                <w:sz w:val="21"/>
                <w:szCs w:val="21"/>
              </w:rPr>
              <w:t>乳制品</w:t>
            </w:r>
          </w:p>
        </w:tc>
        <w:tc>
          <w:tcPr>
            <w:tcW w:w="355" w:type="pct"/>
            <w:vMerge w:val="restart"/>
            <w:noWrap w:val="0"/>
            <w:vAlign w:val="center"/>
          </w:tcPr>
          <w:p w14:paraId="0D5EAC38">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color w:val="000000"/>
                <w:sz w:val="21"/>
                <w:szCs w:val="21"/>
                <w:u w:val="none"/>
              </w:rPr>
              <w:t>乳制品</w:t>
            </w:r>
          </w:p>
        </w:tc>
        <w:tc>
          <w:tcPr>
            <w:tcW w:w="312" w:type="pct"/>
            <w:vMerge w:val="restart"/>
            <w:noWrap w:val="0"/>
            <w:vAlign w:val="center"/>
          </w:tcPr>
          <w:p w14:paraId="149F6C87">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color w:val="000000"/>
                <w:sz w:val="21"/>
                <w:szCs w:val="21"/>
                <w:u w:val="none"/>
              </w:rPr>
              <w:t>液体乳</w:t>
            </w:r>
          </w:p>
        </w:tc>
        <w:tc>
          <w:tcPr>
            <w:tcW w:w="537" w:type="pct"/>
            <w:noWrap w:val="0"/>
            <w:vAlign w:val="center"/>
          </w:tcPr>
          <w:p w14:paraId="21090E3D">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color w:val="000000"/>
                <w:sz w:val="21"/>
                <w:szCs w:val="21"/>
                <w:u w:val="none"/>
              </w:rPr>
              <w:t>灭菌乳</w:t>
            </w:r>
          </w:p>
        </w:tc>
        <w:tc>
          <w:tcPr>
            <w:tcW w:w="1524" w:type="pct"/>
            <w:noWrap w:val="0"/>
            <w:vAlign w:val="center"/>
          </w:tcPr>
          <w:p w14:paraId="0EF6949D">
            <w:pPr>
              <w:spacing w:line="240" w:lineRule="auto"/>
              <w:ind w:firstLine="0" w:firstLineChars="0"/>
              <w:jc w:val="left"/>
              <w:rPr>
                <w:rFonts w:hint="eastAsia" w:ascii="宋体" w:hAnsi="宋体" w:eastAsia="宋体" w:cs="宋体"/>
                <w:sz w:val="21"/>
                <w:szCs w:val="21"/>
                <w:lang w:val="en-US" w:eastAsia="zh-CN"/>
              </w:rPr>
            </w:pPr>
            <w:r>
              <w:rPr>
                <w:rFonts w:hint="eastAsia" w:ascii="宋体" w:hAnsi="宋体" w:eastAsia="宋体" w:cs="宋体"/>
                <w:color w:val="000000"/>
                <w:sz w:val="21"/>
                <w:szCs w:val="21"/>
                <w:u w:val="none"/>
              </w:rPr>
              <w:t>三聚氰胺、商业无菌、丙二醇、蛋白质</w:t>
            </w:r>
            <w:r>
              <w:rPr>
                <w:rFonts w:hint="eastAsia" w:ascii="宋体" w:hAnsi="宋体" w:eastAsia="宋体" w:cs="宋体"/>
                <w:color w:val="000000"/>
                <w:sz w:val="21"/>
                <w:szCs w:val="21"/>
                <w:u w:val="none"/>
                <w:lang w:eastAsia="zh-CN"/>
              </w:rPr>
              <w:t>、非脂乳固体、酸度、脂肪、</w:t>
            </w:r>
            <w:r>
              <w:rPr>
                <w:rFonts w:hint="eastAsia" w:ascii="宋体" w:hAnsi="宋体" w:eastAsia="宋体" w:cs="宋体"/>
                <w:sz w:val="21"/>
                <w:szCs w:val="21"/>
              </w:rPr>
              <w:t>铅（以Pb计）、</w:t>
            </w:r>
            <w:r>
              <w:rPr>
                <w:rFonts w:hint="eastAsia" w:ascii="宋体" w:hAnsi="宋体" w:eastAsia="宋体" w:cs="宋体"/>
                <w:sz w:val="21"/>
                <w:szCs w:val="21"/>
                <w:lang w:eastAsia="zh-CN"/>
              </w:rPr>
              <w:t>黄曲霉毒素</w:t>
            </w:r>
            <w:r>
              <w:rPr>
                <w:rFonts w:hint="eastAsia" w:ascii="宋体" w:hAnsi="宋体" w:eastAsia="宋体" w:cs="宋体"/>
                <w:sz w:val="21"/>
                <w:szCs w:val="21"/>
                <w:lang w:val="en-US" w:eastAsia="zh-CN"/>
              </w:rPr>
              <w:t>M</w:t>
            </w:r>
            <w:r>
              <w:rPr>
                <w:rFonts w:hint="eastAsia" w:ascii="宋体" w:hAnsi="宋体" w:eastAsia="宋体" w:cs="宋体"/>
                <w:sz w:val="21"/>
                <w:szCs w:val="21"/>
                <w:vertAlign w:val="subscript"/>
                <w:lang w:val="en-US" w:eastAsia="zh-CN"/>
              </w:rPr>
              <w:t>1</w:t>
            </w:r>
          </w:p>
        </w:tc>
        <w:tc>
          <w:tcPr>
            <w:tcW w:w="283" w:type="pct"/>
            <w:noWrap w:val="0"/>
            <w:vAlign w:val="center"/>
          </w:tcPr>
          <w:p w14:paraId="6DDCBD0B">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color w:val="000000"/>
                <w:sz w:val="21"/>
                <w:szCs w:val="21"/>
                <w:u w:val="none"/>
              </w:rPr>
              <w:t>4</w:t>
            </w:r>
          </w:p>
        </w:tc>
        <w:tc>
          <w:tcPr>
            <w:tcW w:w="336" w:type="pct"/>
            <w:noWrap w:val="0"/>
            <w:vAlign w:val="center"/>
          </w:tcPr>
          <w:p w14:paraId="5A6DDD5E">
            <w:pPr>
              <w:spacing w:line="240" w:lineRule="auto"/>
              <w:ind w:firstLine="0" w:firstLineChars="0"/>
              <w:jc w:val="center"/>
              <w:rPr>
                <w:rFonts w:hint="eastAsia" w:ascii="宋体" w:hAnsi="宋体" w:eastAsia="宋体" w:cs="宋体"/>
                <w:b/>
                <w:color w:val="000000"/>
                <w:sz w:val="21"/>
                <w:szCs w:val="21"/>
                <w:u w:val="none"/>
              </w:rPr>
            </w:pPr>
          </w:p>
        </w:tc>
        <w:tc>
          <w:tcPr>
            <w:tcW w:w="262" w:type="pct"/>
            <w:noWrap w:val="0"/>
            <w:vAlign w:val="center"/>
          </w:tcPr>
          <w:p w14:paraId="3AEA4BEA">
            <w:pPr>
              <w:spacing w:line="240" w:lineRule="auto"/>
              <w:ind w:firstLine="0" w:firstLineChars="0"/>
              <w:jc w:val="center"/>
              <w:rPr>
                <w:rFonts w:hint="eastAsia" w:ascii="宋体" w:hAnsi="宋体" w:eastAsia="宋体" w:cs="宋体"/>
                <w:b/>
                <w:color w:val="000000"/>
                <w:sz w:val="21"/>
                <w:szCs w:val="21"/>
                <w:u w:val="none"/>
              </w:rPr>
            </w:pPr>
          </w:p>
        </w:tc>
        <w:tc>
          <w:tcPr>
            <w:tcW w:w="401" w:type="pct"/>
            <w:noWrap w:val="0"/>
            <w:vAlign w:val="center"/>
          </w:tcPr>
          <w:p w14:paraId="786D55FB">
            <w:pPr>
              <w:spacing w:line="240" w:lineRule="auto"/>
              <w:ind w:firstLine="0" w:firstLineChars="0"/>
              <w:jc w:val="center"/>
              <w:rPr>
                <w:rFonts w:hint="eastAsia" w:ascii="宋体" w:hAnsi="宋体" w:eastAsia="宋体" w:cs="宋体"/>
                <w:b/>
                <w:color w:val="000000"/>
                <w:sz w:val="21"/>
                <w:szCs w:val="21"/>
                <w:u w:val="none"/>
              </w:rPr>
            </w:pPr>
          </w:p>
        </w:tc>
        <w:tc>
          <w:tcPr>
            <w:tcW w:w="457" w:type="pct"/>
            <w:noWrap w:val="0"/>
            <w:vAlign w:val="center"/>
          </w:tcPr>
          <w:p w14:paraId="761AFF25">
            <w:pPr>
              <w:spacing w:line="240" w:lineRule="auto"/>
              <w:ind w:firstLine="0" w:firstLineChars="0"/>
              <w:jc w:val="center"/>
              <w:rPr>
                <w:rFonts w:hint="eastAsia" w:ascii="宋体" w:hAnsi="宋体" w:eastAsia="宋体" w:cs="宋体"/>
                <w:b/>
                <w:color w:val="000000"/>
                <w:sz w:val="21"/>
                <w:szCs w:val="21"/>
                <w:u w:val="none"/>
              </w:rPr>
            </w:pPr>
          </w:p>
        </w:tc>
      </w:tr>
      <w:tr w14:paraId="25CE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02" w:type="pct"/>
            <w:vMerge w:val="continue"/>
            <w:noWrap w:val="0"/>
            <w:vAlign w:val="center"/>
          </w:tcPr>
          <w:p w14:paraId="5D5A6739">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51FCDCAE">
            <w:pPr>
              <w:spacing w:line="240" w:lineRule="auto"/>
              <w:ind w:firstLine="0" w:firstLineChars="0"/>
              <w:jc w:val="center"/>
              <w:rPr>
                <w:rFonts w:hint="eastAsia" w:ascii="宋体" w:hAnsi="宋体" w:eastAsia="宋体" w:cs="宋体"/>
                <w:sz w:val="21"/>
                <w:szCs w:val="21"/>
              </w:rPr>
            </w:pPr>
          </w:p>
        </w:tc>
        <w:tc>
          <w:tcPr>
            <w:tcW w:w="355" w:type="pct"/>
            <w:vMerge w:val="continue"/>
            <w:noWrap w:val="0"/>
            <w:vAlign w:val="center"/>
          </w:tcPr>
          <w:p w14:paraId="77C2DCB4">
            <w:pPr>
              <w:spacing w:line="240" w:lineRule="auto"/>
              <w:ind w:firstLine="0" w:firstLineChars="0"/>
              <w:jc w:val="center"/>
              <w:rPr>
                <w:rFonts w:hint="eastAsia" w:ascii="宋体" w:hAnsi="宋体" w:eastAsia="宋体" w:cs="宋体"/>
                <w:b/>
                <w:sz w:val="21"/>
                <w:szCs w:val="21"/>
              </w:rPr>
            </w:pPr>
          </w:p>
        </w:tc>
        <w:tc>
          <w:tcPr>
            <w:tcW w:w="312" w:type="pct"/>
            <w:vMerge w:val="continue"/>
            <w:noWrap w:val="0"/>
            <w:vAlign w:val="center"/>
          </w:tcPr>
          <w:p w14:paraId="41942476">
            <w:pPr>
              <w:spacing w:line="240" w:lineRule="auto"/>
              <w:ind w:firstLine="0" w:firstLineChars="0"/>
              <w:jc w:val="center"/>
              <w:rPr>
                <w:rFonts w:hint="eastAsia" w:ascii="宋体" w:hAnsi="宋体" w:eastAsia="宋体" w:cs="宋体"/>
                <w:b/>
                <w:sz w:val="21"/>
                <w:szCs w:val="21"/>
              </w:rPr>
            </w:pPr>
          </w:p>
        </w:tc>
        <w:tc>
          <w:tcPr>
            <w:tcW w:w="537" w:type="pct"/>
            <w:noWrap w:val="0"/>
            <w:vAlign w:val="center"/>
          </w:tcPr>
          <w:p w14:paraId="1B7436CF">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调制乳</w:t>
            </w:r>
          </w:p>
        </w:tc>
        <w:tc>
          <w:tcPr>
            <w:tcW w:w="1524" w:type="pct"/>
            <w:noWrap w:val="0"/>
            <w:vAlign w:val="center"/>
          </w:tcPr>
          <w:p w14:paraId="485827E7">
            <w:pPr>
              <w:widowControl/>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蛋白质、</w:t>
            </w:r>
            <w:r>
              <w:rPr>
                <w:rFonts w:hint="eastAsia" w:ascii="宋体" w:hAnsi="宋体" w:eastAsia="宋体" w:cs="宋体"/>
                <w:color w:val="000000"/>
                <w:sz w:val="21"/>
                <w:szCs w:val="21"/>
                <w:u w:val="none"/>
                <w:lang w:eastAsia="zh-CN"/>
              </w:rPr>
              <w:t>三聚氰胺、</w:t>
            </w:r>
            <w:r>
              <w:rPr>
                <w:rFonts w:hint="eastAsia" w:ascii="宋体" w:hAnsi="宋体" w:eastAsia="宋体" w:cs="宋体"/>
                <w:sz w:val="21"/>
                <w:szCs w:val="21"/>
              </w:rPr>
              <w:t>铅（以Pb计）、</w:t>
            </w:r>
            <w:r>
              <w:rPr>
                <w:rFonts w:hint="eastAsia" w:ascii="宋体" w:hAnsi="宋体" w:eastAsia="宋体" w:cs="宋体"/>
                <w:sz w:val="21"/>
                <w:szCs w:val="21"/>
                <w:lang w:eastAsia="zh-CN"/>
              </w:rPr>
              <w:t>黄曲霉毒素</w:t>
            </w:r>
            <w:r>
              <w:rPr>
                <w:rFonts w:hint="eastAsia" w:ascii="宋体" w:hAnsi="宋体" w:eastAsia="宋体" w:cs="宋体"/>
                <w:sz w:val="21"/>
                <w:szCs w:val="21"/>
                <w:lang w:val="en-US" w:eastAsia="zh-CN"/>
              </w:rPr>
              <w:t>M</w:t>
            </w:r>
            <w:r>
              <w:rPr>
                <w:rFonts w:hint="eastAsia" w:ascii="宋体" w:hAnsi="宋体" w:eastAsia="宋体" w:cs="宋体"/>
                <w:sz w:val="21"/>
                <w:szCs w:val="21"/>
                <w:vertAlign w:val="subscript"/>
                <w:lang w:val="en-US" w:eastAsia="zh-CN"/>
              </w:rPr>
              <w:t>1</w:t>
            </w:r>
            <w:r>
              <w:rPr>
                <w:rFonts w:hint="eastAsia" w:ascii="宋体" w:hAnsi="宋体" w:eastAsia="宋体" w:cs="宋体"/>
                <w:color w:val="000000"/>
                <w:sz w:val="21"/>
                <w:szCs w:val="21"/>
                <w:u w:val="none"/>
              </w:rPr>
              <w:t>、商业无菌、菌落总数</w:t>
            </w:r>
            <w:r>
              <w:rPr>
                <w:rFonts w:hint="eastAsia" w:ascii="宋体" w:hAnsi="宋体" w:eastAsia="宋体" w:cs="宋体"/>
                <w:color w:val="000000"/>
                <w:sz w:val="21"/>
                <w:szCs w:val="21"/>
                <w:u w:val="none"/>
                <w:lang w:eastAsia="zh-CN"/>
              </w:rPr>
              <w:t>、</w:t>
            </w:r>
            <w:r>
              <w:rPr>
                <w:rFonts w:hint="eastAsia" w:ascii="宋体" w:hAnsi="宋体" w:eastAsia="宋体" w:cs="宋体"/>
                <w:color w:val="000000"/>
                <w:sz w:val="21"/>
                <w:szCs w:val="21"/>
                <w:u w:val="none"/>
              </w:rPr>
              <w:t>大肠菌群</w:t>
            </w:r>
          </w:p>
        </w:tc>
        <w:tc>
          <w:tcPr>
            <w:tcW w:w="283" w:type="pct"/>
            <w:noWrap w:val="0"/>
            <w:vAlign w:val="center"/>
          </w:tcPr>
          <w:p w14:paraId="1BDEFEB3">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color w:val="000000"/>
                <w:sz w:val="21"/>
                <w:szCs w:val="21"/>
                <w:u w:val="none"/>
                <w:lang w:val="en-US" w:eastAsia="zh-CN"/>
              </w:rPr>
              <w:t>2</w:t>
            </w:r>
          </w:p>
        </w:tc>
        <w:tc>
          <w:tcPr>
            <w:tcW w:w="336" w:type="pct"/>
            <w:noWrap w:val="0"/>
            <w:vAlign w:val="center"/>
          </w:tcPr>
          <w:p w14:paraId="12B6CB0A">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262" w:type="pct"/>
            <w:noWrap w:val="0"/>
            <w:vAlign w:val="center"/>
          </w:tcPr>
          <w:p w14:paraId="499A535A">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401" w:type="pct"/>
            <w:noWrap w:val="0"/>
            <w:vAlign w:val="center"/>
          </w:tcPr>
          <w:p w14:paraId="64C97484">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457" w:type="pct"/>
            <w:noWrap w:val="0"/>
            <w:vAlign w:val="center"/>
          </w:tcPr>
          <w:p w14:paraId="45922B84">
            <w:pPr>
              <w:spacing w:line="240" w:lineRule="auto"/>
              <w:ind w:firstLine="0" w:firstLineChars="0"/>
              <w:jc w:val="center"/>
              <w:rPr>
                <w:rFonts w:hint="eastAsia" w:ascii="宋体" w:hAnsi="宋体" w:eastAsia="宋体" w:cs="宋体"/>
                <w:b/>
                <w:color w:val="000000"/>
                <w:sz w:val="21"/>
                <w:szCs w:val="21"/>
                <w:u w:val="none"/>
                <w:lang w:val="en-US" w:eastAsia="zh-CN"/>
              </w:rPr>
            </w:pPr>
          </w:p>
        </w:tc>
      </w:tr>
      <w:tr w14:paraId="7B55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202" w:type="pct"/>
            <w:vMerge w:val="continue"/>
            <w:noWrap w:val="0"/>
            <w:vAlign w:val="center"/>
          </w:tcPr>
          <w:p w14:paraId="36614FAC">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5863DE65">
            <w:pPr>
              <w:spacing w:line="240" w:lineRule="auto"/>
              <w:ind w:firstLine="0" w:firstLineChars="0"/>
              <w:jc w:val="center"/>
              <w:rPr>
                <w:rFonts w:hint="eastAsia" w:ascii="宋体" w:hAnsi="宋体" w:eastAsia="宋体" w:cs="宋体"/>
                <w:sz w:val="21"/>
                <w:szCs w:val="21"/>
              </w:rPr>
            </w:pPr>
          </w:p>
        </w:tc>
        <w:tc>
          <w:tcPr>
            <w:tcW w:w="355" w:type="pct"/>
            <w:vMerge w:val="continue"/>
            <w:noWrap w:val="0"/>
            <w:vAlign w:val="center"/>
          </w:tcPr>
          <w:p w14:paraId="289AD517">
            <w:pPr>
              <w:spacing w:line="240" w:lineRule="auto"/>
              <w:ind w:firstLine="0" w:firstLineChars="0"/>
              <w:jc w:val="center"/>
              <w:rPr>
                <w:rFonts w:hint="eastAsia" w:ascii="宋体" w:hAnsi="宋体" w:eastAsia="宋体" w:cs="宋体"/>
                <w:b/>
                <w:sz w:val="21"/>
                <w:szCs w:val="21"/>
              </w:rPr>
            </w:pPr>
          </w:p>
        </w:tc>
        <w:tc>
          <w:tcPr>
            <w:tcW w:w="312" w:type="pct"/>
            <w:noWrap w:val="0"/>
            <w:vAlign w:val="center"/>
          </w:tcPr>
          <w:p w14:paraId="52295F56">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color w:val="000000"/>
                <w:sz w:val="21"/>
                <w:szCs w:val="21"/>
                <w:u w:val="none"/>
              </w:rPr>
              <w:t>乳粉</w:t>
            </w:r>
          </w:p>
        </w:tc>
        <w:tc>
          <w:tcPr>
            <w:tcW w:w="537" w:type="pct"/>
            <w:noWrap w:val="0"/>
            <w:vAlign w:val="center"/>
          </w:tcPr>
          <w:p w14:paraId="70D3CEFC">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乳粉（全脂、脱脂、部分脱脂）和调制乳粉</w:t>
            </w:r>
          </w:p>
        </w:tc>
        <w:tc>
          <w:tcPr>
            <w:tcW w:w="1524" w:type="pct"/>
            <w:noWrap w:val="0"/>
            <w:vAlign w:val="center"/>
          </w:tcPr>
          <w:p w14:paraId="1EE4AF21">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蛋白质、脂肪、水分、三聚氰胺、</w:t>
            </w:r>
            <w:r>
              <w:rPr>
                <w:rFonts w:hint="eastAsia" w:ascii="宋体" w:hAnsi="宋体" w:eastAsia="宋体" w:cs="宋体"/>
                <w:sz w:val="21"/>
                <w:szCs w:val="21"/>
              </w:rPr>
              <w:t>铅（以Pb计）、</w:t>
            </w:r>
            <w:r>
              <w:rPr>
                <w:rFonts w:hint="eastAsia" w:ascii="宋体" w:hAnsi="宋体" w:eastAsia="宋体" w:cs="宋体"/>
                <w:sz w:val="21"/>
                <w:szCs w:val="21"/>
                <w:lang w:eastAsia="zh-CN"/>
              </w:rPr>
              <w:t>复原乳酸度、杂质度、</w:t>
            </w:r>
            <w:r>
              <w:rPr>
                <w:rFonts w:hint="eastAsia" w:ascii="宋体" w:hAnsi="宋体" w:eastAsia="宋体" w:cs="宋体"/>
                <w:color w:val="000000"/>
                <w:sz w:val="21"/>
                <w:szCs w:val="21"/>
                <w:u w:val="none"/>
              </w:rPr>
              <w:t>菌落总数、大肠菌群</w:t>
            </w:r>
          </w:p>
        </w:tc>
        <w:tc>
          <w:tcPr>
            <w:tcW w:w="283" w:type="pct"/>
            <w:noWrap w:val="0"/>
            <w:vAlign w:val="center"/>
          </w:tcPr>
          <w:p w14:paraId="68EB12FF">
            <w:pPr>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b/>
                <w:color w:val="000000"/>
                <w:sz w:val="21"/>
                <w:szCs w:val="21"/>
                <w:u w:val="none"/>
                <w:lang w:val="en-US" w:eastAsia="zh-CN"/>
              </w:rPr>
              <w:t>2</w:t>
            </w:r>
          </w:p>
        </w:tc>
        <w:tc>
          <w:tcPr>
            <w:tcW w:w="336" w:type="pct"/>
            <w:noWrap w:val="0"/>
            <w:vAlign w:val="center"/>
          </w:tcPr>
          <w:p w14:paraId="1058C59B">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262" w:type="pct"/>
            <w:noWrap w:val="0"/>
            <w:vAlign w:val="center"/>
          </w:tcPr>
          <w:p w14:paraId="4C8A0BE1">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401" w:type="pct"/>
            <w:noWrap w:val="0"/>
            <w:vAlign w:val="center"/>
          </w:tcPr>
          <w:p w14:paraId="50A85FFB">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457" w:type="pct"/>
            <w:noWrap w:val="0"/>
            <w:vAlign w:val="center"/>
          </w:tcPr>
          <w:p w14:paraId="07269137">
            <w:pPr>
              <w:spacing w:line="240" w:lineRule="auto"/>
              <w:ind w:firstLine="0" w:firstLineChars="0"/>
              <w:jc w:val="center"/>
              <w:rPr>
                <w:rFonts w:hint="eastAsia" w:ascii="宋体" w:hAnsi="宋体" w:eastAsia="宋体" w:cs="宋体"/>
                <w:b/>
                <w:color w:val="000000"/>
                <w:sz w:val="21"/>
                <w:szCs w:val="21"/>
                <w:u w:val="none"/>
                <w:lang w:val="en-US" w:eastAsia="zh-CN"/>
              </w:rPr>
            </w:pPr>
          </w:p>
        </w:tc>
      </w:tr>
      <w:tr w14:paraId="3DBF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202" w:type="pct"/>
            <w:vMerge w:val="continue"/>
            <w:noWrap w:val="0"/>
            <w:vAlign w:val="center"/>
          </w:tcPr>
          <w:p w14:paraId="4B24B10A">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3FC7A1DB">
            <w:pPr>
              <w:spacing w:line="240" w:lineRule="auto"/>
              <w:ind w:firstLine="0" w:firstLineChars="0"/>
              <w:jc w:val="center"/>
              <w:rPr>
                <w:rFonts w:hint="eastAsia" w:ascii="宋体" w:hAnsi="宋体" w:eastAsia="宋体" w:cs="宋体"/>
                <w:sz w:val="21"/>
                <w:szCs w:val="21"/>
              </w:rPr>
            </w:pPr>
          </w:p>
        </w:tc>
        <w:tc>
          <w:tcPr>
            <w:tcW w:w="355" w:type="pct"/>
            <w:vMerge w:val="continue"/>
            <w:noWrap w:val="0"/>
            <w:vAlign w:val="center"/>
          </w:tcPr>
          <w:p w14:paraId="58DFAA20">
            <w:pPr>
              <w:spacing w:line="240" w:lineRule="auto"/>
              <w:ind w:firstLine="0" w:firstLineChars="0"/>
              <w:jc w:val="center"/>
              <w:rPr>
                <w:rFonts w:hint="eastAsia" w:ascii="宋体" w:hAnsi="宋体" w:eastAsia="宋体" w:cs="宋体"/>
                <w:b/>
                <w:sz w:val="21"/>
                <w:szCs w:val="21"/>
              </w:rPr>
            </w:pPr>
          </w:p>
        </w:tc>
        <w:tc>
          <w:tcPr>
            <w:tcW w:w="312" w:type="pct"/>
            <w:vMerge w:val="restart"/>
            <w:noWrap w:val="0"/>
            <w:vAlign w:val="center"/>
          </w:tcPr>
          <w:p w14:paraId="212682BC">
            <w:pPr>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lang w:eastAsia="zh-CN"/>
              </w:rPr>
              <w:t>其他乳制品</w:t>
            </w:r>
          </w:p>
        </w:tc>
        <w:tc>
          <w:tcPr>
            <w:tcW w:w="537" w:type="pct"/>
            <w:noWrap w:val="0"/>
            <w:vAlign w:val="center"/>
          </w:tcPr>
          <w:p w14:paraId="4FC8345F">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lang w:eastAsia="zh-CN"/>
              </w:rPr>
              <w:t>干酪、再制干酪、干酪制品</w:t>
            </w:r>
          </w:p>
        </w:tc>
        <w:tc>
          <w:tcPr>
            <w:tcW w:w="1524" w:type="pct"/>
            <w:noWrap w:val="0"/>
            <w:vAlign w:val="center"/>
          </w:tcPr>
          <w:p w14:paraId="2DB62E34">
            <w:pPr>
              <w:spacing w:line="240" w:lineRule="auto"/>
              <w:ind w:firstLine="0" w:firstLineChars="0"/>
              <w:jc w:val="left"/>
              <w:textAlignment w:val="center"/>
              <w:rPr>
                <w:rFonts w:hint="eastAsia" w:ascii="宋体" w:hAnsi="宋体" w:eastAsia="宋体" w:cs="宋体"/>
                <w:sz w:val="21"/>
                <w:szCs w:val="21"/>
                <w:lang w:val="en-US" w:eastAsia="zh-CN"/>
              </w:rPr>
            </w:pPr>
            <w:r>
              <w:rPr>
                <w:rFonts w:hint="eastAsia" w:ascii="宋体" w:hAnsi="宋体" w:eastAsia="宋体" w:cs="宋体"/>
                <w:color w:val="000000"/>
                <w:sz w:val="21"/>
                <w:szCs w:val="21"/>
                <w:u w:val="none"/>
                <w:lang w:eastAsia="zh-CN"/>
              </w:rPr>
              <w:t>三聚氰胺、金黄色葡萄球菌、沙门氏菌、单核细胞增生李斯特氏菌、菌落总数（不适用于添加活性菌种（好氧和兼性厌氧益生菌）的产品）、大肠菌群、霉菌</w:t>
            </w:r>
          </w:p>
        </w:tc>
        <w:tc>
          <w:tcPr>
            <w:tcW w:w="283" w:type="pct"/>
            <w:noWrap w:val="0"/>
            <w:vAlign w:val="center"/>
          </w:tcPr>
          <w:p w14:paraId="42071031">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color w:val="000000"/>
                <w:sz w:val="21"/>
                <w:szCs w:val="21"/>
                <w:u w:val="none"/>
                <w:lang w:val="en-US" w:eastAsia="zh-CN"/>
              </w:rPr>
              <w:t>2</w:t>
            </w:r>
          </w:p>
        </w:tc>
        <w:tc>
          <w:tcPr>
            <w:tcW w:w="336" w:type="pct"/>
            <w:noWrap w:val="0"/>
            <w:vAlign w:val="center"/>
          </w:tcPr>
          <w:p w14:paraId="6EC23278">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262" w:type="pct"/>
            <w:noWrap w:val="0"/>
            <w:vAlign w:val="center"/>
          </w:tcPr>
          <w:p w14:paraId="57546958">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401" w:type="pct"/>
            <w:noWrap w:val="0"/>
            <w:vAlign w:val="center"/>
          </w:tcPr>
          <w:p w14:paraId="25D10D4C">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457" w:type="pct"/>
            <w:noWrap w:val="0"/>
            <w:vAlign w:val="center"/>
          </w:tcPr>
          <w:p w14:paraId="172FFD44">
            <w:pPr>
              <w:spacing w:line="240" w:lineRule="auto"/>
              <w:ind w:firstLine="0" w:firstLineChars="0"/>
              <w:jc w:val="center"/>
              <w:rPr>
                <w:rFonts w:hint="eastAsia" w:ascii="宋体" w:hAnsi="宋体" w:eastAsia="宋体" w:cs="宋体"/>
                <w:b/>
                <w:color w:val="000000"/>
                <w:sz w:val="21"/>
                <w:szCs w:val="21"/>
                <w:u w:val="none"/>
                <w:lang w:val="en-US" w:eastAsia="zh-CN"/>
              </w:rPr>
            </w:pPr>
          </w:p>
        </w:tc>
      </w:tr>
      <w:tr w14:paraId="149D7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02" w:type="pct"/>
            <w:vMerge w:val="continue"/>
            <w:noWrap w:val="0"/>
            <w:vAlign w:val="center"/>
          </w:tcPr>
          <w:p w14:paraId="76E4C7BF">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5D502745">
            <w:pPr>
              <w:spacing w:line="240" w:lineRule="auto"/>
              <w:ind w:firstLine="0" w:firstLineChars="0"/>
              <w:jc w:val="center"/>
              <w:rPr>
                <w:rFonts w:hint="eastAsia" w:ascii="宋体" w:hAnsi="宋体" w:eastAsia="宋体" w:cs="宋体"/>
                <w:sz w:val="21"/>
                <w:szCs w:val="21"/>
              </w:rPr>
            </w:pPr>
          </w:p>
        </w:tc>
        <w:tc>
          <w:tcPr>
            <w:tcW w:w="355" w:type="pct"/>
            <w:vMerge w:val="continue"/>
            <w:noWrap w:val="0"/>
            <w:vAlign w:val="center"/>
          </w:tcPr>
          <w:p w14:paraId="78FB185A">
            <w:pPr>
              <w:spacing w:line="240" w:lineRule="auto"/>
              <w:ind w:firstLine="0" w:firstLineChars="0"/>
              <w:jc w:val="center"/>
              <w:rPr>
                <w:rFonts w:hint="eastAsia" w:ascii="宋体" w:hAnsi="宋体" w:eastAsia="宋体" w:cs="宋体"/>
                <w:b/>
                <w:sz w:val="21"/>
                <w:szCs w:val="21"/>
              </w:rPr>
            </w:pPr>
          </w:p>
        </w:tc>
        <w:tc>
          <w:tcPr>
            <w:tcW w:w="312" w:type="pct"/>
            <w:vMerge w:val="continue"/>
            <w:noWrap w:val="0"/>
            <w:vAlign w:val="center"/>
          </w:tcPr>
          <w:p w14:paraId="653D1132">
            <w:pPr>
              <w:spacing w:line="240" w:lineRule="auto"/>
              <w:ind w:firstLine="0" w:firstLineChars="0"/>
              <w:jc w:val="center"/>
              <w:rPr>
                <w:rFonts w:hint="eastAsia" w:ascii="宋体" w:hAnsi="宋体" w:eastAsia="宋体" w:cs="宋体"/>
                <w:sz w:val="21"/>
                <w:szCs w:val="21"/>
              </w:rPr>
            </w:pPr>
          </w:p>
        </w:tc>
        <w:tc>
          <w:tcPr>
            <w:tcW w:w="537" w:type="pct"/>
            <w:noWrap w:val="0"/>
            <w:vAlign w:val="center"/>
          </w:tcPr>
          <w:p w14:paraId="44F69DFC">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lang w:eastAsia="zh-CN"/>
              </w:rPr>
              <w:t>奶片、奶条等固态成型产品</w:t>
            </w:r>
          </w:p>
        </w:tc>
        <w:tc>
          <w:tcPr>
            <w:tcW w:w="1524" w:type="pct"/>
            <w:noWrap w:val="0"/>
            <w:vAlign w:val="center"/>
          </w:tcPr>
          <w:p w14:paraId="4CA79B5C">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lang w:eastAsia="zh-CN"/>
              </w:rPr>
              <w:t>蛋白质、脱氢乙酸及其钠盐（以脱氢乙酸计）、三聚氰胺、沙门氏菌</w:t>
            </w:r>
          </w:p>
        </w:tc>
        <w:tc>
          <w:tcPr>
            <w:tcW w:w="283" w:type="pct"/>
            <w:noWrap w:val="0"/>
            <w:vAlign w:val="center"/>
          </w:tcPr>
          <w:p w14:paraId="01D62D60">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color w:val="000000"/>
                <w:sz w:val="21"/>
                <w:szCs w:val="21"/>
                <w:u w:val="none"/>
                <w:lang w:val="en-US" w:eastAsia="zh-CN"/>
              </w:rPr>
              <w:t>4</w:t>
            </w:r>
          </w:p>
        </w:tc>
        <w:tc>
          <w:tcPr>
            <w:tcW w:w="336" w:type="pct"/>
            <w:noWrap w:val="0"/>
            <w:vAlign w:val="center"/>
          </w:tcPr>
          <w:p w14:paraId="6F7B5FDC">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262" w:type="pct"/>
            <w:noWrap w:val="0"/>
            <w:vAlign w:val="center"/>
          </w:tcPr>
          <w:p w14:paraId="495959C0">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401" w:type="pct"/>
            <w:noWrap w:val="0"/>
            <w:vAlign w:val="center"/>
          </w:tcPr>
          <w:p w14:paraId="7F80464A">
            <w:pPr>
              <w:spacing w:line="240" w:lineRule="auto"/>
              <w:ind w:firstLine="0" w:firstLineChars="0"/>
              <w:jc w:val="center"/>
              <w:rPr>
                <w:rFonts w:hint="eastAsia" w:ascii="宋体" w:hAnsi="宋体" w:eastAsia="宋体" w:cs="宋体"/>
                <w:b/>
                <w:color w:val="000000"/>
                <w:sz w:val="21"/>
                <w:szCs w:val="21"/>
                <w:u w:val="none"/>
                <w:lang w:val="en-US" w:eastAsia="zh-CN"/>
              </w:rPr>
            </w:pPr>
          </w:p>
        </w:tc>
        <w:tc>
          <w:tcPr>
            <w:tcW w:w="457" w:type="pct"/>
            <w:noWrap w:val="0"/>
            <w:vAlign w:val="center"/>
          </w:tcPr>
          <w:p w14:paraId="186B6F1E">
            <w:pPr>
              <w:spacing w:line="240" w:lineRule="auto"/>
              <w:ind w:firstLine="0" w:firstLineChars="0"/>
              <w:jc w:val="center"/>
              <w:rPr>
                <w:rFonts w:hint="eastAsia" w:ascii="宋体" w:hAnsi="宋体" w:eastAsia="宋体" w:cs="宋体"/>
                <w:b/>
                <w:color w:val="000000"/>
                <w:sz w:val="21"/>
                <w:szCs w:val="21"/>
                <w:u w:val="none"/>
                <w:lang w:val="en-US" w:eastAsia="zh-CN"/>
              </w:rPr>
            </w:pPr>
          </w:p>
        </w:tc>
      </w:tr>
      <w:tr w14:paraId="3AB25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2" w:type="pct"/>
            <w:noWrap w:val="0"/>
            <w:vAlign w:val="center"/>
          </w:tcPr>
          <w:p w14:paraId="645B922A">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3</w:t>
            </w:r>
          </w:p>
        </w:tc>
        <w:tc>
          <w:tcPr>
            <w:tcW w:w="328" w:type="pct"/>
            <w:noWrap w:val="0"/>
            <w:vAlign w:val="center"/>
          </w:tcPr>
          <w:p w14:paraId="25EDBE07">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食用油、油脂及其制品</w:t>
            </w:r>
          </w:p>
        </w:tc>
        <w:tc>
          <w:tcPr>
            <w:tcW w:w="355" w:type="pct"/>
            <w:noWrap w:val="0"/>
            <w:vAlign w:val="center"/>
          </w:tcPr>
          <w:p w14:paraId="41D0D79F">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食用植物油</w:t>
            </w:r>
          </w:p>
        </w:tc>
        <w:tc>
          <w:tcPr>
            <w:tcW w:w="312" w:type="pct"/>
            <w:noWrap w:val="0"/>
            <w:vAlign w:val="center"/>
          </w:tcPr>
          <w:p w14:paraId="7D65A0C1">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食用植物油</w:t>
            </w:r>
          </w:p>
        </w:tc>
        <w:tc>
          <w:tcPr>
            <w:tcW w:w="537" w:type="pct"/>
            <w:noWrap w:val="0"/>
            <w:vAlign w:val="center"/>
          </w:tcPr>
          <w:p w14:paraId="23FB3368">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花生油、大豆油、芝麻油、菜籽油、葵花籽油、玉米油、核桃油、食用植物调和油等</w:t>
            </w:r>
          </w:p>
        </w:tc>
        <w:tc>
          <w:tcPr>
            <w:tcW w:w="1524" w:type="pct"/>
            <w:noWrap w:val="0"/>
            <w:vAlign w:val="center"/>
          </w:tcPr>
          <w:p w14:paraId="1B81A54B">
            <w:pPr>
              <w:widowControl/>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酸值</w:t>
            </w:r>
            <w:r>
              <w:rPr>
                <w:rFonts w:hint="eastAsia" w:ascii="宋体" w:hAnsi="宋体" w:eastAsia="宋体" w:cs="宋体"/>
                <w:sz w:val="21"/>
                <w:szCs w:val="21"/>
                <w:lang w:val="en-US" w:eastAsia="zh-CN"/>
              </w:rPr>
              <w:t>/</w:t>
            </w:r>
            <w:r>
              <w:rPr>
                <w:rFonts w:hint="eastAsia" w:ascii="宋体" w:hAnsi="宋体" w:eastAsia="宋体" w:cs="宋体"/>
                <w:sz w:val="21"/>
                <w:szCs w:val="21"/>
              </w:rPr>
              <w:t>酸价、过氧化值、铅（以Pb计）、溶剂残留量、乙基麦芽酚、黄曲霉毒素B1、苯并〔a〕芘</w:t>
            </w:r>
            <w:r>
              <w:rPr>
                <w:rFonts w:hint="eastAsia" w:ascii="宋体" w:hAnsi="宋体" w:eastAsia="宋体" w:cs="宋体"/>
                <w:sz w:val="21"/>
                <w:szCs w:val="21"/>
                <w:lang w:eastAsia="zh-CN"/>
              </w:rPr>
              <w:t>、特丁基对苯二酚</w:t>
            </w:r>
          </w:p>
        </w:tc>
        <w:tc>
          <w:tcPr>
            <w:tcW w:w="283" w:type="pct"/>
            <w:noWrap w:val="0"/>
            <w:vAlign w:val="center"/>
          </w:tcPr>
          <w:p w14:paraId="55D611B7">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15</w:t>
            </w:r>
          </w:p>
        </w:tc>
        <w:tc>
          <w:tcPr>
            <w:tcW w:w="336" w:type="pct"/>
            <w:noWrap w:val="0"/>
            <w:vAlign w:val="center"/>
          </w:tcPr>
          <w:p w14:paraId="3D3AE5F2">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70878477">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37833634">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767BE0F7">
            <w:pPr>
              <w:spacing w:line="240" w:lineRule="auto"/>
              <w:ind w:firstLine="0" w:firstLineChars="0"/>
              <w:jc w:val="center"/>
              <w:rPr>
                <w:rFonts w:hint="eastAsia" w:ascii="宋体" w:hAnsi="宋体" w:eastAsia="宋体" w:cs="宋体"/>
                <w:b/>
                <w:sz w:val="21"/>
                <w:szCs w:val="21"/>
                <w:lang w:val="en-US" w:eastAsia="zh-CN"/>
              </w:rPr>
            </w:pPr>
          </w:p>
        </w:tc>
      </w:tr>
      <w:tr w14:paraId="5A1F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7" w:hRule="atLeast"/>
        </w:trPr>
        <w:tc>
          <w:tcPr>
            <w:tcW w:w="202" w:type="pct"/>
            <w:vMerge w:val="restart"/>
            <w:noWrap w:val="0"/>
            <w:vAlign w:val="center"/>
          </w:tcPr>
          <w:p w14:paraId="545561E7">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4</w:t>
            </w:r>
          </w:p>
        </w:tc>
        <w:tc>
          <w:tcPr>
            <w:tcW w:w="328" w:type="pct"/>
            <w:vMerge w:val="restart"/>
            <w:noWrap w:val="0"/>
            <w:vAlign w:val="center"/>
          </w:tcPr>
          <w:p w14:paraId="7B147224">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肉制品</w:t>
            </w:r>
          </w:p>
        </w:tc>
        <w:tc>
          <w:tcPr>
            <w:tcW w:w="355" w:type="pct"/>
            <w:vMerge w:val="restart"/>
            <w:noWrap w:val="0"/>
            <w:vAlign w:val="center"/>
          </w:tcPr>
          <w:p w14:paraId="23BAFEBB">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熟肉制品</w:t>
            </w:r>
          </w:p>
        </w:tc>
        <w:tc>
          <w:tcPr>
            <w:tcW w:w="312" w:type="pct"/>
            <w:vMerge w:val="restart"/>
            <w:noWrap w:val="0"/>
            <w:vAlign w:val="center"/>
          </w:tcPr>
          <w:p w14:paraId="4C1DDD3E">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酱卤肉制品</w:t>
            </w:r>
          </w:p>
        </w:tc>
        <w:tc>
          <w:tcPr>
            <w:tcW w:w="537" w:type="pct"/>
            <w:noWrap w:val="0"/>
            <w:vAlign w:val="center"/>
          </w:tcPr>
          <w:p w14:paraId="18BBD604">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酱卤肉制品</w:t>
            </w:r>
          </w:p>
        </w:tc>
        <w:tc>
          <w:tcPr>
            <w:tcW w:w="1524" w:type="pct"/>
            <w:noWrap w:val="0"/>
            <w:vAlign w:val="center"/>
          </w:tcPr>
          <w:p w14:paraId="0CDCA082">
            <w:pPr>
              <w:spacing w:line="240" w:lineRule="auto"/>
              <w:ind w:firstLine="0" w:firstLineChars="0"/>
              <w:jc w:val="left"/>
              <w:textAlignment w:val="center"/>
              <w:rPr>
                <w:rFonts w:hint="eastAsia" w:ascii="宋体" w:hAnsi="宋体" w:eastAsia="宋体" w:cs="宋体"/>
                <w:sz w:val="21"/>
                <w:szCs w:val="21"/>
                <w:lang w:val="en-US" w:eastAsia="zh-CN"/>
              </w:rPr>
            </w:pPr>
            <w:r>
              <w:rPr>
                <w:rFonts w:hint="eastAsia" w:ascii="宋体" w:hAnsi="宋体" w:eastAsia="宋体" w:cs="宋体"/>
                <w:sz w:val="21"/>
                <w:szCs w:val="21"/>
              </w:rPr>
              <w:t>亚硝酸盐（以亚硝酸计）、苯甲酸及其钠盐（以苯甲酸计）、山梨酸及其钾盐（以山梨酸计）、脱氢乙酸及其钠盐（以脱氢乙酸计）、防腐剂混合使用时各自用量占其最大使用量的比例之和、菌落总数、大肠菌群、沙门氏菌、金黄色葡萄球菌、单核细胞增生李斯特氏菌、</w:t>
            </w:r>
            <w:r>
              <w:rPr>
                <w:rFonts w:hint="eastAsia" w:ascii="宋体" w:hAnsi="宋体" w:eastAsia="宋体" w:cs="宋体"/>
                <w:sz w:val="21"/>
                <w:szCs w:val="21"/>
                <w:lang w:eastAsia="zh-CN"/>
              </w:rPr>
              <w:t>致泻大肠埃希氏菌、</w:t>
            </w:r>
            <w:r>
              <w:rPr>
                <w:rFonts w:hint="eastAsia" w:ascii="宋体" w:hAnsi="宋体" w:eastAsia="宋体" w:cs="宋体"/>
                <w:sz w:val="21"/>
                <w:szCs w:val="21"/>
              </w:rPr>
              <w:t>糖精钠（以糖精计）</w:t>
            </w:r>
            <w:r>
              <w:rPr>
                <w:rFonts w:hint="eastAsia" w:ascii="宋体" w:hAnsi="宋体" w:eastAsia="宋体" w:cs="宋体"/>
                <w:sz w:val="21"/>
                <w:szCs w:val="21"/>
                <w:lang w:eastAsia="zh-CN"/>
              </w:rPr>
              <w:t>、</w:t>
            </w:r>
            <w:r>
              <w:rPr>
                <w:rFonts w:hint="eastAsia" w:ascii="宋体" w:hAnsi="宋体" w:eastAsia="宋体" w:cs="宋体"/>
                <w:sz w:val="21"/>
                <w:szCs w:val="21"/>
              </w:rPr>
              <w:t>铬（以Cr计）、总砷（以As计）、镉（以Cd计）、</w:t>
            </w:r>
            <w:r>
              <w:rPr>
                <w:rFonts w:hint="eastAsia" w:ascii="宋体" w:hAnsi="宋体" w:eastAsia="宋体" w:cs="宋体"/>
                <w:sz w:val="21"/>
                <w:szCs w:val="21"/>
                <w:lang w:eastAsia="zh-CN"/>
              </w:rPr>
              <w:t>合成着色剂</w:t>
            </w:r>
            <w:r>
              <w:rPr>
                <w:rFonts w:hint="eastAsia" w:ascii="宋体" w:hAnsi="宋体" w:eastAsia="宋体" w:cs="宋体"/>
                <w:sz w:val="21"/>
                <w:szCs w:val="21"/>
              </w:rPr>
              <w:t>（柠檬黄、日落黄、胭脂红、诱惑红）</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 xml:space="preserve">N-二甲基亚硝胺、纳他霉素、氯霉素                        </w:t>
            </w:r>
          </w:p>
        </w:tc>
        <w:tc>
          <w:tcPr>
            <w:tcW w:w="283" w:type="pct"/>
            <w:noWrap w:val="0"/>
            <w:vAlign w:val="center"/>
          </w:tcPr>
          <w:p w14:paraId="241AEE49">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12</w:t>
            </w:r>
          </w:p>
        </w:tc>
        <w:tc>
          <w:tcPr>
            <w:tcW w:w="336" w:type="pct"/>
            <w:noWrap w:val="0"/>
            <w:vAlign w:val="center"/>
          </w:tcPr>
          <w:p w14:paraId="0D9C2D0B">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3DB2570B">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4F6037CB">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702F254B">
            <w:pPr>
              <w:spacing w:line="240" w:lineRule="auto"/>
              <w:ind w:firstLine="0" w:firstLineChars="0"/>
              <w:jc w:val="center"/>
              <w:rPr>
                <w:rFonts w:hint="eastAsia" w:ascii="宋体" w:hAnsi="宋体" w:eastAsia="宋体" w:cs="宋体"/>
                <w:b/>
                <w:sz w:val="21"/>
                <w:szCs w:val="21"/>
                <w:lang w:val="en-US" w:eastAsia="zh-CN"/>
              </w:rPr>
            </w:pPr>
          </w:p>
        </w:tc>
      </w:tr>
      <w:tr w14:paraId="49550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02" w:type="pct"/>
            <w:vMerge w:val="continue"/>
            <w:noWrap w:val="0"/>
            <w:vAlign w:val="center"/>
          </w:tcPr>
          <w:p w14:paraId="41877B6A">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01871549">
            <w:pPr>
              <w:widowControl/>
              <w:spacing w:line="240" w:lineRule="auto"/>
              <w:ind w:firstLine="0" w:firstLineChars="0"/>
              <w:jc w:val="center"/>
              <w:textAlignment w:val="center"/>
              <w:rPr>
                <w:rFonts w:hint="eastAsia" w:ascii="宋体" w:hAnsi="宋体" w:eastAsia="宋体" w:cs="宋体"/>
                <w:sz w:val="21"/>
                <w:szCs w:val="21"/>
              </w:rPr>
            </w:pPr>
          </w:p>
        </w:tc>
        <w:tc>
          <w:tcPr>
            <w:tcW w:w="355" w:type="pct"/>
            <w:vMerge w:val="continue"/>
            <w:noWrap w:val="0"/>
            <w:vAlign w:val="center"/>
          </w:tcPr>
          <w:p w14:paraId="2A45474B">
            <w:pPr>
              <w:spacing w:line="240" w:lineRule="auto"/>
              <w:ind w:firstLine="0" w:firstLineChars="0"/>
              <w:jc w:val="center"/>
              <w:textAlignment w:val="center"/>
              <w:rPr>
                <w:rFonts w:hint="eastAsia" w:ascii="宋体" w:hAnsi="宋体" w:eastAsia="宋体" w:cs="宋体"/>
                <w:sz w:val="21"/>
                <w:szCs w:val="21"/>
              </w:rPr>
            </w:pPr>
          </w:p>
        </w:tc>
        <w:tc>
          <w:tcPr>
            <w:tcW w:w="312" w:type="pct"/>
            <w:vMerge w:val="continue"/>
            <w:noWrap w:val="0"/>
            <w:vAlign w:val="center"/>
          </w:tcPr>
          <w:p w14:paraId="010ABF1D">
            <w:pPr>
              <w:spacing w:line="240" w:lineRule="auto"/>
              <w:ind w:firstLine="0" w:firstLineChars="0"/>
              <w:jc w:val="center"/>
              <w:textAlignment w:val="center"/>
              <w:rPr>
                <w:rFonts w:hint="eastAsia" w:ascii="宋体" w:hAnsi="宋体" w:eastAsia="宋体" w:cs="宋体"/>
                <w:sz w:val="21"/>
                <w:szCs w:val="21"/>
              </w:rPr>
            </w:pPr>
          </w:p>
        </w:tc>
        <w:tc>
          <w:tcPr>
            <w:tcW w:w="537" w:type="pct"/>
            <w:noWrap w:val="0"/>
            <w:vAlign w:val="center"/>
          </w:tcPr>
          <w:p w14:paraId="049ECBEE">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rPr>
              <w:t>酱卤肉制品</w:t>
            </w:r>
            <w:r>
              <w:rPr>
                <w:rFonts w:hint="eastAsia" w:ascii="宋体" w:hAnsi="宋体" w:eastAsia="宋体" w:cs="宋体"/>
                <w:sz w:val="21"/>
                <w:szCs w:val="21"/>
                <w:lang w:eastAsia="zh-CN"/>
              </w:rPr>
              <w:t>（牛肉）</w:t>
            </w:r>
          </w:p>
        </w:tc>
        <w:tc>
          <w:tcPr>
            <w:tcW w:w="1524" w:type="pct"/>
            <w:noWrap w:val="0"/>
            <w:vAlign w:val="center"/>
          </w:tcPr>
          <w:p w14:paraId="610EEBB2">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肉源性检测</w:t>
            </w:r>
          </w:p>
        </w:tc>
        <w:tc>
          <w:tcPr>
            <w:tcW w:w="283" w:type="pct"/>
            <w:noWrap w:val="0"/>
            <w:vAlign w:val="center"/>
          </w:tcPr>
          <w:p w14:paraId="413925D6">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8</w:t>
            </w:r>
          </w:p>
        </w:tc>
        <w:tc>
          <w:tcPr>
            <w:tcW w:w="336" w:type="pct"/>
            <w:noWrap w:val="0"/>
            <w:vAlign w:val="center"/>
          </w:tcPr>
          <w:p w14:paraId="4349C85B">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1AC237D7">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3EFB5B66">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5C3DA381">
            <w:pPr>
              <w:spacing w:line="240" w:lineRule="auto"/>
              <w:ind w:firstLine="0" w:firstLineChars="0"/>
              <w:jc w:val="center"/>
              <w:rPr>
                <w:rFonts w:hint="eastAsia" w:ascii="宋体" w:hAnsi="宋体" w:eastAsia="宋体" w:cs="宋体"/>
                <w:b/>
                <w:sz w:val="21"/>
                <w:szCs w:val="21"/>
                <w:lang w:val="en-US" w:eastAsia="zh-CN"/>
              </w:rPr>
            </w:pPr>
          </w:p>
        </w:tc>
      </w:tr>
      <w:tr w14:paraId="7A619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1" w:hRule="atLeast"/>
        </w:trPr>
        <w:tc>
          <w:tcPr>
            <w:tcW w:w="202" w:type="pct"/>
            <w:vMerge w:val="restart"/>
            <w:noWrap w:val="0"/>
            <w:vAlign w:val="center"/>
          </w:tcPr>
          <w:p w14:paraId="520F0EEF">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5</w:t>
            </w:r>
          </w:p>
        </w:tc>
        <w:tc>
          <w:tcPr>
            <w:tcW w:w="328" w:type="pct"/>
            <w:vMerge w:val="restart"/>
            <w:noWrap w:val="0"/>
            <w:vAlign w:val="center"/>
          </w:tcPr>
          <w:p w14:paraId="5CDE9C97">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炒货食品及坚果制品</w:t>
            </w:r>
          </w:p>
        </w:tc>
        <w:tc>
          <w:tcPr>
            <w:tcW w:w="355" w:type="pct"/>
            <w:vMerge w:val="restart"/>
            <w:noWrap w:val="0"/>
            <w:vAlign w:val="center"/>
          </w:tcPr>
          <w:p w14:paraId="55628219">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炒货食品及坚果制品</w:t>
            </w:r>
          </w:p>
        </w:tc>
        <w:tc>
          <w:tcPr>
            <w:tcW w:w="312" w:type="pct"/>
            <w:noWrap w:val="0"/>
            <w:vAlign w:val="center"/>
          </w:tcPr>
          <w:p w14:paraId="09425696">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炒货食品及坚果制品（烘炒类、油炸类、其他类）</w:t>
            </w:r>
          </w:p>
        </w:tc>
        <w:tc>
          <w:tcPr>
            <w:tcW w:w="537" w:type="pct"/>
            <w:noWrap w:val="0"/>
            <w:vAlign w:val="center"/>
          </w:tcPr>
          <w:p w14:paraId="1EDC51DD">
            <w:pPr>
              <w:spacing w:line="240" w:lineRule="auto"/>
              <w:ind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开心果、杏仁、扁桃仁、松仁、瓜子等</w:t>
            </w:r>
          </w:p>
        </w:tc>
        <w:tc>
          <w:tcPr>
            <w:tcW w:w="1524" w:type="pct"/>
            <w:noWrap w:val="0"/>
            <w:vAlign w:val="center"/>
          </w:tcPr>
          <w:p w14:paraId="444751E8">
            <w:pPr>
              <w:spacing w:line="229" w:lineRule="exact"/>
              <w:ind w:firstLine="0" w:firstLineChars="0"/>
              <w:jc w:val="left"/>
              <w:rPr>
                <w:rFonts w:hint="eastAsia" w:ascii="宋体" w:hAnsi="宋体" w:eastAsia="宋体" w:cs="宋体"/>
                <w:sz w:val="21"/>
                <w:szCs w:val="21"/>
              </w:rPr>
            </w:pPr>
            <w:r>
              <w:rPr>
                <w:rFonts w:hint="eastAsia" w:ascii="宋体" w:hAnsi="宋体" w:eastAsia="宋体" w:cs="宋体"/>
                <w:sz w:val="21"/>
                <w:szCs w:val="21"/>
              </w:rPr>
              <w:t>铅（以Pb计）、</w:t>
            </w:r>
            <w:r>
              <w:rPr>
                <w:rFonts w:hint="eastAsia" w:ascii="宋体" w:hAnsi="宋体" w:eastAsia="宋体" w:cs="宋体"/>
                <w:bCs/>
                <w:sz w:val="21"/>
                <w:szCs w:val="21"/>
              </w:rPr>
              <w:t>酸价</w:t>
            </w:r>
            <w:r>
              <w:rPr>
                <w:rFonts w:hint="eastAsia" w:ascii="宋体" w:hAnsi="宋体" w:eastAsia="宋体" w:cs="宋体"/>
                <w:sz w:val="21"/>
                <w:szCs w:val="21"/>
              </w:rPr>
              <w:t>（以脂肪计）、过氧化值（以脂肪计）、糖精钠（以糖精计）、甜蜜素（以环己基氨基磺酸计）</w:t>
            </w:r>
          </w:p>
          <w:p w14:paraId="53BEFB9E">
            <w:pPr>
              <w:spacing w:line="240" w:lineRule="auto"/>
              <w:ind w:firstLine="0" w:firstLineChars="0"/>
              <w:jc w:val="left"/>
              <w:textAlignment w:val="center"/>
              <w:rPr>
                <w:rFonts w:hint="eastAsia" w:ascii="宋体" w:hAnsi="宋体" w:eastAsia="宋体" w:cs="宋体"/>
                <w:kern w:val="0"/>
                <w:sz w:val="21"/>
                <w:szCs w:val="21"/>
              </w:rPr>
            </w:pPr>
            <w:r>
              <w:rPr>
                <w:rFonts w:hint="eastAsia" w:ascii="宋体" w:hAnsi="宋体" w:eastAsia="宋体" w:cs="宋体"/>
                <w:sz w:val="21"/>
                <w:szCs w:val="21"/>
              </w:rPr>
              <w:t>、黄曲霉毒素B1、大肠菌群、霉菌（仅限炒货工艺加工的熟制产品检测）、二氧化硫残留量、脱氢乙酸及其钠盐（以脱氢乙酸计）、苯甲酸及其钠盐（以苯甲酸计）、山梨酸及其钾盐（以山梨酸计）</w:t>
            </w:r>
          </w:p>
        </w:tc>
        <w:tc>
          <w:tcPr>
            <w:tcW w:w="283" w:type="pct"/>
            <w:noWrap w:val="0"/>
            <w:vAlign w:val="center"/>
          </w:tcPr>
          <w:p w14:paraId="28D59AA6">
            <w:pPr>
              <w:spacing w:line="240" w:lineRule="auto"/>
              <w:ind w:firstLine="0" w:firstLineChars="0"/>
              <w:jc w:val="center"/>
              <w:textAlignment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8</w:t>
            </w:r>
          </w:p>
        </w:tc>
        <w:tc>
          <w:tcPr>
            <w:tcW w:w="336" w:type="pct"/>
            <w:noWrap w:val="0"/>
            <w:vAlign w:val="center"/>
          </w:tcPr>
          <w:p w14:paraId="48239498">
            <w:pPr>
              <w:spacing w:line="240" w:lineRule="auto"/>
              <w:ind w:firstLine="0" w:firstLineChars="0"/>
              <w:jc w:val="center"/>
              <w:textAlignment w:val="center"/>
              <w:rPr>
                <w:rFonts w:hint="eastAsia" w:ascii="宋体" w:hAnsi="宋体" w:eastAsia="宋体" w:cs="宋体"/>
                <w:b/>
                <w:sz w:val="21"/>
                <w:szCs w:val="21"/>
                <w:lang w:val="en-US" w:eastAsia="zh-CN"/>
              </w:rPr>
            </w:pPr>
          </w:p>
        </w:tc>
        <w:tc>
          <w:tcPr>
            <w:tcW w:w="262" w:type="pct"/>
            <w:noWrap w:val="0"/>
            <w:vAlign w:val="center"/>
          </w:tcPr>
          <w:p w14:paraId="7E5B23F8">
            <w:pPr>
              <w:spacing w:line="240" w:lineRule="auto"/>
              <w:ind w:firstLine="0" w:firstLineChars="0"/>
              <w:jc w:val="center"/>
              <w:textAlignment w:val="center"/>
              <w:rPr>
                <w:rFonts w:hint="eastAsia" w:ascii="宋体" w:hAnsi="宋体" w:eastAsia="宋体" w:cs="宋体"/>
                <w:b/>
                <w:sz w:val="21"/>
                <w:szCs w:val="21"/>
                <w:lang w:val="en-US" w:eastAsia="zh-CN"/>
              </w:rPr>
            </w:pPr>
          </w:p>
        </w:tc>
        <w:tc>
          <w:tcPr>
            <w:tcW w:w="401" w:type="pct"/>
            <w:noWrap w:val="0"/>
            <w:vAlign w:val="center"/>
          </w:tcPr>
          <w:p w14:paraId="5B29A1B0">
            <w:pPr>
              <w:spacing w:line="240" w:lineRule="auto"/>
              <w:ind w:firstLine="0" w:firstLineChars="0"/>
              <w:jc w:val="center"/>
              <w:textAlignment w:val="center"/>
              <w:rPr>
                <w:rFonts w:hint="eastAsia" w:ascii="宋体" w:hAnsi="宋体" w:eastAsia="宋体" w:cs="宋体"/>
                <w:b/>
                <w:sz w:val="21"/>
                <w:szCs w:val="21"/>
                <w:lang w:val="en-US" w:eastAsia="zh-CN"/>
              </w:rPr>
            </w:pPr>
          </w:p>
        </w:tc>
        <w:tc>
          <w:tcPr>
            <w:tcW w:w="457" w:type="pct"/>
            <w:noWrap w:val="0"/>
            <w:vAlign w:val="center"/>
          </w:tcPr>
          <w:p w14:paraId="728C3DF6">
            <w:pPr>
              <w:spacing w:line="240" w:lineRule="auto"/>
              <w:ind w:firstLine="0" w:firstLineChars="0"/>
              <w:jc w:val="center"/>
              <w:textAlignment w:val="center"/>
              <w:rPr>
                <w:rFonts w:hint="eastAsia" w:ascii="宋体" w:hAnsi="宋体" w:eastAsia="宋体" w:cs="宋体"/>
                <w:b/>
                <w:sz w:val="21"/>
                <w:szCs w:val="21"/>
                <w:lang w:val="en-US" w:eastAsia="zh-CN"/>
              </w:rPr>
            </w:pPr>
          </w:p>
        </w:tc>
      </w:tr>
      <w:tr w14:paraId="11734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202" w:type="pct"/>
            <w:vMerge w:val="continue"/>
            <w:noWrap w:val="0"/>
            <w:vAlign w:val="center"/>
          </w:tcPr>
          <w:p w14:paraId="3F044538">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3FDEA786">
            <w:pPr>
              <w:spacing w:line="240" w:lineRule="auto"/>
              <w:ind w:firstLine="0" w:firstLineChars="0"/>
              <w:jc w:val="center"/>
              <w:textAlignment w:val="center"/>
              <w:rPr>
                <w:rFonts w:hint="eastAsia" w:ascii="宋体" w:hAnsi="宋体" w:eastAsia="宋体" w:cs="宋体"/>
                <w:kern w:val="0"/>
                <w:sz w:val="21"/>
                <w:szCs w:val="21"/>
              </w:rPr>
            </w:pPr>
          </w:p>
        </w:tc>
        <w:tc>
          <w:tcPr>
            <w:tcW w:w="355" w:type="pct"/>
            <w:vMerge w:val="continue"/>
            <w:noWrap w:val="0"/>
            <w:vAlign w:val="center"/>
          </w:tcPr>
          <w:p w14:paraId="11BCB979">
            <w:pPr>
              <w:spacing w:line="240" w:lineRule="auto"/>
              <w:ind w:firstLine="0" w:firstLineChars="0"/>
              <w:jc w:val="center"/>
              <w:textAlignment w:val="center"/>
              <w:rPr>
                <w:rFonts w:hint="eastAsia" w:ascii="宋体" w:hAnsi="宋体" w:eastAsia="宋体" w:cs="宋体"/>
                <w:kern w:val="0"/>
                <w:sz w:val="21"/>
                <w:szCs w:val="21"/>
              </w:rPr>
            </w:pPr>
          </w:p>
        </w:tc>
        <w:tc>
          <w:tcPr>
            <w:tcW w:w="312" w:type="pct"/>
            <w:noWrap w:val="0"/>
            <w:vAlign w:val="center"/>
          </w:tcPr>
          <w:p w14:paraId="67DA1255">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炒货食品及坚果制品（烘炒类、油炸类、其他类）</w:t>
            </w:r>
          </w:p>
        </w:tc>
        <w:tc>
          <w:tcPr>
            <w:tcW w:w="537" w:type="pct"/>
            <w:noWrap w:val="0"/>
            <w:vAlign w:val="center"/>
          </w:tcPr>
          <w:p w14:paraId="44EFA1C8">
            <w:pPr>
              <w:spacing w:line="240" w:lineRule="auto"/>
              <w:ind w:firstLine="0" w:firstLineChars="0"/>
              <w:textAlignment w:val="center"/>
              <w:rPr>
                <w:rFonts w:hint="eastAsia" w:ascii="宋体" w:hAnsi="宋体" w:eastAsia="宋体" w:cs="宋体"/>
                <w:kern w:val="0"/>
                <w:sz w:val="21"/>
                <w:szCs w:val="21"/>
              </w:rPr>
            </w:pPr>
            <w:r>
              <w:rPr>
                <w:rFonts w:hint="eastAsia" w:ascii="宋体" w:hAnsi="宋体" w:eastAsia="宋体" w:cs="宋体"/>
                <w:kern w:val="0"/>
                <w:sz w:val="21"/>
                <w:szCs w:val="21"/>
              </w:rPr>
              <w:t>其他炒货食品及坚果制品（花生、核桃、板栗等）</w:t>
            </w:r>
          </w:p>
        </w:tc>
        <w:tc>
          <w:tcPr>
            <w:tcW w:w="1524" w:type="pct"/>
            <w:noWrap w:val="0"/>
            <w:vAlign w:val="center"/>
          </w:tcPr>
          <w:p w14:paraId="1F003110">
            <w:pPr>
              <w:spacing w:line="229" w:lineRule="exact"/>
              <w:ind w:firstLine="0" w:firstLineChars="0"/>
              <w:jc w:val="left"/>
              <w:rPr>
                <w:rFonts w:hint="eastAsia" w:ascii="宋体" w:hAnsi="宋体" w:eastAsia="宋体" w:cs="宋体"/>
                <w:sz w:val="21"/>
                <w:szCs w:val="21"/>
              </w:rPr>
            </w:pPr>
            <w:r>
              <w:rPr>
                <w:rFonts w:hint="eastAsia" w:ascii="宋体" w:hAnsi="宋体" w:eastAsia="宋体" w:cs="宋体"/>
                <w:sz w:val="21"/>
                <w:szCs w:val="21"/>
              </w:rPr>
              <w:t>铅（以Pb计）、</w:t>
            </w:r>
            <w:r>
              <w:rPr>
                <w:rFonts w:hint="eastAsia" w:ascii="宋体" w:hAnsi="宋体" w:eastAsia="宋体" w:cs="宋体"/>
                <w:bCs/>
                <w:sz w:val="21"/>
                <w:szCs w:val="21"/>
              </w:rPr>
              <w:t>酸价</w:t>
            </w:r>
            <w:r>
              <w:rPr>
                <w:rFonts w:hint="eastAsia" w:ascii="宋体" w:hAnsi="宋体" w:eastAsia="宋体" w:cs="宋体"/>
                <w:sz w:val="21"/>
                <w:szCs w:val="21"/>
              </w:rPr>
              <w:t>（以脂肪计）、过氧化值（以脂肪计）、糖精钠（以糖精计）、甜蜜素（以环己基氨基磺酸计）</w:t>
            </w:r>
          </w:p>
          <w:p w14:paraId="69615E22">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sz w:val="21"/>
                <w:szCs w:val="21"/>
              </w:rPr>
              <w:t>、黄曲霉毒素B1、大肠菌群、霉菌（仅限炒货工艺加工的熟制产品检测）、二氧化硫残留量、脱氢乙酸及其钠盐（以脱氢乙酸计）、苯甲酸及其钠盐（以苯甲酸计）、山梨酸及其钾盐（以山梨酸计）</w:t>
            </w:r>
            <w:r>
              <w:rPr>
                <w:rFonts w:hint="eastAsia" w:ascii="宋体" w:hAnsi="宋体" w:eastAsia="宋体" w:cs="宋体"/>
                <w:sz w:val="21"/>
                <w:szCs w:val="21"/>
                <w:lang w:eastAsia="zh-CN"/>
              </w:rPr>
              <w:t>、安赛蜜</w:t>
            </w:r>
          </w:p>
        </w:tc>
        <w:tc>
          <w:tcPr>
            <w:tcW w:w="283" w:type="pct"/>
            <w:noWrap w:val="0"/>
            <w:vAlign w:val="center"/>
          </w:tcPr>
          <w:p w14:paraId="5896D0CC">
            <w:pPr>
              <w:spacing w:line="240" w:lineRule="auto"/>
              <w:ind w:firstLine="0" w:firstLineChars="0"/>
              <w:jc w:val="center"/>
              <w:textAlignment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4</w:t>
            </w:r>
          </w:p>
        </w:tc>
        <w:tc>
          <w:tcPr>
            <w:tcW w:w="336" w:type="pct"/>
            <w:noWrap w:val="0"/>
            <w:vAlign w:val="center"/>
          </w:tcPr>
          <w:p w14:paraId="1D4AF35F">
            <w:pPr>
              <w:spacing w:line="240" w:lineRule="auto"/>
              <w:ind w:firstLine="0" w:firstLineChars="0"/>
              <w:jc w:val="center"/>
              <w:textAlignment w:val="center"/>
              <w:rPr>
                <w:rFonts w:hint="eastAsia" w:ascii="宋体" w:hAnsi="宋体" w:eastAsia="宋体" w:cs="宋体"/>
                <w:b/>
                <w:sz w:val="21"/>
                <w:szCs w:val="21"/>
                <w:lang w:val="en-US" w:eastAsia="zh-CN"/>
              </w:rPr>
            </w:pPr>
          </w:p>
        </w:tc>
        <w:tc>
          <w:tcPr>
            <w:tcW w:w="262" w:type="pct"/>
            <w:noWrap w:val="0"/>
            <w:vAlign w:val="center"/>
          </w:tcPr>
          <w:p w14:paraId="322CF998">
            <w:pPr>
              <w:spacing w:line="240" w:lineRule="auto"/>
              <w:ind w:firstLine="0" w:firstLineChars="0"/>
              <w:jc w:val="center"/>
              <w:textAlignment w:val="center"/>
              <w:rPr>
                <w:rFonts w:hint="eastAsia" w:ascii="宋体" w:hAnsi="宋体" w:eastAsia="宋体" w:cs="宋体"/>
                <w:b/>
                <w:sz w:val="21"/>
                <w:szCs w:val="21"/>
                <w:lang w:val="en-US" w:eastAsia="zh-CN"/>
              </w:rPr>
            </w:pPr>
          </w:p>
        </w:tc>
        <w:tc>
          <w:tcPr>
            <w:tcW w:w="401" w:type="pct"/>
            <w:noWrap w:val="0"/>
            <w:vAlign w:val="center"/>
          </w:tcPr>
          <w:p w14:paraId="2B944126">
            <w:pPr>
              <w:spacing w:line="240" w:lineRule="auto"/>
              <w:ind w:firstLine="0" w:firstLineChars="0"/>
              <w:jc w:val="center"/>
              <w:textAlignment w:val="center"/>
              <w:rPr>
                <w:rFonts w:hint="eastAsia" w:ascii="宋体" w:hAnsi="宋体" w:eastAsia="宋体" w:cs="宋体"/>
                <w:b/>
                <w:sz w:val="21"/>
                <w:szCs w:val="21"/>
                <w:lang w:val="en-US" w:eastAsia="zh-CN"/>
              </w:rPr>
            </w:pPr>
          </w:p>
        </w:tc>
        <w:tc>
          <w:tcPr>
            <w:tcW w:w="457" w:type="pct"/>
            <w:noWrap w:val="0"/>
            <w:vAlign w:val="center"/>
          </w:tcPr>
          <w:p w14:paraId="1DF669B2">
            <w:pPr>
              <w:spacing w:line="240" w:lineRule="auto"/>
              <w:ind w:firstLine="0" w:firstLineChars="0"/>
              <w:jc w:val="center"/>
              <w:textAlignment w:val="center"/>
              <w:rPr>
                <w:rFonts w:hint="eastAsia" w:ascii="宋体" w:hAnsi="宋体" w:eastAsia="宋体" w:cs="宋体"/>
                <w:b/>
                <w:sz w:val="21"/>
                <w:szCs w:val="21"/>
                <w:lang w:val="en-US" w:eastAsia="zh-CN"/>
              </w:rPr>
            </w:pPr>
          </w:p>
        </w:tc>
      </w:tr>
      <w:tr w14:paraId="2DB9F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3" w:hRule="atLeast"/>
        </w:trPr>
        <w:tc>
          <w:tcPr>
            <w:tcW w:w="202" w:type="pct"/>
            <w:noWrap w:val="0"/>
            <w:vAlign w:val="center"/>
          </w:tcPr>
          <w:p w14:paraId="47D64A92">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6</w:t>
            </w:r>
          </w:p>
        </w:tc>
        <w:tc>
          <w:tcPr>
            <w:tcW w:w="328" w:type="pct"/>
            <w:noWrap w:val="0"/>
            <w:vAlign w:val="center"/>
          </w:tcPr>
          <w:p w14:paraId="0C571EC7">
            <w:pPr>
              <w:widowControl/>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饼干</w:t>
            </w:r>
          </w:p>
        </w:tc>
        <w:tc>
          <w:tcPr>
            <w:tcW w:w="355" w:type="pct"/>
            <w:noWrap w:val="0"/>
            <w:vAlign w:val="center"/>
          </w:tcPr>
          <w:p w14:paraId="21437781">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饼干</w:t>
            </w:r>
          </w:p>
        </w:tc>
        <w:tc>
          <w:tcPr>
            <w:tcW w:w="312" w:type="pct"/>
            <w:noWrap w:val="0"/>
            <w:vAlign w:val="center"/>
          </w:tcPr>
          <w:p w14:paraId="6C67E3A9">
            <w:pPr>
              <w:widowControl/>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饼干</w:t>
            </w:r>
          </w:p>
        </w:tc>
        <w:tc>
          <w:tcPr>
            <w:tcW w:w="537" w:type="pct"/>
            <w:noWrap w:val="0"/>
            <w:vAlign w:val="center"/>
          </w:tcPr>
          <w:p w14:paraId="48602952">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饼干</w:t>
            </w:r>
          </w:p>
        </w:tc>
        <w:tc>
          <w:tcPr>
            <w:tcW w:w="1524" w:type="pct"/>
            <w:noWrap w:val="0"/>
            <w:vAlign w:val="center"/>
          </w:tcPr>
          <w:p w14:paraId="2D50A191">
            <w:pPr>
              <w:spacing w:line="229" w:lineRule="exact"/>
              <w:ind w:left="20" w:firstLine="0" w:firstLineChars="0"/>
              <w:rPr>
                <w:rFonts w:hint="eastAsia" w:ascii="宋体" w:hAnsi="宋体" w:eastAsia="宋体" w:cs="宋体"/>
                <w:kern w:val="0"/>
                <w:sz w:val="21"/>
                <w:szCs w:val="21"/>
                <w:lang w:eastAsia="zh-CN"/>
              </w:rPr>
            </w:pPr>
            <w:r>
              <w:rPr>
                <w:rFonts w:hint="eastAsia" w:ascii="宋体" w:hAnsi="宋体" w:eastAsia="宋体" w:cs="宋体"/>
                <w:bCs/>
                <w:sz w:val="21"/>
                <w:szCs w:val="21"/>
                <w:lang w:eastAsia="zh-CN"/>
              </w:rPr>
              <w:t>酸价（以脂肪计）（</w:t>
            </w:r>
            <w:r>
              <w:rPr>
                <w:rFonts w:hint="eastAsia" w:ascii="宋体" w:hAnsi="宋体" w:eastAsia="宋体" w:cs="宋体"/>
                <w:bCs/>
                <w:sz w:val="21"/>
                <w:szCs w:val="21"/>
                <w:lang w:val="en-US" w:eastAsia="zh-CN"/>
              </w:rPr>
              <w:t>KOH</w:t>
            </w:r>
            <w:r>
              <w:rPr>
                <w:rFonts w:hint="eastAsia" w:ascii="宋体" w:hAnsi="宋体" w:eastAsia="宋体" w:cs="宋体"/>
                <w:bCs/>
                <w:sz w:val="21"/>
                <w:szCs w:val="21"/>
                <w:lang w:eastAsia="zh-CN"/>
              </w:rPr>
              <w:t>）、</w:t>
            </w:r>
            <w:r>
              <w:rPr>
                <w:rFonts w:hint="eastAsia" w:ascii="宋体" w:hAnsi="宋体" w:eastAsia="宋体" w:cs="宋体"/>
                <w:bCs/>
                <w:sz w:val="21"/>
                <w:szCs w:val="21"/>
              </w:rPr>
              <w:t>过氧化值（以脂肪计）、</w:t>
            </w:r>
            <w:r>
              <w:rPr>
                <w:rFonts w:hint="eastAsia" w:ascii="宋体" w:hAnsi="宋体" w:eastAsia="宋体" w:cs="宋体"/>
                <w:color w:val="000000"/>
                <w:sz w:val="21"/>
                <w:szCs w:val="21"/>
                <w:u w:val="none"/>
              </w:rPr>
              <w:t>苯甲酸及其钠盐（以苯甲酸计）、</w:t>
            </w:r>
            <w:r>
              <w:rPr>
                <w:rFonts w:hint="eastAsia" w:ascii="宋体" w:hAnsi="宋体" w:eastAsia="宋体" w:cs="宋体"/>
                <w:sz w:val="21"/>
                <w:szCs w:val="21"/>
              </w:rPr>
              <w:t>山梨酸及其钾盐（以山梨酸计）、脱氢乙酸及其钠盐（以脱氢乙酸计）、糖精钠（以糖精计）、甜蜜素（以环己基氨基磺酸计）</w:t>
            </w:r>
            <w:r>
              <w:rPr>
                <w:rFonts w:hint="eastAsia" w:ascii="宋体" w:hAnsi="宋体" w:eastAsia="宋体" w:cs="宋体"/>
                <w:sz w:val="21"/>
                <w:szCs w:val="21"/>
                <w:lang w:eastAsia="zh-CN"/>
              </w:rPr>
              <w:t>、</w:t>
            </w:r>
            <w:r>
              <w:rPr>
                <w:rFonts w:hint="eastAsia" w:ascii="宋体" w:hAnsi="宋体" w:eastAsia="宋体" w:cs="宋体"/>
                <w:sz w:val="21"/>
                <w:szCs w:val="21"/>
              </w:rPr>
              <w:t>铝的残留量（干样品、以AI计）、二氧化硫残留量、合成着色剂（</w:t>
            </w:r>
            <w:r>
              <w:rPr>
                <w:rFonts w:hint="eastAsia" w:ascii="宋体" w:hAnsi="宋体" w:eastAsia="宋体" w:cs="宋体"/>
                <w:sz w:val="21"/>
                <w:szCs w:val="21"/>
                <w:lang w:eastAsia="zh-CN"/>
              </w:rPr>
              <w:t>柠檬黄、日落黄、胭脂红、苋菜红、亮蓝、靛蓝、诱惑红</w:t>
            </w: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sz w:val="21"/>
                <w:szCs w:val="21"/>
              </w:rPr>
              <w:t>菌落总数、</w:t>
            </w:r>
            <w:r>
              <w:rPr>
                <w:rFonts w:hint="eastAsia" w:ascii="宋体" w:hAnsi="宋体" w:eastAsia="宋体" w:cs="宋体"/>
                <w:sz w:val="21"/>
                <w:szCs w:val="21"/>
                <w:lang w:eastAsia="zh-CN"/>
              </w:rPr>
              <w:t>大肠菌群、</w:t>
            </w:r>
            <w:r>
              <w:rPr>
                <w:rFonts w:hint="eastAsia" w:ascii="宋体" w:hAnsi="宋体" w:eastAsia="宋体" w:cs="宋体"/>
                <w:sz w:val="21"/>
                <w:szCs w:val="21"/>
              </w:rPr>
              <w:t>霉菌、</w:t>
            </w:r>
            <w:r>
              <w:rPr>
                <w:rFonts w:hint="eastAsia" w:ascii="宋体" w:hAnsi="宋体" w:eastAsia="宋体" w:cs="宋体"/>
                <w:sz w:val="21"/>
                <w:szCs w:val="21"/>
                <w:lang w:eastAsia="zh-CN"/>
              </w:rPr>
              <w:t>沙门氏菌、金黄色葡萄球菌</w:t>
            </w:r>
          </w:p>
        </w:tc>
        <w:tc>
          <w:tcPr>
            <w:tcW w:w="283" w:type="pct"/>
            <w:noWrap w:val="0"/>
            <w:vAlign w:val="center"/>
          </w:tcPr>
          <w:p w14:paraId="62FE7726">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14</w:t>
            </w:r>
          </w:p>
        </w:tc>
        <w:tc>
          <w:tcPr>
            <w:tcW w:w="336" w:type="pct"/>
            <w:noWrap w:val="0"/>
            <w:vAlign w:val="center"/>
          </w:tcPr>
          <w:p w14:paraId="6B01AC66">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03D0C3EF">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2D4EDE44">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7E408261">
            <w:pPr>
              <w:spacing w:line="240" w:lineRule="auto"/>
              <w:ind w:firstLine="0" w:firstLineChars="0"/>
              <w:jc w:val="center"/>
              <w:rPr>
                <w:rFonts w:hint="eastAsia" w:ascii="宋体" w:hAnsi="宋体" w:eastAsia="宋体" w:cs="宋体"/>
                <w:b/>
                <w:sz w:val="21"/>
                <w:szCs w:val="21"/>
                <w:lang w:val="en-US" w:eastAsia="zh-CN"/>
              </w:rPr>
            </w:pPr>
          </w:p>
        </w:tc>
      </w:tr>
      <w:tr w14:paraId="1735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trPr>
        <w:tc>
          <w:tcPr>
            <w:tcW w:w="202" w:type="pct"/>
            <w:noWrap w:val="0"/>
            <w:vAlign w:val="center"/>
          </w:tcPr>
          <w:p w14:paraId="3260D1DE">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lang w:val="en-US" w:eastAsia="zh-CN"/>
              </w:rPr>
              <w:t>7</w:t>
            </w:r>
          </w:p>
        </w:tc>
        <w:tc>
          <w:tcPr>
            <w:tcW w:w="328" w:type="pct"/>
            <w:noWrap w:val="0"/>
            <w:vAlign w:val="center"/>
          </w:tcPr>
          <w:p w14:paraId="3D7CCA9F">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调味品</w:t>
            </w:r>
          </w:p>
        </w:tc>
        <w:tc>
          <w:tcPr>
            <w:tcW w:w="355" w:type="pct"/>
            <w:noWrap w:val="0"/>
            <w:vAlign w:val="center"/>
          </w:tcPr>
          <w:p w14:paraId="11C90886">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食醋</w:t>
            </w:r>
          </w:p>
        </w:tc>
        <w:tc>
          <w:tcPr>
            <w:tcW w:w="312" w:type="pct"/>
            <w:noWrap w:val="0"/>
            <w:vAlign w:val="center"/>
          </w:tcPr>
          <w:p w14:paraId="6556C71D">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食醋</w:t>
            </w:r>
          </w:p>
        </w:tc>
        <w:tc>
          <w:tcPr>
            <w:tcW w:w="537" w:type="pct"/>
            <w:noWrap w:val="0"/>
            <w:vAlign w:val="center"/>
          </w:tcPr>
          <w:p w14:paraId="73009C70">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固态发酵食醋、液态发酵食醋</w:t>
            </w:r>
          </w:p>
        </w:tc>
        <w:tc>
          <w:tcPr>
            <w:tcW w:w="1524" w:type="pct"/>
            <w:noWrap w:val="0"/>
            <w:vAlign w:val="center"/>
          </w:tcPr>
          <w:p w14:paraId="0CADFE0E">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总酸、苯甲酸及其钠盐（以苯甲酸计）、山梨酸及其钾盐（以山梨酸计）、脱氢乙酸及其钠盐（以脱氢乙酸计）、防腐剂混合使用时各自用量占其最大使用量的比例之和、菌落总数、对羟基苯甲酸酯类及其钠盐（以对羟基苯甲酸计）、不挥发酸（以乳酸计）、三氯蔗糖、糖精钠（以糖精计）、甜蜜素（以环己基氨基磺酸计）</w:t>
            </w:r>
          </w:p>
        </w:tc>
        <w:tc>
          <w:tcPr>
            <w:tcW w:w="283" w:type="pct"/>
            <w:noWrap w:val="0"/>
            <w:vAlign w:val="center"/>
          </w:tcPr>
          <w:p w14:paraId="1854440F">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336" w:type="pct"/>
            <w:noWrap w:val="0"/>
            <w:vAlign w:val="center"/>
          </w:tcPr>
          <w:p w14:paraId="028F0362">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6EC7F0DB">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34CDD715">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510F8B16">
            <w:pPr>
              <w:spacing w:line="240" w:lineRule="auto"/>
              <w:ind w:firstLine="0" w:firstLineChars="0"/>
              <w:jc w:val="center"/>
              <w:rPr>
                <w:rFonts w:hint="eastAsia" w:ascii="宋体" w:hAnsi="宋体" w:eastAsia="宋体" w:cs="宋体"/>
                <w:b/>
                <w:sz w:val="21"/>
                <w:szCs w:val="21"/>
              </w:rPr>
            </w:pPr>
          </w:p>
        </w:tc>
      </w:tr>
      <w:tr w14:paraId="73521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1" w:hRule="atLeast"/>
        </w:trPr>
        <w:tc>
          <w:tcPr>
            <w:tcW w:w="202" w:type="pct"/>
            <w:vMerge w:val="restart"/>
            <w:noWrap w:val="0"/>
            <w:vAlign w:val="center"/>
          </w:tcPr>
          <w:p w14:paraId="68F7471F">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7</w:t>
            </w:r>
          </w:p>
        </w:tc>
        <w:tc>
          <w:tcPr>
            <w:tcW w:w="328" w:type="pct"/>
            <w:vMerge w:val="restart"/>
            <w:noWrap w:val="0"/>
            <w:vAlign w:val="center"/>
          </w:tcPr>
          <w:p w14:paraId="0FB1DBDC">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lang w:eastAsia="zh-CN"/>
              </w:rPr>
              <w:t>调味品</w:t>
            </w:r>
          </w:p>
        </w:tc>
        <w:tc>
          <w:tcPr>
            <w:tcW w:w="355" w:type="pct"/>
            <w:noWrap w:val="0"/>
            <w:vAlign w:val="center"/>
          </w:tcPr>
          <w:p w14:paraId="6B4ED3B7">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酱油</w:t>
            </w:r>
          </w:p>
        </w:tc>
        <w:tc>
          <w:tcPr>
            <w:tcW w:w="312" w:type="pct"/>
            <w:noWrap w:val="0"/>
            <w:vAlign w:val="center"/>
          </w:tcPr>
          <w:p w14:paraId="20072D09">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酱油</w:t>
            </w:r>
          </w:p>
        </w:tc>
        <w:tc>
          <w:tcPr>
            <w:tcW w:w="537" w:type="pct"/>
            <w:noWrap w:val="0"/>
            <w:vAlign w:val="center"/>
          </w:tcPr>
          <w:p w14:paraId="5ACB7024">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高盐稀态发酵酱油（含固稀发酵酱油）和低盐固态发酵酱油</w:t>
            </w:r>
          </w:p>
        </w:tc>
        <w:tc>
          <w:tcPr>
            <w:tcW w:w="1524" w:type="pct"/>
            <w:noWrap w:val="0"/>
            <w:vAlign w:val="center"/>
          </w:tcPr>
          <w:p w14:paraId="7AA25AEF">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氨基酸态氮、全氮（以氮计）、铵盐（以占氨基酸态氮的百分比计）、苯甲酸及其钠盐（以苯甲酸计）、</w:t>
            </w:r>
            <w:r>
              <w:rPr>
                <w:rFonts w:hint="eastAsia" w:ascii="宋体" w:hAnsi="宋体" w:eastAsia="宋体" w:cs="宋体"/>
                <w:sz w:val="21"/>
                <w:szCs w:val="21"/>
              </w:rPr>
              <w:t>山梨酸及其钾盐（以山梨酸计）、脱氢乙酸及其钠盐（以脱氢乙酸计）、对羟基苯甲酸酯类及其钠盐（以对羟基苯甲酸计）、防腐剂混合使用时各自用量占其最大使用量的比例之和、糖精钠（以糖精计）、甜蜜素（以环己基氨基磺酸计）</w:t>
            </w:r>
            <w:r>
              <w:rPr>
                <w:rFonts w:hint="eastAsia" w:ascii="宋体" w:hAnsi="宋体" w:eastAsia="宋体" w:cs="宋体"/>
                <w:sz w:val="21"/>
                <w:szCs w:val="21"/>
                <w:lang w:eastAsia="zh-CN"/>
              </w:rPr>
              <w:t>、</w:t>
            </w:r>
            <w:r>
              <w:rPr>
                <w:rFonts w:hint="eastAsia" w:ascii="宋体" w:hAnsi="宋体" w:eastAsia="宋体" w:cs="宋体"/>
                <w:sz w:val="21"/>
                <w:szCs w:val="21"/>
              </w:rPr>
              <w:t>菌落总数、大肠菌群</w:t>
            </w:r>
          </w:p>
        </w:tc>
        <w:tc>
          <w:tcPr>
            <w:tcW w:w="283" w:type="pct"/>
            <w:noWrap w:val="0"/>
            <w:vAlign w:val="center"/>
          </w:tcPr>
          <w:p w14:paraId="53C40AE2">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336" w:type="pct"/>
            <w:noWrap w:val="0"/>
            <w:vAlign w:val="center"/>
          </w:tcPr>
          <w:p w14:paraId="17272C66">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67B83F64">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32187C0C">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51A0BC93">
            <w:pPr>
              <w:spacing w:line="240" w:lineRule="auto"/>
              <w:ind w:firstLine="0" w:firstLineChars="0"/>
              <w:jc w:val="center"/>
              <w:rPr>
                <w:rFonts w:hint="eastAsia" w:ascii="宋体" w:hAnsi="宋体" w:eastAsia="宋体" w:cs="宋体"/>
                <w:b/>
                <w:sz w:val="21"/>
                <w:szCs w:val="21"/>
              </w:rPr>
            </w:pPr>
          </w:p>
        </w:tc>
      </w:tr>
      <w:tr w14:paraId="5D1DE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202" w:type="pct"/>
            <w:vMerge w:val="continue"/>
            <w:noWrap w:val="0"/>
            <w:vAlign w:val="center"/>
          </w:tcPr>
          <w:p w14:paraId="33E828B4">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7FFBB30F">
            <w:pPr>
              <w:spacing w:line="240" w:lineRule="auto"/>
              <w:ind w:firstLine="0" w:firstLineChars="0"/>
              <w:jc w:val="center"/>
              <w:rPr>
                <w:rFonts w:hint="eastAsia" w:ascii="宋体" w:hAnsi="宋体" w:eastAsia="宋体" w:cs="宋体"/>
                <w:sz w:val="21"/>
                <w:szCs w:val="21"/>
              </w:rPr>
            </w:pPr>
          </w:p>
        </w:tc>
        <w:tc>
          <w:tcPr>
            <w:tcW w:w="355" w:type="pct"/>
            <w:noWrap w:val="0"/>
            <w:vAlign w:val="center"/>
          </w:tcPr>
          <w:p w14:paraId="34DDF2FD">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调味料酒</w:t>
            </w:r>
          </w:p>
        </w:tc>
        <w:tc>
          <w:tcPr>
            <w:tcW w:w="312" w:type="pct"/>
            <w:noWrap w:val="0"/>
            <w:vAlign w:val="center"/>
          </w:tcPr>
          <w:p w14:paraId="2E56A1D4">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调味料酒</w:t>
            </w:r>
          </w:p>
        </w:tc>
        <w:tc>
          <w:tcPr>
            <w:tcW w:w="537" w:type="pct"/>
            <w:noWrap w:val="0"/>
            <w:vAlign w:val="center"/>
          </w:tcPr>
          <w:p w14:paraId="26DA700B">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料酒</w:t>
            </w:r>
          </w:p>
        </w:tc>
        <w:tc>
          <w:tcPr>
            <w:tcW w:w="1524" w:type="pct"/>
            <w:noWrap w:val="0"/>
            <w:vAlign w:val="center"/>
          </w:tcPr>
          <w:p w14:paraId="0879982B">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氨基酸态氮（以氮计）、苯甲酸及其钠盐（以苯甲酸计）、</w:t>
            </w:r>
            <w:r>
              <w:rPr>
                <w:rFonts w:hint="eastAsia" w:ascii="宋体" w:hAnsi="宋体" w:eastAsia="宋体" w:cs="宋体"/>
                <w:sz w:val="21"/>
                <w:szCs w:val="21"/>
              </w:rPr>
              <w:t>山梨酸及其钾盐（以山梨酸计）、脱氢乙酸及其钠盐（以脱氢乙酸计）、三氯蔗糖、</w:t>
            </w:r>
            <w:r>
              <w:rPr>
                <w:rFonts w:hint="eastAsia" w:ascii="宋体" w:hAnsi="宋体" w:eastAsia="宋体" w:cs="宋体"/>
                <w:color w:val="000000"/>
                <w:sz w:val="21"/>
                <w:szCs w:val="21"/>
                <w:u w:val="none"/>
              </w:rPr>
              <w:t>甜蜜素（以环己基氨基磺酸计）</w:t>
            </w:r>
          </w:p>
        </w:tc>
        <w:tc>
          <w:tcPr>
            <w:tcW w:w="283" w:type="pct"/>
            <w:noWrap w:val="0"/>
            <w:vAlign w:val="center"/>
          </w:tcPr>
          <w:p w14:paraId="7DFB5E54">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336" w:type="pct"/>
            <w:noWrap w:val="0"/>
            <w:vAlign w:val="center"/>
          </w:tcPr>
          <w:p w14:paraId="17824AEF">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1D65D4DF">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3044DAEA">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56F9DF14">
            <w:pPr>
              <w:spacing w:line="240" w:lineRule="auto"/>
              <w:ind w:firstLine="0" w:firstLineChars="0"/>
              <w:jc w:val="center"/>
              <w:rPr>
                <w:rFonts w:hint="eastAsia" w:ascii="宋体" w:hAnsi="宋体" w:eastAsia="宋体" w:cs="宋体"/>
                <w:b/>
                <w:sz w:val="21"/>
                <w:szCs w:val="21"/>
              </w:rPr>
            </w:pPr>
          </w:p>
        </w:tc>
      </w:tr>
      <w:tr w14:paraId="74734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trPr>
        <w:tc>
          <w:tcPr>
            <w:tcW w:w="202" w:type="pct"/>
            <w:vMerge w:val="continue"/>
            <w:noWrap w:val="0"/>
            <w:vAlign w:val="center"/>
          </w:tcPr>
          <w:p w14:paraId="52069315">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3207474B">
            <w:pPr>
              <w:spacing w:line="240" w:lineRule="auto"/>
              <w:ind w:firstLine="0" w:firstLineChars="0"/>
              <w:jc w:val="center"/>
              <w:textAlignment w:val="center"/>
              <w:rPr>
                <w:rFonts w:hint="eastAsia" w:ascii="宋体" w:hAnsi="宋体" w:eastAsia="宋体" w:cs="宋体"/>
                <w:sz w:val="21"/>
                <w:szCs w:val="21"/>
              </w:rPr>
            </w:pPr>
          </w:p>
        </w:tc>
        <w:tc>
          <w:tcPr>
            <w:tcW w:w="355" w:type="pct"/>
            <w:noWrap w:val="0"/>
            <w:vAlign w:val="center"/>
          </w:tcPr>
          <w:p w14:paraId="2B08B326">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香辛料类</w:t>
            </w:r>
          </w:p>
        </w:tc>
        <w:tc>
          <w:tcPr>
            <w:tcW w:w="312" w:type="pct"/>
            <w:noWrap w:val="0"/>
            <w:vAlign w:val="center"/>
          </w:tcPr>
          <w:p w14:paraId="20AC2468">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香辛料类</w:t>
            </w:r>
          </w:p>
        </w:tc>
        <w:tc>
          <w:tcPr>
            <w:tcW w:w="537" w:type="pct"/>
            <w:noWrap w:val="0"/>
            <w:vAlign w:val="center"/>
          </w:tcPr>
          <w:p w14:paraId="6DFB2469">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rPr>
              <w:t>香辛料调味品（花椒、花椒粉</w:t>
            </w:r>
            <w:r>
              <w:rPr>
                <w:rFonts w:hint="eastAsia" w:ascii="宋体" w:hAnsi="宋体" w:eastAsia="宋体" w:cs="宋体"/>
                <w:color w:val="000000"/>
                <w:sz w:val="21"/>
                <w:szCs w:val="21"/>
                <w:u w:val="none"/>
                <w:lang w:eastAsia="zh-CN"/>
              </w:rPr>
              <w:t>、</w:t>
            </w:r>
            <w:r>
              <w:rPr>
                <w:rFonts w:hint="eastAsia" w:ascii="宋体" w:hAnsi="宋体" w:eastAsia="宋体" w:cs="宋体"/>
                <w:color w:val="000000"/>
                <w:sz w:val="21"/>
                <w:szCs w:val="21"/>
                <w:u w:val="none"/>
              </w:rPr>
              <w:t>辣椒粉、干辣椒</w:t>
            </w:r>
            <w:r>
              <w:rPr>
                <w:rFonts w:hint="eastAsia" w:ascii="宋体" w:hAnsi="宋体" w:eastAsia="宋体" w:cs="宋体"/>
                <w:color w:val="000000"/>
                <w:sz w:val="21"/>
                <w:szCs w:val="21"/>
                <w:u w:val="none"/>
                <w:lang w:eastAsia="zh-CN"/>
              </w:rPr>
              <w:t>）</w:t>
            </w:r>
          </w:p>
        </w:tc>
        <w:tc>
          <w:tcPr>
            <w:tcW w:w="1524" w:type="pct"/>
            <w:noWrap w:val="0"/>
            <w:vAlign w:val="center"/>
          </w:tcPr>
          <w:p w14:paraId="16A62B93">
            <w:pPr>
              <w:spacing w:line="240" w:lineRule="auto"/>
              <w:ind w:firstLine="0" w:firstLineChars="0"/>
              <w:jc w:val="left"/>
              <w:textAlignment w:val="center"/>
              <w:rPr>
                <w:rFonts w:hint="eastAsia" w:ascii="宋体" w:hAnsi="宋体" w:eastAsia="宋体" w:cs="宋体"/>
                <w:sz w:val="21"/>
                <w:szCs w:val="21"/>
                <w:lang w:val="en-US" w:eastAsia="zh-CN"/>
              </w:rPr>
            </w:pPr>
            <w:r>
              <w:rPr>
                <w:rFonts w:hint="eastAsia" w:ascii="宋体" w:hAnsi="宋体" w:eastAsia="宋体" w:cs="宋体"/>
                <w:sz w:val="21"/>
                <w:szCs w:val="21"/>
              </w:rPr>
              <w:t>铅（以Pb计）、脱氢乙酸及其钠盐（以脱氢乙酸计）、山梨酸及其钾盐（以山梨酸计）、二氧化硫残留量、苏丹红Ⅰ、苏丹红Ⅱ、苏丹红Ⅲ、苏丹红Ⅳ、合成着色剂（柠檬黄、日落黄、胭脂红）</w:t>
            </w:r>
            <w:r>
              <w:rPr>
                <w:rFonts w:hint="eastAsia" w:ascii="宋体" w:hAnsi="宋体" w:eastAsia="宋体" w:cs="宋体"/>
                <w:sz w:val="21"/>
                <w:szCs w:val="21"/>
                <w:lang w:eastAsia="zh-CN"/>
              </w:rPr>
              <w:t>、罗丹明</w:t>
            </w:r>
            <w:r>
              <w:rPr>
                <w:rFonts w:hint="eastAsia" w:ascii="宋体" w:hAnsi="宋体" w:eastAsia="宋体" w:cs="宋体"/>
                <w:sz w:val="21"/>
                <w:szCs w:val="21"/>
                <w:lang w:val="en-US" w:eastAsia="zh-CN"/>
              </w:rPr>
              <w:t>B</w:t>
            </w:r>
          </w:p>
        </w:tc>
        <w:tc>
          <w:tcPr>
            <w:tcW w:w="283" w:type="pct"/>
            <w:noWrap w:val="0"/>
            <w:vAlign w:val="center"/>
          </w:tcPr>
          <w:p w14:paraId="6D5E2F0F">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bCs w:val="0"/>
                <w:sz w:val="21"/>
                <w:szCs w:val="21"/>
                <w:lang w:val="en-US" w:eastAsia="zh-CN"/>
              </w:rPr>
              <w:t>5</w:t>
            </w:r>
          </w:p>
        </w:tc>
        <w:tc>
          <w:tcPr>
            <w:tcW w:w="336" w:type="pct"/>
            <w:noWrap w:val="0"/>
            <w:vAlign w:val="center"/>
          </w:tcPr>
          <w:p w14:paraId="660D0978">
            <w:pPr>
              <w:spacing w:line="240" w:lineRule="auto"/>
              <w:ind w:firstLine="0" w:firstLineChars="0"/>
              <w:jc w:val="center"/>
              <w:rPr>
                <w:rFonts w:hint="eastAsia" w:ascii="宋体" w:hAnsi="宋体" w:eastAsia="宋体" w:cs="宋体"/>
                <w:b/>
                <w:bCs w:val="0"/>
                <w:sz w:val="21"/>
                <w:szCs w:val="21"/>
                <w:lang w:val="en-US" w:eastAsia="zh-CN"/>
              </w:rPr>
            </w:pPr>
          </w:p>
        </w:tc>
        <w:tc>
          <w:tcPr>
            <w:tcW w:w="262" w:type="pct"/>
            <w:noWrap w:val="0"/>
            <w:vAlign w:val="center"/>
          </w:tcPr>
          <w:p w14:paraId="17299DA6">
            <w:pPr>
              <w:spacing w:line="240" w:lineRule="auto"/>
              <w:ind w:firstLine="0" w:firstLineChars="0"/>
              <w:jc w:val="center"/>
              <w:rPr>
                <w:rFonts w:hint="eastAsia" w:ascii="宋体" w:hAnsi="宋体" w:eastAsia="宋体" w:cs="宋体"/>
                <w:b/>
                <w:bCs w:val="0"/>
                <w:sz w:val="21"/>
                <w:szCs w:val="21"/>
                <w:lang w:val="en-US" w:eastAsia="zh-CN"/>
              </w:rPr>
            </w:pPr>
          </w:p>
        </w:tc>
        <w:tc>
          <w:tcPr>
            <w:tcW w:w="401" w:type="pct"/>
            <w:noWrap w:val="0"/>
            <w:vAlign w:val="center"/>
          </w:tcPr>
          <w:p w14:paraId="5909B0C5">
            <w:pPr>
              <w:spacing w:line="240" w:lineRule="auto"/>
              <w:ind w:firstLine="0" w:firstLineChars="0"/>
              <w:jc w:val="center"/>
              <w:rPr>
                <w:rFonts w:hint="eastAsia" w:ascii="宋体" w:hAnsi="宋体" w:eastAsia="宋体" w:cs="宋体"/>
                <w:b/>
                <w:bCs w:val="0"/>
                <w:sz w:val="21"/>
                <w:szCs w:val="21"/>
                <w:lang w:val="en-US" w:eastAsia="zh-CN"/>
              </w:rPr>
            </w:pPr>
          </w:p>
        </w:tc>
        <w:tc>
          <w:tcPr>
            <w:tcW w:w="457" w:type="pct"/>
            <w:noWrap w:val="0"/>
            <w:vAlign w:val="center"/>
          </w:tcPr>
          <w:p w14:paraId="17566888">
            <w:pPr>
              <w:spacing w:line="240" w:lineRule="auto"/>
              <w:ind w:firstLine="0" w:firstLineChars="0"/>
              <w:jc w:val="center"/>
              <w:rPr>
                <w:rFonts w:hint="eastAsia" w:ascii="宋体" w:hAnsi="宋体" w:eastAsia="宋体" w:cs="宋体"/>
                <w:b/>
                <w:bCs w:val="0"/>
                <w:sz w:val="21"/>
                <w:szCs w:val="21"/>
                <w:lang w:val="en-US" w:eastAsia="zh-CN"/>
              </w:rPr>
            </w:pPr>
          </w:p>
        </w:tc>
      </w:tr>
      <w:tr w14:paraId="1DDB1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202" w:type="pct"/>
            <w:vMerge w:val="continue"/>
            <w:noWrap w:val="0"/>
            <w:vAlign w:val="center"/>
          </w:tcPr>
          <w:p w14:paraId="35A4EA28">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725117F8">
            <w:pPr>
              <w:widowControl/>
              <w:spacing w:line="240" w:lineRule="auto"/>
              <w:ind w:firstLine="0" w:firstLineChars="0"/>
              <w:jc w:val="center"/>
              <w:textAlignment w:val="center"/>
              <w:rPr>
                <w:rFonts w:hint="eastAsia" w:ascii="宋体" w:hAnsi="宋体" w:eastAsia="宋体" w:cs="宋体"/>
                <w:sz w:val="21"/>
                <w:szCs w:val="21"/>
              </w:rPr>
            </w:pPr>
          </w:p>
        </w:tc>
        <w:tc>
          <w:tcPr>
            <w:tcW w:w="355" w:type="pct"/>
            <w:noWrap w:val="0"/>
            <w:vAlign w:val="center"/>
          </w:tcPr>
          <w:p w14:paraId="7FE19DFE">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味精</w:t>
            </w:r>
          </w:p>
        </w:tc>
        <w:tc>
          <w:tcPr>
            <w:tcW w:w="312" w:type="pct"/>
            <w:noWrap w:val="0"/>
            <w:vAlign w:val="center"/>
          </w:tcPr>
          <w:p w14:paraId="385640B6">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味精</w:t>
            </w:r>
          </w:p>
        </w:tc>
        <w:tc>
          <w:tcPr>
            <w:tcW w:w="537" w:type="pct"/>
            <w:noWrap w:val="0"/>
            <w:vAlign w:val="center"/>
          </w:tcPr>
          <w:p w14:paraId="4F2BEDA0">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味精</w:t>
            </w:r>
          </w:p>
        </w:tc>
        <w:tc>
          <w:tcPr>
            <w:tcW w:w="1524" w:type="pct"/>
            <w:noWrap w:val="0"/>
            <w:vAlign w:val="center"/>
          </w:tcPr>
          <w:p w14:paraId="2D2B779F">
            <w:pPr>
              <w:widowControl/>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谷氨酸钠、铅（以Pb计）</w:t>
            </w:r>
          </w:p>
        </w:tc>
        <w:tc>
          <w:tcPr>
            <w:tcW w:w="283" w:type="pct"/>
            <w:noWrap w:val="0"/>
            <w:vAlign w:val="center"/>
          </w:tcPr>
          <w:p w14:paraId="59491476">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1</w:t>
            </w:r>
          </w:p>
        </w:tc>
        <w:tc>
          <w:tcPr>
            <w:tcW w:w="336" w:type="pct"/>
            <w:noWrap w:val="0"/>
            <w:vAlign w:val="center"/>
          </w:tcPr>
          <w:p w14:paraId="01D5F79A">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414C742F">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3DFA8A3B">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605BB4A0">
            <w:pPr>
              <w:spacing w:line="240" w:lineRule="auto"/>
              <w:ind w:firstLine="0" w:firstLineChars="0"/>
              <w:jc w:val="center"/>
              <w:rPr>
                <w:rFonts w:hint="eastAsia" w:ascii="宋体" w:hAnsi="宋体" w:eastAsia="宋体" w:cs="宋体"/>
                <w:b/>
                <w:sz w:val="21"/>
                <w:szCs w:val="21"/>
                <w:lang w:val="en-US" w:eastAsia="zh-CN"/>
              </w:rPr>
            </w:pPr>
          </w:p>
        </w:tc>
      </w:tr>
      <w:tr w14:paraId="6E39A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202" w:type="pct"/>
            <w:vMerge w:val="continue"/>
            <w:noWrap w:val="0"/>
            <w:vAlign w:val="center"/>
          </w:tcPr>
          <w:p w14:paraId="086FC9A4">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22730A39">
            <w:pPr>
              <w:widowControl/>
              <w:spacing w:line="240" w:lineRule="auto"/>
              <w:ind w:firstLine="0" w:firstLineChars="0"/>
              <w:jc w:val="center"/>
              <w:textAlignment w:val="center"/>
              <w:rPr>
                <w:rFonts w:hint="eastAsia" w:ascii="宋体" w:hAnsi="宋体" w:eastAsia="宋体" w:cs="宋体"/>
                <w:sz w:val="21"/>
                <w:szCs w:val="21"/>
              </w:rPr>
            </w:pPr>
          </w:p>
        </w:tc>
        <w:tc>
          <w:tcPr>
            <w:tcW w:w="355" w:type="pct"/>
            <w:noWrap w:val="0"/>
            <w:vAlign w:val="center"/>
          </w:tcPr>
          <w:p w14:paraId="64C74081">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食用盐</w:t>
            </w:r>
          </w:p>
        </w:tc>
        <w:tc>
          <w:tcPr>
            <w:tcW w:w="312" w:type="pct"/>
            <w:noWrap w:val="0"/>
            <w:vAlign w:val="center"/>
          </w:tcPr>
          <w:p w14:paraId="69584B9D">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食用盐</w:t>
            </w:r>
          </w:p>
        </w:tc>
        <w:tc>
          <w:tcPr>
            <w:tcW w:w="537" w:type="pct"/>
            <w:noWrap w:val="0"/>
            <w:vAlign w:val="center"/>
          </w:tcPr>
          <w:p w14:paraId="70CDA503">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普通食用盐、低钠食用盐</w:t>
            </w:r>
          </w:p>
        </w:tc>
        <w:tc>
          <w:tcPr>
            <w:tcW w:w="1524" w:type="pct"/>
            <w:noWrap w:val="0"/>
            <w:vAlign w:val="center"/>
          </w:tcPr>
          <w:p w14:paraId="6A5D7AA8">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氯化钠、碘（以I计）、</w:t>
            </w:r>
            <w:r>
              <w:rPr>
                <w:rFonts w:hint="eastAsia" w:ascii="宋体" w:hAnsi="宋体" w:eastAsia="宋体" w:cs="宋体"/>
                <w:sz w:val="21"/>
                <w:szCs w:val="21"/>
              </w:rPr>
              <w:t>铅（以Pb计）</w:t>
            </w:r>
            <w:r>
              <w:rPr>
                <w:rFonts w:hint="eastAsia" w:ascii="宋体" w:hAnsi="宋体" w:eastAsia="宋体" w:cs="宋体"/>
                <w:sz w:val="21"/>
                <w:szCs w:val="21"/>
                <w:lang w:eastAsia="zh-CN"/>
              </w:rPr>
              <w:t>、</w:t>
            </w:r>
            <w:r>
              <w:rPr>
                <w:rFonts w:hint="eastAsia" w:ascii="宋体" w:hAnsi="宋体" w:eastAsia="宋体" w:cs="宋体"/>
                <w:color w:val="000000"/>
                <w:sz w:val="21"/>
                <w:szCs w:val="21"/>
                <w:u w:val="none"/>
              </w:rPr>
              <w:t>总砷（以As计）、镉（以Cd计）、总汞（以Hg计）、亚铁氰化钾/亚铁氰化钠（以亚铁氰根计）、氯化钾（低钠盐测定）、钡（以Ba计）、</w:t>
            </w:r>
          </w:p>
        </w:tc>
        <w:tc>
          <w:tcPr>
            <w:tcW w:w="283" w:type="pct"/>
            <w:noWrap w:val="0"/>
            <w:vAlign w:val="center"/>
          </w:tcPr>
          <w:p w14:paraId="56C91D19">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3</w:t>
            </w:r>
          </w:p>
        </w:tc>
        <w:tc>
          <w:tcPr>
            <w:tcW w:w="336" w:type="pct"/>
            <w:noWrap w:val="0"/>
            <w:vAlign w:val="center"/>
          </w:tcPr>
          <w:p w14:paraId="42EE3755">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74FE2B3C">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2DE7629B">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10B8C79B">
            <w:pPr>
              <w:spacing w:line="240" w:lineRule="auto"/>
              <w:ind w:firstLine="0" w:firstLineChars="0"/>
              <w:jc w:val="center"/>
              <w:rPr>
                <w:rFonts w:hint="eastAsia" w:ascii="宋体" w:hAnsi="宋体" w:eastAsia="宋体" w:cs="宋体"/>
                <w:b/>
                <w:sz w:val="21"/>
                <w:szCs w:val="21"/>
                <w:lang w:val="en-US" w:eastAsia="zh-CN"/>
              </w:rPr>
            </w:pPr>
          </w:p>
        </w:tc>
      </w:tr>
      <w:tr w14:paraId="26839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trPr>
        <w:tc>
          <w:tcPr>
            <w:tcW w:w="202" w:type="pct"/>
            <w:noWrap w:val="0"/>
            <w:vAlign w:val="center"/>
          </w:tcPr>
          <w:p w14:paraId="7EE13856">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color w:val="auto"/>
                <w:sz w:val="21"/>
                <w:szCs w:val="21"/>
                <w:lang w:val="en-US" w:eastAsia="zh-CN"/>
              </w:rPr>
              <w:t>8</w:t>
            </w:r>
          </w:p>
        </w:tc>
        <w:tc>
          <w:tcPr>
            <w:tcW w:w="328" w:type="pct"/>
            <w:noWrap w:val="0"/>
            <w:vAlign w:val="center"/>
          </w:tcPr>
          <w:p w14:paraId="200B0420">
            <w:pPr>
              <w:spacing w:line="240" w:lineRule="auto"/>
              <w:ind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方便食品</w:t>
            </w:r>
          </w:p>
        </w:tc>
        <w:tc>
          <w:tcPr>
            <w:tcW w:w="355" w:type="pct"/>
            <w:noWrap w:val="0"/>
            <w:vAlign w:val="center"/>
          </w:tcPr>
          <w:p w14:paraId="5A3BE900">
            <w:pPr>
              <w:spacing w:line="240" w:lineRule="auto"/>
              <w:ind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方便食品</w:t>
            </w:r>
          </w:p>
        </w:tc>
        <w:tc>
          <w:tcPr>
            <w:tcW w:w="312" w:type="pct"/>
            <w:noWrap w:val="0"/>
            <w:vAlign w:val="center"/>
          </w:tcPr>
          <w:p w14:paraId="6CB4FE14">
            <w:pPr>
              <w:spacing w:line="240" w:lineRule="auto"/>
              <w:ind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方便面</w:t>
            </w:r>
          </w:p>
        </w:tc>
        <w:tc>
          <w:tcPr>
            <w:tcW w:w="537" w:type="pct"/>
            <w:noWrap w:val="0"/>
            <w:vAlign w:val="center"/>
          </w:tcPr>
          <w:p w14:paraId="3C241461">
            <w:pPr>
              <w:spacing w:line="240" w:lineRule="auto"/>
              <w:ind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油炸面、非油炸面、方便米粉（米线）、方便粉丝</w:t>
            </w:r>
          </w:p>
        </w:tc>
        <w:tc>
          <w:tcPr>
            <w:tcW w:w="1524" w:type="pct"/>
            <w:noWrap w:val="0"/>
            <w:vAlign w:val="center"/>
          </w:tcPr>
          <w:p w14:paraId="5E53A3B5">
            <w:pPr>
              <w:spacing w:line="240" w:lineRule="auto"/>
              <w:ind w:firstLine="0" w:firstLineChars="0"/>
              <w:jc w:val="left"/>
              <w:rPr>
                <w:rFonts w:hint="eastAsia" w:ascii="宋体" w:hAnsi="宋体" w:eastAsia="宋体" w:cs="宋体"/>
                <w:sz w:val="21"/>
                <w:szCs w:val="21"/>
              </w:rPr>
            </w:pPr>
            <w:r>
              <w:rPr>
                <w:rFonts w:hint="eastAsia" w:ascii="宋体" w:hAnsi="宋体" w:eastAsia="宋体" w:cs="宋体"/>
                <w:bCs/>
                <w:sz w:val="21"/>
                <w:szCs w:val="21"/>
              </w:rPr>
              <w:t>过氧化值（以脂肪计）、菌落总数、大肠菌群、</w:t>
            </w:r>
            <w:r>
              <w:rPr>
                <w:rFonts w:hint="eastAsia" w:ascii="宋体" w:hAnsi="宋体" w:eastAsia="宋体" w:cs="宋体"/>
                <w:sz w:val="21"/>
                <w:szCs w:val="21"/>
              </w:rPr>
              <w:t>脱氢乙酸及其钠盐（以脱氢乙酸计）、酸价（以脂肪计）（KOH）</w:t>
            </w:r>
          </w:p>
          <w:p w14:paraId="0F0F1B20">
            <w:pPr>
              <w:spacing w:line="240" w:lineRule="auto"/>
              <w:ind w:firstLine="0" w:firstLineChars="0"/>
              <w:jc w:val="left"/>
              <w:rPr>
                <w:rFonts w:hint="eastAsia" w:ascii="宋体" w:hAnsi="宋体" w:eastAsia="宋体" w:cs="宋体"/>
                <w:bCs/>
                <w:sz w:val="21"/>
                <w:szCs w:val="21"/>
              </w:rPr>
            </w:pPr>
          </w:p>
        </w:tc>
        <w:tc>
          <w:tcPr>
            <w:tcW w:w="283" w:type="pct"/>
            <w:noWrap w:val="0"/>
            <w:vAlign w:val="center"/>
          </w:tcPr>
          <w:p w14:paraId="307E1E6F">
            <w:pPr>
              <w:spacing w:line="240" w:lineRule="auto"/>
              <w:ind w:firstLine="0" w:firstLineChars="0"/>
              <w:jc w:val="center"/>
              <w:rPr>
                <w:rFonts w:hint="eastAsia" w:ascii="宋体" w:hAnsi="宋体" w:eastAsia="宋体" w:cs="宋体"/>
                <w:color w:val="000000"/>
                <w:kern w:val="0"/>
                <w:sz w:val="21"/>
                <w:szCs w:val="21"/>
                <w:lang w:eastAsia="zh-CN" w:bidi="ar"/>
              </w:rPr>
            </w:pPr>
            <w:r>
              <w:rPr>
                <w:rFonts w:hint="eastAsia" w:ascii="宋体" w:hAnsi="宋体" w:eastAsia="宋体" w:cs="宋体"/>
                <w:b/>
                <w:sz w:val="21"/>
                <w:szCs w:val="21"/>
                <w:lang w:val="en-US" w:eastAsia="zh-CN"/>
              </w:rPr>
              <w:t>7</w:t>
            </w:r>
          </w:p>
        </w:tc>
        <w:tc>
          <w:tcPr>
            <w:tcW w:w="336" w:type="pct"/>
            <w:noWrap w:val="0"/>
            <w:vAlign w:val="center"/>
          </w:tcPr>
          <w:p w14:paraId="150FD035">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3578BACE">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386FCDEA">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5F8BF493">
            <w:pPr>
              <w:spacing w:line="240" w:lineRule="auto"/>
              <w:ind w:firstLine="0" w:firstLineChars="0"/>
              <w:jc w:val="center"/>
              <w:rPr>
                <w:rFonts w:hint="eastAsia" w:ascii="宋体" w:hAnsi="宋体" w:eastAsia="宋体" w:cs="宋体"/>
                <w:b/>
                <w:sz w:val="21"/>
                <w:szCs w:val="21"/>
                <w:lang w:val="en-US" w:eastAsia="zh-CN"/>
              </w:rPr>
            </w:pPr>
          </w:p>
        </w:tc>
      </w:tr>
      <w:tr w14:paraId="69A9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202" w:type="pct"/>
            <w:vMerge w:val="restart"/>
            <w:noWrap w:val="0"/>
            <w:vAlign w:val="center"/>
          </w:tcPr>
          <w:p w14:paraId="72093631">
            <w:pPr>
              <w:spacing w:line="240" w:lineRule="auto"/>
              <w:ind w:firstLine="0" w:firstLineChars="0"/>
              <w:jc w:val="center"/>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9</w:t>
            </w:r>
          </w:p>
        </w:tc>
        <w:tc>
          <w:tcPr>
            <w:tcW w:w="328" w:type="pct"/>
            <w:vMerge w:val="restart"/>
            <w:noWrap w:val="0"/>
            <w:vAlign w:val="center"/>
          </w:tcPr>
          <w:p w14:paraId="324590C2">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淀粉及淀粉制品</w:t>
            </w:r>
          </w:p>
        </w:tc>
        <w:tc>
          <w:tcPr>
            <w:tcW w:w="355" w:type="pct"/>
            <w:vMerge w:val="restart"/>
            <w:noWrap w:val="0"/>
            <w:vAlign w:val="center"/>
          </w:tcPr>
          <w:p w14:paraId="7D977505">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淀粉及淀粉制品</w:t>
            </w:r>
          </w:p>
        </w:tc>
        <w:tc>
          <w:tcPr>
            <w:tcW w:w="312" w:type="pct"/>
            <w:noWrap w:val="0"/>
            <w:vAlign w:val="center"/>
          </w:tcPr>
          <w:p w14:paraId="2150CA3A">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淀粉</w:t>
            </w:r>
          </w:p>
        </w:tc>
        <w:tc>
          <w:tcPr>
            <w:tcW w:w="537" w:type="pct"/>
            <w:noWrap w:val="0"/>
            <w:vAlign w:val="center"/>
          </w:tcPr>
          <w:p w14:paraId="49321552">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淀粉（谷类、薯类、豆类淀粉）</w:t>
            </w:r>
          </w:p>
        </w:tc>
        <w:tc>
          <w:tcPr>
            <w:tcW w:w="1524" w:type="pct"/>
            <w:noWrap w:val="0"/>
            <w:vAlign w:val="center"/>
          </w:tcPr>
          <w:p w14:paraId="072086BA">
            <w:pPr>
              <w:spacing w:line="240" w:lineRule="auto"/>
              <w:ind w:firstLine="0" w:firstLineChars="0"/>
              <w:jc w:val="left"/>
              <w:textAlignment w:val="center"/>
              <w:rPr>
                <w:rFonts w:hint="eastAsia" w:ascii="宋体" w:hAnsi="宋体" w:eastAsia="宋体" w:cs="宋体"/>
                <w:sz w:val="21"/>
                <w:szCs w:val="21"/>
                <w:lang w:val="en-US"/>
              </w:rPr>
            </w:pPr>
            <w:r>
              <w:rPr>
                <w:rFonts w:hint="eastAsia" w:ascii="宋体" w:hAnsi="宋体" w:eastAsia="宋体" w:cs="宋体"/>
                <w:sz w:val="21"/>
                <w:szCs w:val="21"/>
              </w:rPr>
              <w:t>铅（以Pb计）、二氧化硫残留量、霉菌和酵母、脱氢乙酸及其钠盐（以脱氢乙酸计）</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水分、氢氰酸（限木薯淀粉检测）</w:t>
            </w:r>
          </w:p>
        </w:tc>
        <w:tc>
          <w:tcPr>
            <w:tcW w:w="283" w:type="pct"/>
            <w:noWrap w:val="0"/>
            <w:vAlign w:val="center"/>
          </w:tcPr>
          <w:p w14:paraId="648D63EA">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6</w:t>
            </w:r>
          </w:p>
        </w:tc>
        <w:tc>
          <w:tcPr>
            <w:tcW w:w="336" w:type="pct"/>
            <w:noWrap w:val="0"/>
            <w:vAlign w:val="center"/>
          </w:tcPr>
          <w:p w14:paraId="1AFC4219">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547B6B2F">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2030170A">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5D228763">
            <w:pPr>
              <w:spacing w:line="240" w:lineRule="auto"/>
              <w:ind w:firstLine="0" w:firstLineChars="0"/>
              <w:jc w:val="center"/>
              <w:rPr>
                <w:rFonts w:hint="eastAsia" w:ascii="宋体" w:hAnsi="宋体" w:eastAsia="宋体" w:cs="宋体"/>
                <w:b/>
                <w:sz w:val="21"/>
                <w:szCs w:val="21"/>
                <w:lang w:val="en-US" w:eastAsia="zh-CN"/>
              </w:rPr>
            </w:pPr>
          </w:p>
        </w:tc>
      </w:tr>
      <w:tr w14:paraId="2D85E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202" w:type="pct"/>
            <w:vMerge w:val="continue"/>
            <w:noWrap w:val="0"/>
            <w:vAlign w:val="center"/>
          </w:tcPr>
          <w:p w14:paraId="352B2DB1">
            <w:pPr>
              <w:spacing w:line="240" w:lineRule="auto"/>
              <w:ind w:firstLine="0" w:firstLineChars="0"/>
              <w:jc w:val="center"/>
              <w:rPr>
                <w:rFonts w:hint="eastAsia" w:ascii="宋体" w:hAnsi="宋体" w:eastAsia="宋体" w:cs="宋体"/>
                <w:b/>
                <w:bCs/>
                <w:sz w:val="21"/>
                <w:szCs w:val="21"/>
              </w:rPr>
            </w:pPr>
          </w:p>
        </w:tc>
        <w:tc>
          <w:tcPr>
            <w:tcW w:w="328" w:type="pct"/>
            <w:vMerge w:val="continue"/>
            <w:noWrap w:val="0"/>
            <w:vAlign w:val="center"/>
          </w:tcPr>
          <w:p w14:paraId="610CAC4A">
            <w:pPr>
              <w:spacing w:line="240" w:lineRule="auto"/>
              <w:ind w:firstLine="0" w:firstLineChars="0"/>
              <w:jc w:val="center"/>
              <w:rPr>
                <w:rFonts w:hint="eastAsia" w:ascii="宋体" w:hAnsi="宋体" w:eastAsia="宋体" w:cs="宋体"/>
                <w:bCs/>
                <w:sz w:val="21"/>
                <w:szCs w:val="21"/>
              </w:rPr>
            </w:pPr>
          </w:p>
        </w:tc>
        <w:tc>
          <w:tcPr>
            <w:tcW w:w="355" w:type="pct"/>
            <w:vMerge w:val="continue"/>
            <w:noWrap w:val="0"/>
            <w:vAlign w:val="center"/>
          </w:tcPr>
          <w:p w14:paraId="6A706D4B">
            <w:pPr>
              <w:spacing w:line="240" w:lineRule="auto"/>
              <w:ind w:firstLine="0" w:firstLineChars="0"/>
              <w:jc w:val="center"/>
              <w:rPr>
                <w:rFonts w:hint="eastAsia" w:ascii="宋体" w:hAnsi="宋体" w:eastAsia="宋体" w:cs="宋体"/>
                <w:bCs/>
                <w:sz w:val="21"/>
                <w:szCs w:val="21"/>
              </w:rPr>
            </w:pPr>
          </w:p>
        </w:tc>
        <w:tc>
          <w:tcPr>
            <w:tcW w:w="312" w:type="pct"/>
            <w:noWrap w:val="0"/>
            <w:vAlign w:val="center"/>
          </w:tcPr>
          <w:p w14:paraId="4F1980CA">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淀粉制品</w:t>
            </w:r>
          </w:p>
        </w:tc>
        <w:tc>
          <w:tcPr>
            <w:tcW w:w="537" w:type="pct"/>
            <w:noWrap w:val="0"/>
            <w:vAlign w:val="center"/>
          </w:tcPr>
          <w:p w14:paraId="59CA01D5">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粉丝、粉条</w:t>
            </w:r>
          </w:p>
        </w:tc>
        <w:tc>
          <w:tcPr>
            <w:tcW w:w="1524" w:type="pct"/>
            <w:noWrap w:val="0"/>
            <w:vAlign w:val="center"/>
          </w:tcPr>
          <w:p w14:paraId="3D393629">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sz w:val="21"/>
                <w:szCs w:val="21"/>
              </w:rPr>
              <w:t>铅（以Pb计）、二氧化硫残留量、</w:t>
            </w:r>
            <w:r>
              <w:rPr>
                <w:rFonts w:hint="eastAsia" w:ascii="宋体" w:hAnsi="宋体" w:eastAsia="宋体" w:cs="宋体"/>
                <w:color w:val="000000"/>
                <w:sz w:val="21"/>
                <w:szCs w:val="21"/>
                <w:u w:val="none"/>
              </w:rPr>
              <w:t>铝的残留量（干样品，以Al计）、</w:t>
            </w:r>
            <w:r>
              <w:rPr>
                <w:rFonts w:hint="eastAsia" w:ascii="宋体" w:hAnsi="宋体" w:eastAsia="宋体" w:cs="宋体"/>
                <w:sz w:val="21"/>
                <w:szCs w:val="21"/>
              </w:rPr>
              <w:t>苯甲酸及其钠盐（以苯甲酸计）、山梨酸及其钾盐（以山梨酸计）、脱氢乙酸及其钠盐（以脱氢乙酸计）</w:t>
            </w:r>
            <w:r>
              <w:rPr>
                <w:rFonts w:hint="eastAsia" w:ascii="宋体" w:hAnsi="宋体" w:eastAsia="宋体" w:cs="宋体"/>
                <w:sz w:val="21"/>
                <w:szCs w:val="21"/>
                <w:lang w:eastAsia="zh-CN"/>
              </w:rPr>
              <w:t>、</w:t>
            </w:r>
            <w:r>
              <w:rPr>
                <w:rFonts w:hint="eastAsia" w:ascii="宋体" w:hAnsi="宋体" w:eastAsia="宋体" w:cs="宋体"/>
                <w:sz w:val="21"/>
                <w:szCs w:val="21"/>
              </w:rPr>
              <w:t>合成着色剂（视色泽而定）</w:t>
            </w:r>
          </w:p>
        </w:tc>
        <w:tc>
          <w:tcPr>
            <w:tcW w:w="283" w:type="pct"/>
            <w:noWrap w:val="0"/>
            <w:vAlign w:val="center"/>
          </w:tcPr>
          <w:p w14:paraId="5081CF7A">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6</w:t>
            </w:r>
          </w:p>
        </w:tc>
        <w:tc>
          <w:tcPr>
            <w:tcW w:w="336" w:type="pct"/>
            <w:noWrap w:val="0"/>
            <w:vAlign w:val="center"/>
          </w:tcPr>
          <w:p w14:paraId="51D8DFC6">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208EF827">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2DDD352E">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77D40798">
            <w:pPr>
              <w:spacing w:line="240" w:lineRule="auto"/>
              <w:ind w:firstLine="0" w:firstLineChars="0"/>
              <w:jc w:val="center"/>
              <w:rPr>
                <w:rFonts w:hint="eastAsia" w:ascii="宋体" w:hAnsi="宋体" w:eastAsia="宋体" w:cs="宋体"/>
                <w:b/>
                <w:sz w:val="21"/>
                <w:szCs w:val="21"/>
                <w:lang w:val="en-US" w:eastAsia="zh-CN"/>
              </w:rPr>
            </w:pPr>
          </w:p>
        </w:tc>
      </w:tr>
      <w:tr w14:paraId="43127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202" w:type="pct"/>
            <w:vMerge w:val="restart"/>
            <w:noWrap w:val="0"/>
            <w:vAlign w:val="center"/>
          </w:tcPr>
          <w:p w14:paraId="1F8A790D">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rPr>
              <w:t>1</w:t>
            </w:r>
            <w:r>
              <w:rPr>
                <w:rFonts w:hint="eastAsia" w:ascii="宋体" w:hAnsi="宋体" w:eastAsia="宋体" w:cs="宋体"/>
                <w:b/>
                <w:sz w:val="21"/>
                <w:szCs w:val="21"/>
                <w:lang w:val="en-US" w:eastAsia="zh-CN"/>
              </w:rPr>
              <w:t>0</w:t>
            </w:r>
          </w:p>
        </w:tc>
        <w:tc>
          <w:tcPr>
            <w:tcW w:w="328" w:type="pct"/>
            <w:vMerge w:val="restart"/>
            <w:noWrap w:val="0"/>
            <w:vAlign w:val="center"/>
          </w:tcPr>
          <w:p w14:paraId="563FE849">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饮料</w:t>
            </w:r>
          </w:p>
        </w:tc>
        <w:tc>
          <w:tcPr>
            <w:tcW w:w="355" w:type="pct"/>
            <w:vMerge w:val="restart"/>
            <w:noWrap w:val="0"/>
            <w:vAlign w:val="center"/>
          </w:tcPr>
          <w:p w14:paraId="6BB07099">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饮料</w:t>
            </w:r>
          </w:p>
        </w:tc>
        <w:tc>
          <w:tcPr>
            <w:tcW w:w="312" w:type="pct"/>
            <w:noWrap w:val="0"/>
            <w:vAlign w:val="center"/>
          </w:tcPr>
          <w:p w14:paraId="1E11C76C">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蛋白饮料</w:t>
            </w:r>
          </w:p>
        </w:tc>
        <w:tc>
          <w:tcPr>
            <w:tcW w:w="537" w:type="pct"/>
            <w:noWrap w:val="0"/>
            <w:vAlign w:val="center"/>
          </w:tcPr>
          <w:p w14:paraId="6C6AE3AB">
            <w:pPr>
              <w:widowControl/>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蛋白饮料</w:t>
            </w:r>
          </w:p>
        </w:tc>
        <w:tc>
          <w:tcPr>
            <w:tcW w:w="1524" w:type="pct"/>
            <w:noWrap w:val="0"/>
            <w:vAlign w:val="center"/>
          </w:tcPr>
          <w:p w14:paraId="7F503BB0">
            <w:pPr>
              <w:widowControl/>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sz w:val="21"/>
                <w:szCs w:val="21"/>
              </w:rPr>
              <w:t>蛋白质、三聚氰胺、脱氢乙酸及其钠盐（以脱氢乙酸计）、菌落总数、大肠菌群、商业无菌</w:t>
            </w:r>
            <w:r>
              <w:rPr>
                <w:rFonts w:hint="eastAsia" w:ascii="宋体" w:hAnsi="宋体" w:eastAsia="宋体" w:cs="宋体"/>
                <w:sz w:val="21"/>
                <w:szCs w:val="21"/>
                <w:lang w:eastAsia="zh-CN"/>
              </w:rPr>
              <w:t>、霉菌、酵母、乳酸菌数、氰化物（以</w:t>
            </w:r>
            <w:r>
              <w:rPr>
                <w:rFonts w:hint="eastAsia" w:ascii="宋体" w:hAnsi="宋体" w:eastAsia="宋体" w:cs="宋体"/>
                <w:sz w:val="21"/>
                <w:szCs w:val="21"/>
                <w:lang w:val="en-US" w:eastAsia="zh-CN"/>
              </w:rPr>
              <w:t>HCN计</w:t>
            </w:r>
            <w:r>
              <w:rPr>
                <w:rFonts w:hint="eastAsia" w:ascii="宋体" w:hAnsi="宋体" w:eastAsia="宋体" w:cs="宋体"/>
                <w:sz w:val="21"/>
                <w:szCs w:val="21"/>
                <w:lang w:eastAsia="zh-CN"/>
              </w:rPr>
              <w:t>）、安赛蜜、</w:t>
            </w:r>
            <w:r>
              <w:rPr>
                <w:rFonts w:hint="eastAsia" w:ascii="宋体" w:hAnsi="宋体" w:eastAsia="宋体" w:cs="宋体"/>
                <w:color w:val="000000"/>
                <w:sz w:val="21"/>
                <w:szCs w:val="21"/>
                <w:u w:val="none"/>
              </w:rPr>
              <w:t>甜蜜素（以环己基氨基磺酸计）</w:t>
            </w:r>
            <w:r>
              <w:rPr>
                <w:rFonts w:hint="eastAsia" w:ascii="宋体" w:hAnsi="宋体" w:eastAsia="宋体" w:cs="宋体"/>
                <w:color w:val="000000"/>
                <w:sz w:val="21"/>
                <w:szCs w:val="21"/>
                <w:u w:val="none"/>
                <w:lang w:eastAsia="zh-CN"/>
              </w:rPr>
              <w:t>、阿斯巴甜</w:t>
            </w:r>
          </w:p>
        </w:tc>
        <w:tc>
          <w:tcPr>
            <w:tcW w:w="283" w:type="pct"/>
            <w:noWrap w:val="0"/>
            <w:vAlign w:val="center"/>
          </w:tcPr>
          <w:p w14:paraId="733B9BD5">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6</w:t>
            </w:r>
          </w:p>
        </w:tc>
        <w:tc>
          <w:tcPr>
            <w:tcW w:w="336" w:type="pct"/>
            <w:noWrap w:val="0"/>
            <w:vAlign w:val="center"/>
          </w:tcPr>
          <w:p w14:paraId="0A5C928F">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7D9F634A">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0A836207">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1EFA167A">
            <w:pPr>
              <w:spacing w:line="240" w:lineRule="auto"/>
              <w:ind w:firstLine="0" w:firstLineChars="0"/>
              <w:jc w:val="center"/>
              <w:rPr>
                <w:rFonts w:hint="eastAsia" w:ascii="宋体" w:hAnsi="宋体" w:eastAsia="宋体" w:cs="宋体"/>
                <w:b/>
                <w:sz w:val="21"/>
                <w:szCs w:val="21"/>
                <w:lang w:val="en-US" w:eastAsia="zh-CN"/>
              </w:rPr>
            </w:pPr>
          </w:p>
        </w:tc>
      </w:tr>
      <w:tr w14:paraId="0DF7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trPr>
        <w:tc>
          <w:tcPr>
            <w:tcW w:w="202" w:type="pct"/>
            <w:vMerge w:val="continue"/>
            <w:noWrap w:val="0"/>
            <w:vAlign w:val="center"/>
          </w:tcPr>
          <w:p w14:paraId="032FE271">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58257B97">
            <w:pPr>
              <w:spacing w:line="240" w:lineRule="auto"/>
              <w:ind w:firstLine="0" w:firstLineChars="0"/>
              <w:jc w:val="center"/>
              <w:rPr>
                <w:rFonts w:hint="eastAsia" w:ascii="宋体" w:hAnsi="宋体" w:eastAsia="宋体" w:cs="宋体"/>
                <w:b/>
                <w:sz w:val="21"/>
                <w:szCs w:val="21"/>
              </w:rPr>
            </w:pPr>
          </w:p>
        </w:tc>
        <w:tc>
          <w:tcPr>
            <w:tcW w:w="355" w:type="pct"/>
            <w:vMerge w:val="continue"/>
            <w:noWrap w:val="0"/>
            <w:vAlign w:val="center"/>
          </w:tcPr>
          <w:p w14:paraId="58B11F31">
            <w:pPr>
              <w:widowControl/>
              <w:spacing w:line="240" w:lineRule="auto"/>
              <w:ind w:firstLine="0" w:firstLineChars="0"/>
              <w:jc w:val="center"/>
              <w:textAlignment w:val="center"/>
              <w:rPr>
                <w:rFonts w:hint="eastAsia" w:ascii="宋体" w:hAnsi="宋体" w:eastAsia="宋体" w:cs="宋体"/>
                <w:kern w:val="0"/>
                <w:sz w:val="21"/>
                <w:szCs w:val="21"/>
              </w:rPr>
            </w:pPr>
          </w:p>
        </w:tc>
        <w:tc>
          <w:tcPr>
            <w:tcW w:w="312" w:type="pct"/>
            <w:noWrap w:val="0"/>
            <w:vAlign w:val="center"/>
          </w:tcPr>
          <w:p w14:paraId="5BC6A412">
            <w:pPr>
              <w:widowControl/>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碳酸饮料（汽水）</w:t>
            </w:r>
          </w:p>
        </w:tc>
        <w:tc>
          <w:tcPr>
            <w:tcW w:w="537" w:type="pct"/>
            <w:noWrap w:val="0"/>
            <w:vAlign w:val="center"/>
          </w:tcPr>
          <w:p w14:paraId="59EEAE02">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碳酸饮料（汽水）</w:t>
            </w:r>
          </w:p>
        </w:tc>
        <w:tc>
          <w:tcPr>
            <w:tcW w:w="1524" w:type="pct"/>
            <w:noWrap w:val="0"/>
            <w:vAlign w:val="center"/>
          </w:tcPr>
          <w:p w14:paraId="6C9DB515">
            <w:pPr>
              <w:spacing w:line="240" w:lineRule="auto"/>
              <w:ind w:firstLine="0" w:firstLineChars="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二氧化碳气容量、</w:t>
            </w:r>
            <w:r>
              <w:rPr>
                <w:rFonts w:hint="eastAsia" w:ascii="宋体" w:hAnsi="宋体" w:eastAsia="宋体" w:cs="宋体"/>
                <w:sz w:val="21"/>
                <w:szCs w:val="21"/>
              </w:rPr>
              <w:t>苯甲酸及其钠盐（以苯甲酸计）、山梨酸及其钾盐（以山梨酸计）、</w:t>
            </w:r>
            <w:r>
              <w:rPr>
                <w:rFonts w:hint="eastAsia" w:ascii="宋体" w:hAnsi="宋体" w:eastAsia="宋体" w:cs="宋体"/>
                <w:color w:val="000000"/>
                <w:sz w:val="21"/>
                <w:szCs w:val="21"/>
                <w:u w:val="none"/>
              </w:rPr>
              <w:t>防腐剂混合使用时各自用量占其最大使用量比例之和、</w:t>
            </w:r>
            <w:r>
              <w:rPr>
                <w:rFonts w:hint="eastAsia" w:ascii="宋体" w:hAnsi="宋体" w:eastAsia="宋体" w:cs="宋体"/>
                <w:sz w:val="21"/>
                <w:szCs w:val="21"/>
                <w:lang w:eastAsia="zh-CN"/>
              </w:rPr>
              <w:t>安赛蜜、</w:t>
            </w:r>
            <w:r>
              <w:rPr>
                <w:rFonts w:hint="eastAsia" w:ascii="宋体" w:hAnsi="宋体" w:eastAsia="宋体" w:cs="宋体"/>
                <w:color w:val="000000"/>
                <w:sz w:val="21"/>
                <w:szCs w:val="21"/>
                <w:u w:val="none"/>
                <w:lang w:eastAsia="zh-CN"/>
              </w:rPr>
              <w:t>阿斯巴甜、</w:t>
            </w:r>
            <w:r>
              <w:rPr>
                <w:rFonts w:hint="eastAsia" w:ascii="宋体" w:hAnsi="宋体" w:eastAsia="宋体" w:cs="宋体"/>
                <w:color w:val="000000"/>
                <w:sz w:val="21"/>
                <w:szCs w:val="21"/>
                <w:u w:val="none"/>
              </w:rPr>
              <w:t>甜蜜素（以环己基氨基磺酸计）、霉菌</w:t>
            </w:r>
            <w:r>
              <w:rPr>
                <w:rFonts w:hint="eastAsia" w:ascii="宋体" w:hAnsi="宋体" w:eastAsia="宋体" w:cs="宋体"/>
                <w:color w:val="000000"/>
                <w:sz w:val="21"/>
                <w:szCs w:val="21"/>
                <w:u w:val="none"/>
                <w:lang w:eastAsia="zh-CN"/>
              </w:rPr>
              <w:t>、</w:t>
            </w:r>
            <w:r>
              <w:rPr>
                <w:rFonts w:hint="eastAsia" w:ascii="宋体" w:hAnsi="宋体" w:eastAsia="宋体" w:cs="宋体"/>
                <w:kern w:val="0"/>
                <w:sz w:val="21"/>
                <w:szCs w:val="21"/>
              </w:rPr>
              <w:t>菌落总数、酵母</w:t>
            </w:r>
          </w:p>
        </w:tc>
        <w:tc>
          <w:tcPr>
            <w:tcW w:w="283" w:type="pct"/>
            <w:noWrap w:val="0"/>
            <w:vAlign w:val="center"/>
          </w:tcPr>
          <w:p w14:paraId="20166A7C">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4</w:t>
            </w:r>
          </w:p>
        </w:tc>
        <w:tc>
          <w:tcPr>
            <w:tcW w:w="336" w:type="pct"/>
            <w:noWrap w:val="0"/>
            <w:vAlign w:val="center"/>
          </w:tcPr>
          <w:p w14:paraId="12DC332E">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5BDBCB21">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2F9B197C">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2FBA5E7E">
            <w:pPr>
              <w:spacing w:line="240" w:lineRule="auto"/>
              <w:ind w:firstLine="0" w:firstLineChars="0"/>
              <w:jc w:val="center"/>
              <w:rPr>
                <w:rFonts w:hint="eastAsia" w:ascii="宋体" w:hAnsi="宋体" w:eastAsia="宋体" w:cs="宋体"/>
                <w:b/>
                <w:sz w:val="21"/>
                <w:szCs w:val="21"/>
                <w:lang w:val="en-US" w:eastAsia="zh-CN"/>
              </w:rPr>
            </w:pPr>
          </w:p>
        </w:tc>
      </w:tr>
      <w:tr w14:paraId="0BA8A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202" w:type="pct"/>
            <w:vMerge w:val="continue"/>
            <w:noWrap w:val="0"/>
            <w:vAlign w:val="center"/>
          </w:tcPr>
          <w:p w14:paraId="4A5D8B6D">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7DD1D56F">
            <w:pPr>
              <w:spacing w:line="240" w:lineRule="auto"/>
              <w:ind w:firstLine="0" w:firstLineChars="0"/>
              <w:jc w:val="center"/>
              <w:rPr>
                <w:rFonts w:hint="eastAsia" w:ascii="宋体" w:hAnsi="宋体" w:eastAsia="宋体" w:cs="宋体"/>
                <w:b/>
                <w:sz w:val="21"/>
                <w:szCs w:val="21"/>
              </w:rPr>
            </w:pPr>
          </w:p>
        </w:tc>
        <w:tc>
          <w:tcPr>
            <w:tcW w:w="355" w:type="pct"/>
            <w:vMerge w:val="continue"/>
            <w:noWrap w:val="0"/>
            <w:vAlign w:val="center"/>
          </w:tcPr>
          <w:p w14:paraId="457CE120">
            <w:pPr>
              <w:widowControl/>
              <w:spacing w:line="240" w:lineRule="auto"/>
              <w:ind w:firstLine="0" w:firstLineChars="0"/>
              <w:jc w:val="center"/>
              <w:textAlignment w:val="center"/>
              <w:rPr>
                <w:rFonts w:hint="eastAsia" w:ascii="宋体" w:hAnsi="宋体" w:eastAsia="宋体" w:cs="宋体"/>
                <w:kern w:val="0"/>
                <w:sz w:val="21"/>
                <w:szCs w:val="21"/>
              </w:rPr>
            </w:pPr>
          </w:p>
        </w:tc>
        <w:tc>
          <w:tcPr>
            <w:tcW w:w="312" w:type="pct"/>
            <w:noWrap w:val="0"/>
            <w:vAlign w:val="center"/>
          </w:tcPr>
          <w:p w14:paraId="203D3B6A">
            <w:pPr>
              <w:widowControl/>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茶饮料</w:t>
            </w:r>
          </w:p>
        </w:tc>
        <w:tc>
          <w:tcPr>
            <w:tcW w:w="537" w:type="pct"/>
            <w:noWrap w:val="0"/>
            <w:vAlign w:val="center"/>
          </w:tcPr>
          <w:p w14:paraId="3B86C356">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茶饮料</w:t>
            </w:r>
          </w:p>
        </w:tc>
        <w:tc>
          <w:tcPr>
            <w:tcW w:w="1524" w:type="pct"/>
            <w:noWrap w:val="0"/>
            <w:vAlign w:val="center"/>
          </w:tcPr>
          <w:p w14:paraId="04D52DF4">
            <w:pPr>
              <w:spacing w:line="240" w:lineRule="auto"/>
              <w:ind w:firstLine="0" w:firstLineChars="0"/>
              <w:jc w:val="left"/>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茶多酚</w:t>
            </w:r>
            <w:r>
              <w:rPr>
                <w:rFonts w:hint="eastAsia" w:ascii="宋体" w:hAnsi="宋体" w:eastAsia="宋体" w:cs="宋体"/>
                <w:kern w:val="0"/>
                <w:sz w:val="21"/>
                <w:szCs w:val="21"/>
                <w:lang w:eastAsia="zh-CN"/>
              </w:rPr>
              <w:t>（奶茶饮料不检测）</w:t>
            </w:r>
            <w:r>
              <w:rPr>
                <w:rFonts w:hint="eastAsia" w:ascii="宋体" w:hAnsi="宋体" w:eastAsia="宋体" w:cs="宋体"/>
                <w:kern w:val="0"/>
                <w:sz w:val="21"/>
                <w:szCs w:val="21"/>
              </w:rPr>
              <w:t>、</w:t>
            </w:r>
            <w:r>
              <w:rPr>
                <w:rFonts w:hint="eastAsia" w:ascii="宋体" w:hAnsi="宋体" w:eastAsia="宋体" w:cs="宋体"/>
                <w:sz w:val="21"/>
                <w:szCs w:val="21"/>
              </w:rPr>
              <w:t>脱氢乙酸及其钠盐（以脱氢乙酸计）、</w:t>
            </w:r>
            <w:r>
              <w:rPr>
                <w:rFonts w:hint="eastAsia" w:ascii="宋体" w:hAnsi="宋体" w:eastAsia="宋体" w:cs="宋体"/>
                <w:color w:val="000000"/>
                <w:sz w:val="21"/>
                <w:szCs w:val="21"/>
                <w:u w:val="none"/>
              </w:rPr>
              <w:t>甜蜜素（以环己基氨基磺酸计）</w:t>
            </w:r>
            <w:r>
              <w:rPr>
                <w:rFonts w:hint="eastAsia" w:ascii="宋体" w:hAnsi="宋体" w:eastAsia="宋体" w:cs="宋体"/>
                <w:color w:val="000000"/>
                <w:sz w:val="21"/>
                <w:szCs w:val="21"/>
                <w:u w:val="none"/>
                <w:lang w:eastAsia="zh-CN"/>
              </w:rPr>
              <w:t>、</w:t>
            </w:r>
            <w:r>
              <w:rPr>
                <w:rFonts w:hint="eastAsia" w:ascii="宋体" w:hAnsi="宋体" w:eastAsia="宋体" w:cs="宋体"/>
                <w:sz w:val="21"/>
                <w:szCs w:val="21"/>
                <w:lang w:eastAsia="zh-CN"/>
              </w:rPr>
              <w:t>安赛蜜、</w:t>
            </w:r>
            <w:r>
              <w:rPr>
                <w:rFonts w:hint="eastAsia" w:ascii="宋体" w:hAnsi="宋体" w:eastAsia="宋体" w:cs="宋体"/>
                <w:color w:val="000000"/>
                <w:sz w:val="21"/>
                <w:szCs w:val="21"/>
                <w:u w:val="none"/>
                <w:lang w:eastAsia="zh-CN"/>
              </w:rPr>
              <w:t>阿斯巴甜、咖啡因、</w:t>
            </w:r>
            <w:r>
              <w:rPr>
                <w:rFonts w:hint="eastAsia" w:ascii="宋体" w:hAnsi="宋体" w:eastAsia="宋体" w:cs="宋体"/>
                <w:kern w:val="0"/>
                <w:sz w:val="21"/>
                <w:szCs w:val="21"/>
              </w:rPr>
              <w:t>菌落总数</w:t>
            </w:r>
          </w:p>
        </w:tc>
        <w:tc>
          <w:tcPr>
            <w:tcW w:w="283" w:type="pct"/>
            <w:noWrap w:val="0"/>
            <w:vAlign w:val="center"/>
          </w:tcPr>
          <w:p w14:paraId="48BBF659">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4</w:t>
            </w:r>
          </w:p>
        </w:tc>
        <w:tc>
          <w:tcPr>
            <w:tcW w:w="336" w:type="pct"/>
            <w:noWrap w:val="0"/>
            <w:vAlign w:val="center"/>
          </w:tcPr>
          <w:p w14:paraId="43BEC85A">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2180496A">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128EFB75">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15B79C57">
            <w:pPr>
              <w:spacing w:line="240" w:lineRule="auto"/>
              <w:ind w:firstLine="0" w:firstLineChars="0"/>
              <w:jc w:val="center"/>
              <w:rPr>
                <w:rFonts w:hint="eastAsia" w:ascii="宋体" w:hAnsi="宋体" w:eastAsia="宋体" w:cs="宋体"/>
                <w:b/>
                <w:sz w:val="21"/>
                <w:szCs w:val="21"/>
                <w:lang w:val="en-US" w:eastAsia="zh-CN"/>
              </w:rPr>
            </w:pPr>
          </w:p>
        </w:tc>
      </w:tr>
      <w:tr w14:paraId="1140F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trPr>
        <w:tc>
          <w:tcPr>
            <w:tcW w:w="202" w:type="pct"/>
            <w:vMerge w:val="continue"/>
            <w:noWrap w:val="0"/>
            <w:vAlign w:val="center"/>
          </w:tcPr>
          <w:p w14:paraId="70FB8D10">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5594FCBB">
            <w:pPr>
              <w:spacing w:line="240" w:lineRule="auto"/>
              <w:ind w:firstLine="0" w:firstLineChars="0"/>
              <w:jc w:val="center"/>
              <w:rPr>
                <w:rFonts w:hint="eastAsia" w:ascii="宋体" w:hAnsi="宋体" w:eastAsia="宋体" w:cs="宋体"/>
                <w:b/>
                <w:sz w:val="21"/>
                <w:szCs w:val="21"/>
              </w:rPr>
            </w:pPr>
          </w:p>
        </w:tc>
        <w:tc>
          <w:tcPr>
            <w:tcW w:w="355" w:type="pct"/>
            <w:vMerge w:val="continue"/>
            <w:noWrap w:val="0"/>
            <w:vAlign w:val="center"/>
          </w:tcPr>
          <w:p w14:paraId="6B5C0C7B">
            <w:pPr>
              <w:widowControl/>
              <w:spacing w:line="240" w:lineRule="auto"/>
              <w:ind w:firstLine="0" w:firstLineChars="0"/>
              <w:jc w:val="center"/>
              <w:textAlignment w:val="center"/>
              <w:rPr>
                <w:rFonts w:hint="eastAsia" w:ascii="宋体" w:hAnsi="宋体" w:eastAsia="宋体" w:cs="宋体"/>
                <w:kern w:val="0"/>
                <w:sz w:val="21"/>
                <w:szCs w:val="21"/>
              </w:rPr>
            </w:pPr>
          </w:p>
        </w:tc>
        <w:tc>
          <w:tcPr>
            <w:tcW w:w="312" w:type="pct"/>
            <w:noWrap w:val="0"/>
            <w:vAlign w:val="center"/>
          </w:tcPr>
          <w:p w14:paraId="5F7462BE">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其他饮料</w:t>
            </w:r>
          </w:p>
        </w:tc>
        <w:tc>
          <w:tcPr>
            <w:tcW w:w="537" w:type="pct"/>
            <w:noWrap w:val="0"/>
            <w:vAlign w:val="center"/>
          </w:tcPr>
          <w:p w14:paraId="1BC14A51">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其他饮料：特殊用途饮料类、咖啡饮料类、植物饮料类、风味饮料</w:t>
            </w:r>
          </w:p>
        </w:tc>
        <w:tc>
          <w:tcPr>
            <w:tcW w:w="1524" w:type="pct"/>
            <w:noWrap w:val="0"/>
            <w:vAlign w:val="center"/>
          </w:tcPr>
          <w:p w14:paraId="0391B0D0">
            <w:pPr>
              <w:spacing w:line="240" w:lineRule="auto"/>
              <w:ind w:firstLine="0" w:firstLineChars="0"/>
              <w:jc w:val="left"/>
              <w:textAlignment w:val="center"/>
              <w:rPr>
                <w:rFonts w:hint="eastAsia" w:ascii="宋体" w:hAnsi="宋体" w:eastAsia="宋体" w:cs="宋体"/>
                <w:kern w:val="0"/>
                <w:sz w:val="21"/>
                <w:szCs w:val="21"/>
                <w:lang w:eastAsia="zh-CN"/>
              </w:rPr>
            </w:pPr>
            <w:r>
              <w:rPr>
                <w:rFonts w:hint="eastAsia" w:ascii="宋体" w:hAnsi="宋体" w:eastAsia="宋体" w:cs="宋体"/>
                <w:color w:val="000000"/>
                <w:sz w:val="21"/>
                <w:szCs w:val="21"/>
                <w:u w:val="none"/>
              </w:rPr>
              <w:t>苯甲酸及其钠盐（以苯甲酸计）、山梨酸及其钾盐（以山梨酸计）、</w:t>
            </w:r>
            <w:r>
              <w:rPr>
                <w:rFonts w:hint="eastAsia" w:ascii="宋体" w:hAnsi="宋体" w:eastAsia="宋体" w:cs="宋体"/>
                <w:sz w:val="21"/>
                <w:szCs w:val="21"/>
              </w:rPr>
              <w:t>脱氢乙酸及其钠盐（以脱氢乙酸计）、</w:t>
            </w:r>
            <w:r>
              <w:rPr>
                <w:rFonts w:hint="eastAsia" w:ascii="宋体" w:hAnsi="宋体" w:eastAsia="宋体" w:cs="宋体"/>
                <w:color w:val="000000"/>
                <w:sz w:val="21"/>
                <w:szCs w:val="21"/>
                <w:u w:val="none"/>
              </w:rPr>
              <w:t>防腐剂混合使用时各自用量占其最大使用量比例之和、糖精钠（以糖精计）、甜蜜素（以环己基氨基磺酸计）</w:t>
            </w:r>
            <w:r>
              <w:rPr>
                <w:rFonts w:hint="eastAsia" w:ascii="宋体" w:hAnsi="宋体" w:eastAsia="宋体" w:cs="宋体"/>
                <w:color w:val="000000"/>
                <w:sz w:val="21"/>
                <w:szCs w:val="21"/>
                <w:u w:val="none"/>
                <w:lang w:eastAsia="zh-CN"/>
              </w:rPr>
              <w:t>、阿斯巴甜、</w:t>
            </w:r>
            <w:r>
              <w:rPr>
                <w:rFonts w:hint="eastAsia" w:ascii="宋体" w:hAnsi="宋体" w:eastAsia="宋体" w:cs="宋体"/>
                <w:sz w:val="21"/>
                <w:szCs w:val="21"/>
              </w:rPr>
              <w:t>安赛蜜、合成着色剂（视色泽而定）</w:t>
            </w:r>
            <w:r>
              <w:rPr>
                <w:rFonts w:hint="eastAsia" w:ascii="宋体" w:hAnsi="宋体" w:eastAsia="宋体" w:cs="宋体"/>
                <w:sz w:val="21"/>
                <w:szCs w:val="21"/>
                <w:lang w:eastAsia="zh-CN"/>
              </w:rPr>
              <w:t>、</w:t>
            </w:r>
            <w:r>
              <w:rPr>
                <w:rFonts w:hint="eastAsia" w:ascii="宋体" w:hAnsi="宋体" w:eastAsia="宋体" w:cs="宋体"/>
                <w:kern w:val="0"/>
                <w:sz w:val="21"/>
                <w:szCs w:val="21"/>
              </w:rPr>
              <w:t>菌落总数、大肠菌群、</w:t>
            </w:r>
            <w:r>
              <w:rPr>
                <w:rFonts w:hint="eastAsia" w:ascii="宋体" w:hAnsi="宋体" w:eastAsia="宋体" w:cs="宋体"/>
                <w:kern w:val="0"/>
                <w:sz w:val="21"/>
                <w:szCs w:val="21"/>
                <w:lang w:eastAsia="zh-CN"/>
              </w:rPr>
              <w:t>霉菌、酵母</w:t>
            </w:r>
          </w:p>
        </w:tc>
        <w:tc>
          <w:tcPr>
            <w:tcW w:w="283" w:type="pct"/>
            <w:noWrap w:val="0"/>
            <w:vAlign w:val="center"/>
          </w:tcPr>
          <w:p w14:paraId="299BDED1">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4</w:t>
            </w:r>
          </w:p>
        </w:tc>
        <w:tc>
          <w:tcPr>
            <w:tcW w:w="336" w:type="pct"/>
            <w:noWrap w:val="0"/>
            <w:vAlign w:val="center"/>
          </w:tcPr>
          <w:p w14:paraId="239555AD">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632818CB">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0E17CC75">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7100BF74">
            <w:pPr>
              <w:spacing w:line="240" w:lineRule="auto"/>
              <w:ind w:firstLine="0" w:firstLineChars="0"/>
              <w:jc w:val="center"/>
              <w:rPr>
                <w:rFonts w:hint="eastAsia" w:ascii="宋体" w:hAnsi="宋体" w:eastAsia="宋体" w:cs="宋体"/>
                <w:b/>
                <w:sz w:val="21"/>
                <w:szCs w:val="21"/>
                <w:lang w:val="en-US" w:eastAsia="zh-CN"/>
              </w:rPr>
            </w:pPr>
          </w:p>
        </w:tc>
      </w:tr>
      <w:tr w14:paraId="4D796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202" w:type="pct"/>
            <w:noWrap w:val="0"/>
            <w:vAlign w:val="center"/>
          </w:tcPr>
          <w:p w14:paraId="4A7DB76C">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11</w:t>
            </w:r>
          </w:p>
        </w:tc>
        <w:tc>
          <w:tcPr>
            <w:tcW w:w="328" w:type="pct"/>
            <w:noWrap w:val="0"/>
            <w:vAlign w:val="center"/>
          </w:tcPr>
          <w:p w14:paraId="2BCDF440">
            <w:pPr>
              <w:spacing w:line="240" w:lineRule="auto"/>
              <w:ind w:firstLine="0" w:firstLineChars="0"/>
              <w:jc w:val="center"/>
              <w:textAlignment w:val="center"/>
              <w:rPr>
                <w:rFonts w:hint="eastAsia" w:ascii="宋体" w:hAnsi="宋体" w:eastAsia="宋体" w:cs="宋体"/>
                <w:b/>
                <w:sz w:val="21"/>
                <w:szCs w:val="21"/>
                <w:lang w:eastAsia="zh-CN"/>
              </w:rPr>
            </w:pPr>
            <w:r>
              <w:rPr>
                <w:rFonts w:hint="eastAsia" w:ascii="宋体" w:hAnsi="宋体" w:eastAsia="宋体" w:cs="宋体"/>
                <w:color w:val="000000"/>
                <w:sz w:val="21"/>
                <w:szCs w:val="21"/>
                <w:u w:val="none"/>
                <w:lang w:eastAsia="zh-CN"/>
              </w:rPr>
              <w:t>薯类和膨化食品</w:t>
            </w:r>
          </w:p>
        </w:tc>
        <w:tc>
          <w:tcPr>
            <w:tcW w:w="355" w:type="pct"/>
            <w:noWrap w:val="0"/>
            <w:vAlign w:val="center"/>
          </w:tcPr>
          <w:p w14:paraId="4E985BB6">
            <w:pPr>
              <w:widowControl/>
              <w:spacing w:line="240" w:lineRule="auto"/>
              <w:ind w:firstLine="0" w:firstLineChars="0"/>
              <w:jc w:val="center"/>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膨化食品</w:t>
            </w:r>
          </w:p>
        </w:tc>
        <w:tc>
          <w:tcPr>
            <w:tcW w:w="312" w:type="pct"/>
            <w:noWrap w:val="0"/>
            <w:vAlign w:val="center"/>
          </w:tcPr>
          <w:p w14:paraId="23051B69">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eastAsia="zh-CN"/>
              </w:rPr>
              <w:t>膨化食品</w:t>
            </w:r>
          </w:p>
        </w:tc>
        <w:tc>
          <w:tcPr>
            <w:tcW w:w="537" w:type="pct"/>
            <w:noWrap w:val="0"/>
            <w:vAlign w:val="center"/>
          </w:tcPr>
          <w:p w14:paraId="6150373D">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eastAsia="zh-CN"/>
              </w:rPr>
              <w:t>膨化食品</w:t>
            </w:r>
          </w:p>
        </w:tc>
        <w:tc>
          <w:tcPr>
            <w:tcW w:w="1524" w:type="pct"/>
            <w:noWrap w:val="0"/>
            <w:vAlign w:val="center"/>
          </w:tcPr>
          <w:p w14:paraId="27D2918D">
            <w:pPr>
              <w:spacing w:line="240" w:lineRule="auto"/>
              <w:ind w:firstLine="0" w:firstLineChars="0"/>
              <w:jc w:val="left"/>
              <w:textAlignment w:val="center"/>
              <w:rPr>
                <w:rFonts w:hint="eastAsia" w:ascii="宋体" w:hAnsi="宋体" w:eastAsia="宋体" w:cs="宋体"/>
                <w:sz w:val="21"/>
                <w:szCs w:val="21"/>
                <w:lang w:val="en-US" w:eastAsia="zh-CN"/>
              </w:rPr>
            </w:pPr>
            <w:r>
              <w:rPr>
                <w:rFonts w:hint="eastAsia" w:ascii="宋体" w:hAnsi="宋体" w:eastAsia="宋体" w:cs="宋体"/>
                <w:color w:val="000000"/>
                <w:sz w:val="21"/>
                <w:szCs w:val="21"/>
                <w:u w:val="none"/>
                <w:lang w:eastAsia="zh-CN"/>
              </w:rPr>
              <w:t>水分、过氧化值</w:t>
            </w:r>
            <w:r>
              <w:rPr>
                <w:rFonts w:hint="eastAsia" w:ascii="宋体" w:hAnsi="宋体" w:eastAsia="宋体" w:cs="宋体"/>
                <w:color w:val="000000"/>
                <w:sz w:val="21"/>
                <w:szCs w:val="21"/>
                <w:u w:val="none"/>
              </w:rPr>
              <w:t>（以脂肪计）</w:t>
            </w:r>
            <w:r>
              <w:rPr>
                <w:rFonts w:hint="eastAsia" w:ascii="宋体" w:hAnsi="宋体" w:eastAsia="宋体" w:cs="宋体"/>
                <w:color w:val="000000"/>
                <w:sz w:val="21"/>
                <w:szCs w:val="21"/>
                <w:u w:val="none"/>
                <w:vertAlign w:val="superscript"/>
                <w:lang w:val="en-US" w:eastAsia="zh-CN"/>
              </w:rPr>
              <w:t>a</w:t>
            </w:r>
            <w:r>
              <w:rPr>
                <w:rFonts w:hint="eastAsia" w:ascii="宋体" w:hAnsi="宋体" w:eastAsia="宋体" w:cs="宋体"/>
                <w:color w:val="000000"/>
                <w:sz w:val="21"/>
                <w:szCs w:val="21"/>
                <w:u w:val="none"/>
              </w:rPr>
              <w:t>、</w:t>
            </w:r>
            <w:r>
              <w:rPr>
                <w:rFonts w:hint="eastAsia" w:ascii="宋体" w:hAnsi="宋体" w:eastAsia="宋体" w:cs="宋体"/>
                <w:color w:val="000000"/>
                <w:sz w:val="21"/>
                <w:szCs w:val="21"/>
                <w:u w:val="none"/>
                <w:lang w:eastAsia="zh-CN"/>
              </w:rPr>
              <w:t>黄曲霉毒素</w:t>
            </w:r>
            <w:r>
              <w:rPr>
                <w:rFonts w:hint="eastAsia" w:ascii="宋体" w:hAnsi="宋体" w:eastAsia="宋体" w:cs="宋体"/>
                <w:color w:val="000000"/>
                <w:sz w:val="21"/>
                <w:szCs w:val="21"/>
                <w:u w:val="none"/>
                <w:lang w:val="en-US" w:eastAsia="zh-CN"/>
              </w:rPr>
              <w:t>B</w:t>
            </w:r>
            <w:r>
              <w:rPr>
                <w:rFonts w:hint="eastAsia" w:ascii="宋体" w:hAnsi="宋体" w:eastAsia="宋体" w:cs="宋体"/>
                <w:color w:val="000000"/>
                <w:sz w:val="21"/>
                <w:szCs w:val="21"/>
                <w:u w:val="none"/>
                <w:vertAlign w:val="subscript"/>
                <w:lang w:val="en-US" w:eastAsia="zh-CN"/>
              </w:rPr>
              <w:t>1</w:t>
            </w:r>
            <w:r>
              <w:rPr>
                <w:rFonts w:hint="eastAsia" w:ascii="宋体" w:hAnsi="宋体" w:eastAsia="宋体" w:cs="宋体"/>
                <w:color w:val="000000"/>
                <w:sz w:val="21"/>
                <w:szCs w:val="21"/>
                <w:u w:val="none"/>
                <w:lang w:val="en-US" w:eastAsia="zh-CN"/>
              </w:rPr>
              <w:t>（以玉米为原料的产品检测）、</w:t>
            </w:r>
            <w:r>
              <w:rPr>
                <w:rFonts w:hint="eastAsia" w:ascii="宋体" w:hAnsi="宋体" w:eastAsia="宋体" w:cs="宋体"/>
                <w:color w:val="000000"/>
                <w:sz w:val="21"/>
                <w:szCs w:val="21"/>
                <w:u w:val="none"/>
              </w:rPr>
              <w:t>糖精钠（以糖精计）、甜蜜素（以环己基氨基磺酸计）、</w:t>
            </w:r>
            <w:r>
              <w:rPr>
                <w:rFonts w:hint="eastAsia" w:ascii="宋体" w:hAnsi="宋体" w:eastAsia="宋体" w:cs="宋体"/>
                <w:color w:val="000000"/>
                <w:sz w:val="21"/>
                <w:szCs w:val="21"/>
                <w:u w:val="none"/>
                <w:lang w:eastAsia="zh-CN"/>
              </w:rPr>
              <w:t>三氯蔗糖、纽甜、合成着色剂（视色泽而定）、菌落总数</w:t>
            </w:r>
            <w:r>
              <w:rPr>
                <w:rFonts w:hint="eastAsia" w:ascii="宋体" w:hAnsi="宋体" w:eastAsia="宋体" w:cs="宋体"/>
                <w:color w:val="000000"/>
                <w:sz w:val="21"/>
                <w:szCs w:val="21"/>
                <w:u w:val="none"/>
                <w:vertAlign w:val="superscript"/>
                <w:lang w:val="en-US" w:eastAsia="zh-CN"/>
              </w:rPr>
              <w:t>a</w:t>
            </w:r>
            <w:r>
              <w:rPr>
                <w:rFonts w:hint="eastAsia" w:ascii="宋体" w:hAnsi="宋体" w:eastAsia="宋体" w:cs="宋体"/>
                <w:color w:val="000000"/>
                <w:sz w:val="21"/>
                <w:szCs w:val="21"/>
                <w:u w:val="none"/>
                <w:lang w:val="en-US" w:eastAsia="zh-CN"/>
              </w:rPr>
              <w:t>、大肠菌群</w:t>
            </w:r>
            <w:r>
              <w:rPr>
                <w:rFonts w:hint="eastAsia" w:ascii="宋体" w:hAnsi="宋体" w:eastAsia="宋体" w:cs="宋体"/>
                <w:color w:val="000000"/>
                <w:sz w:val="21"/>
                <w:szCs w:val="21"/>
                <w:u w:val="none"/>
                <w:vertAlign w:val="superscript"/>
                <w:lang w:val="en-US" w:eastAsia="zh-CN"/>
              </w:rPr>
              <w:t>a</w:t>
            </w:r>
            <w:r>
              <w:rPr>
                <w:rFonts w:hint="eastAsia" w:ascii="宋体" w:hAnsi="宋体" w:eastAsia="宋体" w:cs="宋体"/>
                <w:color w:val="000000"/>
                <w:sz w:val="21"/>
                <w:szCs w:val="21"/>
                <w:u w:val="none"/>
                <w:lang w:val="en-US" w:eastAsia="zh-CN"/>
              </w:rPr>
              <w:t>、沙门氏菌</w:t>
            </w:r>
            <w:r>
              <w:rPr>
                <w:rFonts w:hint="eastAsia" w:ascii="宋体" w:hAnsi="宋体" w:eastAsia="宋体" w:cs="宋体"/>
                <w:color w:val="000000"/>
                <w:sz w:val="21"/>
                <w:szCs w:val="21"/>
                <w:u w:val="none"/>
                <w:vertAlign w:val="superscript"/>
                <w:lang w:val="en-US" w:eastAsia="zh-CN"/>
              </w:rPr>
              <w:t>b</w:t>
            </w:r>
            <w:r>
              <w:rPr>
                <w:rFonts w:hint="eastAsia" w:ascii="宋体" w:hAnsi="宋体" w:eastAsia="宋体" w:cs="宋体"/>
                <w:color w:val="000000"/>
                <w:sz w:val="21"/>
                <w:szCs w:val="21"/>
                <w:u w:val="none"/>
                <w:lang w:val="en-US" w:eastAsia="zh-CN"/>
              </w:rPr>
              <w:t>、金黄色葡萄球菌</w:t>
            </w:r>
            <w:r>
              <w:rPr>
                <w:rFonts w:hint="eastAsia" w:ascii="宋体" w:hAnsi="宋体" w:eastAsia="宋体" w:cs="宋体"/>
                <w:color w:val="000000"/>
                <w:sz w:val="21"/>
                <w:szCs w:val="21"/>
                <w:u w:val="none"/>
                <w:vertAlign w:val="superscript"/>
                <w:lang w:val="en-US" w:eastAsia="zh-CN"/>
              </w:rPr>
              <w:t>b</w:t>
            </w:r>
          </w:p>
        </w:tc>
        <w:tc>
          <w:tcPr>
            <w:tcW w:w="283" w:type="pct"/>
            <w:noWrap w:val="0"/>
            <w:vAlign w:val="center"/>
          </w:tcPr>
          <w:p w14:paraId="43C47470">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12</w:t>
            </w:r>
          </w:p>
        </w:tc>
        <w:tc>
          <w:tcPr>
            <w:tcW w:w="336" w:type="pct"/>
            <w:noWrap w:val="0"/>
            <w:vAlign w:val="center"/>
          </w:tcPr>
          <w:p w14:paraId="0FC7AE92">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68561B6B">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4FB4B3D1">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01824930">
            <w:pPr>
              <w:spacing w:line="240" w:lineRule="auto"/>
              <w:ind w:firstLine="0" w:firstLineChars="0"/>
              <w:jc w:val="center"/>
              <w:rPr>
                <w:rFonts w:hint="eastAsia" w:ascii="宋体" w:hAnsi="宋体" w:eastAsia="宋体" w:cs="宋体"/>
                <w:b/>
                <w:sz w:val="21"/>
                <w:szCs w:val="21"/>
                <w:lang w:val="en-US" w:eastAsia="zh-CN"/>
              </w:rPr>
            </w:pPr>
          </w:p>
        </w:tc>
      </w:tr>
      <w:tr w14:paraId="1864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7" w:hRule="atLeast"/>
        </w:trPr>
        <w:tc>
          <w:tcPr>
            <w:tcW w:w="202" w:type="pct"/>
            <w:vMerge w:val="restart"/>
            <w:noWrap w:val="0"/>
            <w:vAlign w:val="center"/>
          </w:tcPr>
          <w:p w14:paraId="1DA00AF0">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rPr>
              <w:t>1</w:t>
            </w:r>
            <w:r>
              <w:rPr>
                <w:rFonts w:hint="eastAsia" w:ascii="宋体" w:hAnsi="宋体" w:eastAsia="宋体" w:cs="宋体"/>
                <w:b/>
                <w:sz w:val="21"/>
                <w:szCs w:val="21"/>
                <w:lang w:val="en-US" w:eastAsia="zh-CN"/>
              </w:rPr>
              <w:t>2</w:t>
            </w:r>
          </w:p>
        </w:tc>
        <w:tc>
          <w:tcPr>
            <w:tcW w:w="328" w:type="pct"/>
            <w:vMerge w:val="restart"/>
            <w:noWrap w:val="0"/>
            <w:vAlign w:val="center"/>
          </w:tcPr>
          <w:p w14:paraId="66376F32">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糕点</w:t>
            </w:r>
          </w:p>
        </w:tc>
        <w:tc>
          <w:tcPr>
            <w:tcW w:w="355" w:type="pct"/>
            <w:noWrap w:val="0"/>
            <w:vAlign w:val="center"/>
          </w:tcPr>
          <w:p w14:paraId="05CC03F0">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糕点</w:t>
            </w:r>
          </w:p>
        </w:tc>
        <w:tc>
          <w:tcPr>
            <w:tcW w:w="312" w:type="pct"/>
            <w:noWrap w:val="0"/>
            <w:vAlign w:val="center"/>
          </w:tcPr>
          <w:p w14:paraId="1776B659">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糕点</w:t>
            </w:r>
          </w:p>
        </w:tc>
        <w:tc>
          <w:tcPr>
            <w:tcW w:w="537" w:type="pct"/>
            <w:noWrap w:val="0"/>
            <w:vAlign w:val="center"/>
          </w:tcPr>
          <w:p w14:paraId="3D90F19D">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糕点</w:t>
            </w:r>
          </w:p>
        </w:tc>
        <w:tc>
          <w:tcPr>
            <w:tcW w:w="1524" w:type="pct"/>
            <w:noWrap w:val="0"/>
            <w:vAlign w:val="center"/>
          </w:tcPr>
          <w:p w14:paraId="209F05F7">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rPr>
              <w:t>酸价（以脂肪计）（KOH）、过氧化值（以脂肪计）、苯甲酸及其钠盐（以苯甲酸计）、山梨酸及其钾盐（以山梨酸计）、</w:t>
            </w:r>
            <w:r>
              <w:rPr>
                <w:rFonts w:hint="eastAsia" w:ascii="宋体" w:hAnsi="宋体" w:eastAsia="宋体" w:cs="宋体"/>
                <w:sz w:val="21"/>
                <w:szCs w:val="21"/>
              </w:rPr>
              <w:t>脱氢乙酸及其钠盐（以脱氢乙酸计）、丙酸钙及其钠盐、钙盐（以丙酸计）、</w:t>
            </w:r>
            <w:r>
              <w:rPr>
                <w:rFonts w:hint="eastAsia" w:ascii="宋体" w:hAnsi="宋体" w:eastAsia="宋体" w:cs="宋体"/>
                <w:color w:val="000000"/>
                <w:sz w:val="21"/>
                <w:szCs w:val="21"/>
                <w:u w:val="none"/>
              </w:rPr>
              <w:t>防腐剂混合使用时各自用量占其最大使用量比例之和、铝的残留量（干样品，以Al计）、糖精钠（以糖精计）、甜蜜素（以环己基氨基磺酸计）、</w:t>
            </w:r>
            <w:r>
              <w:rPr>
                <w:rFonts w:hint="eastAsia" w:ascii="宋体" w:hAnsi="宋体" w:eastAsia="宋体" w:cs="宋体"/>
                <w:color w:val="000000"/>
                <w:sz w:val="21"/>
                <w:szCs w:val="21"/>
                <w:u w:val="none"/>
                <w:lang w:eastAsia="zh-CN"/>
              </w:rPr>
              <w:t>安赛蜜、</w:t>
            </w:r>
            <w:r>
              <w:rPr>
                <w:rFonts w:hint="eastAsia" w:ascii="宋体" w:hAnsi="宋体" w:eastAsia="宋体" w:cs="宋体"/>
                <w:color w:val="000000"/>
                <w:sz w:val="21"/>
                <w:szCs w:val="21"/>
                <w:u w:val="none"/>
              </w:rPr>
              <w:t>菌落总数、大肠菌群、霉菌</w:t>
            </w:r>
            <w:r>
              <w:rPr>
                <w:rFonts w:hint="eastAsia" w:ascii="宋体" w:hAnsi="宋体" w:eastAsia="宋体" w:cs="宋体"/>
                <w:color w:val="000000"/>
                <w:sz w:val="21"/>
                <w:szCs w:val="21"/>
                <w:u w:val="none"/>
                <w:lang w:eastAsia="zh-CN"/>
              </w:rPr>
              <w:t>、金黄色葡萄球菌、沙门氏菌、</w:t>
            </w: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、富马酸二甲酯、纳他霉素、三氯蔗糖、丙二醇、合成着色剂（柠檬黄、日落黄、胭脂红、苋菜红、亮蓝、赤藓红、诱惑红）</w:t>
            </w:r>
          </w:p>
        </w:tc>
        <w:tc>
          <w:tcPr>
            <w:tcW w:w="283" w:type="pct"/>
            <w:noWrap w:val="0"/>
            <w:vAlign w:val="center"/>
          </w:tcPr>
          <w:p w14:paraId="665E9CF4">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20</w:t>
            </w:r>
          </w:p>
        </w:tc>
        <w:tc>
          <w:tcPr>
            <w:tcW w:w="336" w:type="pct"/>
            <w:noWrap w:val="0"/>
            <w:vAlign w:val="center"/>
          </w:tcPr>
          <w:p w14:paraId="6F6E31B5">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456CB8C7">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269A88B5">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2BF34E8A">
            <w:pPr>
              <w:spacing w:line="240" w:lineRule="auto"/>
              <w:ind w:firstLine="0" w:firstLineChars="0"/>
              <w:jc w:val="center"/>
              <w:rPr>
                <w:rFonts w:hint="eastAsia" w:ascii="宋体" w:hAnsi="宋体" w:eastAsia="宋体" w:cs="宋体"/>
                <w:b/>
                <w:sz w:val="21"/>
                <w:szCs w:val="21"/>
                <w:lang w:val="en-US" w:eastAsia="zh-CN"/>
              </w:rPr>
            </w:pPr>
          </w:p>
        </w:tc>
      </w:tr>
      <w:tr w14:paraId="7A0CF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9" w:hRule="atLeast"/>
        </w:trPr>
        <w:tc>
          <w:tcPr>
            <w:tcW w:w="202" w:type="pct"/>
            <w:vMerge w:val="continue"/>
            <w:noWrap w:val="0"/>
            <w:vAlign w:val="center"/>
          </w:tcPr>
          <w:p w14:paraId="2A04B2C2">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7A6BFA5D">
            <w:pPr>
              <w:spacing w:line="240" w:lineRule="auto"/>
              <w:ind w:firstLine="0" w:firstLineChars="0"/>
              <w:jc w:val="center"/>
              <w:textAlignment w:val="center"/>
              <w:rPr>
                <w:rFonts w:hint="eastAsia" w:ascii="宋体" w:hAnsi="宋体" w:eastAsia="宋体" w:cs="宋体"/>
                <w:sz w:val="21"/>
                <w:szCs w:val="21"/>
              </w:rPr>
            </w:pPr>
          </w:p>
        </w:tc>
        <w:tc>
          <w:tcPr>
            <w:tcW w:w="355" w:type="pct"/>
            <w:noWrap w:val="0"/>
            <w:vAlign w:val="center"/>
          </w:tcPr>
          <w:p w14:paraId="0E1F4056">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面包</w:t>
            </w:r>
          </w:p>
        </w:tc>
        <w:tc>
          <w:tcPr>
            <w:tcW w:w="312" w:type="pct"/>
            <w:noWrap w:val="0"/>
            <w:vAlign w:val="center"/>
          </w:tcPr>
          <w:p w14:paraId="351682AA">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面包</w:t>
            </w:r>
          </w:p>
        </w:tc>
        <w:tc>
          <w:tcPr>
            <w:tcW w:w="537" w:type="pct"/>
            <w:noWrap w:val="0"/>
            <w:vAlign w:val="center"/>
          </w:tcPr>
          <w:p w14:paraId="19DEEA40">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面包</w:t>
            </w:r>
          </w:p>
        </w:tc>
        <w:tc>
          <w:tcPr>
            <w:tcW w:w="1524" w:type="pct"/>
            <w:noWrap w:val="0"/>
            <w:vAlign w:val="center"/>
          </w:tcPr>
          <w:p w14:paraId="14BC935B">
            <w:pPr>
              <w:spacing w:line="240" w:lineRule="auto"/>
              <w:ind w:firstLine="0" w:firstLineChars="0"/>
              <w:jc w:val="left"/>
              <w:textAlignment w:val="center"/>
              <w:rPr>
                <w:rFonts w:hint="eastAsia" w:ascii="宋体" w:hAnsi="宋体" w:eastAsia="宋体" w:cs="宋体"/>
                <w:b/>
                <w:sz w:val="21"/>
                <w:szCs w:val="21"/>
              </w:rPr>
            </w:pPr>
            <w:r>
              <w:rPr>
                <w:rFonts w:hint="eastAsia" w:ascii="宋体" w:hAnsi="宋体" w:eastAsia="宋体" w:cs="宋体"/>
                <w:color w:val="000000"/>
                <w:sz w:val="21"/>
                <w:szCs w:val="21"/>
                <w:u w:val="none"/>
              </w:rPr>
              <w:t>酸价（以脂肪计）（KOH）、过氧化值（以脂肪计）、</w:t>
            </w: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、富马酸二甲酯、</w:t>
            </w:r>
            <w:r>
              <w:rPr>
                <w:rFonts w:hint="eastAsia" w:ascii="宋体" w:hAnsi="宋体" w:eastAsia="宋体" w:cs="宋体"/>
                <w:color w:val="000000"/>
                <w:sz w:val="21"/>
                <w:szCs w:val="21"/>
                <w:u w:val="none"/>
              </w:rPr>
              <w:t>苯甲酸及其钠盐（以苯甲酸计）、山梨酸及其钾盐（以山梨酸计）、糖精钠（以糖精计）、甜蜜素（以环己基氨基磺酸计）、</w:t>
            </w:r>
            <w:r>
              <w:rPr>
                <w:rFonts w:hint="eastAsia" w:ascii="宋体" w:hAnsi="宋体" w:eastAsia="宋体" w:cs="宋体"/>
                <w:color w:val="000000"/>
                <w:sz w:val="21"/>
                <w:szCs w:val="21"/>
                <w:u w:val="none"/>
                <w:lang w:eastAsia="zh-CN"/>
              </w:rPr>
              <w:t>安赛蜜、</w:t>
            </w:r>
            <w:r>
              <w:rPr>
                <w:rFonts w:hint="eastAsia" w:ascii="宋体" w:hAnsi="宋体" w:eastAsia="宋体" w:cs="宋体"/>
                <w:color w:val="000000"/>
                <w:sz w:val="21"/>
                <w:szCs w:val="21"/>
                <w:u w:val="none"/>
              </w:rPr>
              <w:t>铝的残留量（干样品，以Al计）、</w:t>
            </w:r>
            <w:r>
              <w:rPr>
                <w:rFonts w:hint="eastAsia" w:ascii="宋体" w:hAnsi="宋体" w:eastAsia="宋体" w:cs="宋体"/>
                <w:sz w:val="21"/>
                <w:szCs w:val="21"/>
              </w:rPr>
              <w:t>丙酸钙及其钠盐、钙盐（以丙酸计）、脱氢乙酸及其钠盐（以脱氢乙酸计）、</w:t>
            </w:r>
            <w:r>
              <w:rPr>
                <w:rFonts w:hint="eastAsia" w:ascii="宋体" w:hAnsi="宋体" w:eastAsia="宋体" w:cs="宋体"/>
                <w:kern w:val="0"/>
                <w:sz w:val="21"/>
                <w:szCs w:val="21"/>
                <w:lang w:eastAsia="zh-CN"/>
              </w:rPr>
              <w:t>三氯蔗糖、合成着色剂（柠檬黄、日落黄、胭脂红、苋菜红、亮蓝、诱惑红、酸性红）、</w:t>
            </w:r>
            <w:r>
              <w:rPr>
                <w:rFonts w:hint="eastAsia" w:ascii="宋体" w:hAnsi="宋体" w:eastAsia="宋体" w:cs="宋体"/>
                <w:color w:val="000000"/>
                <w:sz w:val="21"/>
                <w:szCs w:val="21"/>
                <w:u w:val="none"/>
              </w:rPr>
              <w:t>防腐剂混合使用时各自用量占其最大使用量比例之和、菌落总数、大肠菌群、</w:t>
            </w:r>
            <w:r>
              <w:rPr>
                <w:rFonts w:hint="eastAsia" w:ascii="宋体" w:hAnsi="宋体" w:eastAsia="宋体" w:cs="宋体"/>
                <w:color w:val="000000"/>
                <w:sz w:val="21"/>
                <w:szCs w:val="21"/>
                <w:u w:val="none"/>
                <w:lang w:eastAsia="zh-CN"/>
              </w:rPr>
              <w:t>金黄色葡萄球菌、沙门氏菌、</w:t>
            </w:r>
            <w:r>
              <w:rPr>
                <w:rFonts w:hint="eastAsia" w:ascii="宋体" w:hAnsi="宋体" w:eastAsia="宋体" w:cs="宋体"/>
                <w:color w:val="000000"/>
                <w:sz w:val="21"/>
                <w:szCs w:val="21"/>
                <w:u w:val="none"/>
              </w:rPr>
              <w:t>霉菌</w:t>
            </w:r>
          </w:p>
        </w:tc>
        <w:tc>
          <w:tcPr>
            <w:tcW w:w="283" w:type="pct"/>
            <w:noWrap w:val="0"/>
            <w:vAlign w:val="center"/>
          </w:tcPr>
          <w:p w14:paraId="688F9CC5">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14</w:t>
            </w:r>
          </w:p>
        </w:tc>
        <w:tc>
          <w:tcPr>
            <w:tcW w:w="336" w:type="pct"/>
            <w:noWrap w:val="0"/>
            <w:vAlign w:val="center"/>
          </w:tcPr>
          <w:p w14:paraId="06D0459C">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01154952">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3AA14D12">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59D24451">
            <w:pPr>
              <w:spacing w:line="240" w:lineRule="auto"/>
              <w:ind w:firstLine="0" w:firstLineChars="0"/>
              <w:jc w:val="center"/>
              <w:rPr>
                <w:rFonts w:hint="eastAsia" w:ascii="宋体" w:hAnsi="宋体" w:eastAsia="宋体" w:cs="宋体"/>
                <w:b/>
                <w:sz w:val="21"/>
                <w:szCs w:val="21"/>
              </w:rPr>
            </w:pPr>
          </w:p>
        </w:tc>
      </w:tr>
      <w:tr w14:paraId="1414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5" w:hRule="atLeast"/>
        </w:trPr>
        <w:tc>
          <w:tcPr>
            <w:tcW w:w="202" w:type="pct"/>
            <w:noWrap w:val="0"/>
            <w:vAlign w:val="center"/>
          </w:tcPr>
          <w:p w14:paraId="4849151D">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12</w:t>
            </w:r>
          </w:p>
        </w:tc>
        <w:tc>
          <w:tcPr>
            <w:tcW w:w="328" w:type="pct"/>
            <w:noWrap w:val="0"/>
            <w:vAlign w:val="center"/>
          </w:tcPr>
          <w:p w14:paraId="0CFD3F03">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糕点</w:t>
            </w:r>
          </w:p>
        </w:tc>
        <w:tc>
          <w:tcPr>
            <w:tcW w:w="355" w:type="pct"/>
            <w:noWrap w:val="0"/>
            <w:vAlign w:val="center"/>
          </w:tcPr>
          <w:p w14:paraId="7C6CCF80">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月饼</w:t>
            </w:r>
          </w:p>
        </w:tc>
        <w:tc>
          <w:tcPr>
            <w:tcW w:w="312" w:type="pct"/>
            <w:noWrap w:val="0"/>
            <w:vAlign w:val="center"/>
          </w:tcPr>
          <w:p w14:paraId="14A8FBFB">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月饼</w:t>
            </w:r>
          </w:p>
        </w:tc>
        <w:tc>
          <w:tcPr>
            <w:tcW w:w="537" w:type="pct"/>
            <w:noWrap w:val="0"/>
            <w:vAlign w:val="center"/>
          </w:tcPr>
          <w:p w14:paraId="27B3110E">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月饼</w:t>
            </w:r>
          </w:p>
        </w:tc>
        <w:tc>
          <w:tcPr>
            <w:tcW w:w="1524" w:type="pct"/>
            <w:noWrap w:val="0"/>
            <w:vAlign w:val="center"/>
          </w:tcPr>
          <w:p w14:paraId="07390A39">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rPr>
              <w:t>酸价（以脂肪计）（KOH）、过氧化值（以脂肪计）、苯甲酸及其钠盐（以苯甲酸计）、山梨酸及其钾盐（以山梨酸计）、</w:t>
            </w:r>
            <w:r>
              <w:rPr>
                <w:rFonts w:hint="eastAsia" w:ascii="宋体" w:hAnsi="宋体" w:eastAsia="宋体" w:cs="宋体"/>
                <w:sz w:val="21"/>
                <w:szCs w:val="21"/>
              </w:rPr>
              <w:t>丙酸钙及其钠盐、钙盐（以丙酸计）、脱氢乙酸及其钠盐（以脱氢乙酸计）、</w:t>
            </w:r>
            <w:r>
              <w:rPr>
                <w:rFonts w:hint="eastAsia" w:ascii="宋体" w:hAnsi="宋体" w:eastAsia="宋体" w:cs="宋体"/>
                <w:color w:val="000000"/>
                <w:sz w:val="21"/>
                <w:szCs w:val="21"/>
                <w:u w:val="none"/>
              </w:rPr>
              <w:t>防腐剂混合使用时各自用量占其最大使用量比例之和、铝的残留量（干样品，以A</w:t>
            </w:r>
            <w:r>
              <w:rPr>
                <w:rFonts w:hint="eastAsia" w:ascii="宋体" w:hAnsi="宋体" w:eastAsia="宋体" w:cs="宋体"/>
                <w:color w:val="000000"/>
                <w:sz w:val="21"/>
                <w:szCs w:val="21"/>
                <w:u w:val="none"/>
                <w:lang w:val="en-US" w:eastAsia="zh-CN"/>
              </w:rPr>
              <w:t>l</w:t>
            </w:r>
            <w:r>
              <w:rPr>
                <w:rFonts w:hint="eastAsia" w:ascii="宋体" w:hAnsi="宋体" w:eastAsia="宋体" w:cs="宋体"/>
                <w:color w:val="000000"/>
                <w:sz w:val="21"/>
                <w:szCs w:val="21"/>
                <w:u w:val="none"/>
              </w:rPr>
              <w:t>计）、糖精钠（以糖精计）、甜蜜素（以环己基氨基磺酸计）、菌落总数、大肠菌群、霉菌</w:t>
            </w:r>
            <w:r>
              <w:rPr>
                <w:rFonts w:hint="eastAsia" w:ascii="宋体" w:hAnsi="宋体" w:eastAsia="宋体" w:cs="宋体"/>
                <w:color w:val="000000"/>
                <w:sz w:val="21"/>
                <w:szCs w:val="21"/>
                <w:u w:val="none"/>
                <w:lang w:eastAsia="zh-CN"/>
              </w:rPr>
              <w:t>、金黄色葡萄球菌、沙门氏菌、</w:t>
            </w: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、富马酸二甲酯、纳他霉素、三氯蔗糖、丙二醇、合成着色剂（柠檬黄、日落黄、胭脂红、苋菜红、亮蓝、赤藓红、诱惑红）</w:t>
            </w:r>
          </w:p>
        </w:tc>
        <w:tc>
          <w:tcPr>
            <w:tcW w:w="283" w:type="pct"/>
            <w:noWrap w:val="0"/>
            <w:vAlign w:val="center"/>
          </w:tcPr>
          <w:p w14:paraId="0F4BDC05">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7</w:t>
            </w:r>
          </w:p>
        </w:tc>
        <w:tc>
          <w:tcPr>
            <w:tcW w:w="336" w:type="pct"/>
            <w:noWrap w:val="0"/>
            <w:vAlign w:val="center"/>
          </w:tcPr>
          <w:p w14:paraId="56A734F4">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2177DCD7">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3A4537D9">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1C9D4E7A">
            <w:pPr>
              <w:spacing w:line="240" w:lineRule="auto"/>
              <w:ind w:firstLine="0" w:firstLineChars="0"/>
              <w:jc w:val="center"/>
              <w:rPr>
                <w:rFonts w:hint="eastAsia" w:ascii="宋体" w:hAnsi="宋体" w:eastAsia="宋体" w:cs="宋体"/>
                <w:b/>
                <w:sz w:val="21"/>
                <w:szCs w:val="21"/>
              </w:rPr>
            </w:pPr>
          </w:p>
        </w:tc>
      </w:tr>
      <w:tr w14:paraId="3AEF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202" w:type="pct"/>
            <w:vMerge w:val="restart"/>
            <w:noWrap w:val="0"/>
            <w:vAlign w:val="center"/>
          </w:tcPr>
          <w:p w14:paraId="0E82AA7A">
            <w:pPr>
              <w:spacing w:line="240" w:lineRule="auto"/>
              <w:ind w:firstLine="0" w:firstLineChars="0"/>
              <w:jc w:val="center"/>
              <w:rPr>
                <w:rFonts w:hint="eastAsia" w:ascii="宋体" w:hAnsi="宋体" w:eastAsia="宋体" w:cs="宋体"/>
                <w:bCs/>
                <w:sz w:val="21"/>
                <w:szCs w:val="21"/>
                <w:lang w:eastAsia="zh-CN"/>
              </w:rPr>
            </w:pPr>
            <w:r>
              <w:rPr>
                <w:rFonts w:hint="eastAsia" w:ascii="宋体" w:hAnsi="宋体" w:eastAsia="宋体" w:cs="宋体"/>
                <w:b/>
                <w:sz w:val="21"/>
                <w:szCs w:val="21"/>
              </w:rPr>
              <w:t>1</w:t>
            </w:r>
            <w:r>
              <w:rPr>
                <w:rFonts w:hint="eastAsia" w:ascii="宋体" w:hAnsi="宋体" w:eastAsia="宋体" w:cs="宋体"/>
                <w:b/>
                <w:sz w:val="21"/>
                <w:szCs w:val="21"/>
                <w:lang w:val="en-US" w:eastAsia="zh-CN"/>
              </w:rPr>
              <w:t>3</w:t>
            </w:r>
          </w:p>
        </w:tc>
        <w:tc>
          <w:tcPr>
            <w:tcW w:w="328" w:type="pct"/>
            <w:vMerge w:val="restart"/>
            <w:noWrap w:val="0"/>
            <w:vAlign w:val="center"/>
          </w:tcPr>
          <w:p w14:paraId="60B229E2">
            <w:pPr>
              <w:widowControl/>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糖果制品</w:t>
            </w:r>
          </w:p>
        </w:tc>
        <w:tc>
          <w:tcPr>
            <w:tcW w:w="355" w:type="pct"/>
            <w:vMerge w:val="restart"/>
            <w:noWrap w:val="0"/>
            <w:vAlign w:val="center"/>
          </w:tcPr>
          <w:p w14:paraId="51365765">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糖果制品（含巧克力制品）</w:t>
            </w:r>
          </w:p>
        </w:tc>
        <w:tc>
          <w:tcPr>
            <w:tcW w:w="312" w:type="pct"/>
            <w:noWrap w:val="0"/>
            <w:vAlign w:val="center"/>
          </w:tcPr>
          <w:p w14:paraId="4A97EE4F">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糖果</w:t>
            </w:r>
          </w:p>
        </w:tc>
        <w:tc>
          <w:tcPr>
            <w:tcW w:w="537" w:type="pct"/>
            <w:noWrap w:val="0"/>
            <w:vAlign w:val="center"/>
          </w:tcPr>
          <w:p w14:paraId="4A3149EA">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糖果</w:t>
            </w:r>
          </w:p>
        </w:tc>
        <w:tc>
          <w:tcPr>
            <w:tcW w:w="1524" w:type="pct"/>
            <w:noWrap w:val="0"/>
            <w:vAlign w:val="center"/>
          </w:tcPr>
          <w:p w14:paraId="48701F84">
            <w:pPr>
              <w:spacing w:line="240" w:lineRule="auto"/>
              <w:ind w:firstLine="0" w:firstLineChars="0"/>
              <w:jc w:val="left"/>
              <w:rPr>
                <w:rFonts w:hint="eastAsia" w:ascii="宋体" w:hAnsi="宋体" w:eastAsia="宋体" w:cs="宋体"/>
                <w:sz w:val="21"/>
                <w:szCs w:val="21"/>
                <w:vertAlign w:val="superscript"/>
                <w:lang w:val="en-US" w:eastAsia="zh-CN"/>
              </w:rPr>
            </w:pPr>
            <w:r>
              <w:rPr>
                <w:rFonts w:hint="eastAsia" w:ascii="宋体" w:hAnsi="宋体" w:eastAsia="宋体" w:cs="宋体"/>
                <w:color w:val="000000"/>
                <w:sz w:val="21"/>
                <w:szCs w:val="21"/>
                <w:u w:val="none"/>
              </w:rPr>
              <w:t>糖精钠（以糖精计）、甜蜜素（以环己基氨基磺酸计）</w:t>
            </w:r>
            <w:r>
              <w:rPr>
                <w:rFonts w:hint="eastAsia" w:ascii="宋体" w:hAnsi="宋体" w:eastAsia="宋体" w:cs="宋体"/>
                <w:color w:val="000000"/>
                <w:sz w:val="21"/>
                <w:szCs w:val="21"/>
                <w:u w:val="none"/>
                <w:lang w:eastAsia="zh-CN"/>
              </w:rPr>
              <w:t>、</w:t>
            </w:r>
            <w:r>
              <w:rPr>
                <w:rFonts w:hint="eastAsia" w:ascii="宋体" w:hAnsi="宋体" w:eastAsia="宋体" w:cs="宋体"/>
                <w:sz w:val="21"/>
                <w:szCs w:val="21"/>
              </w:rPr>
              <w:t>合成着色剂（视色泽而定）、</w:t>
            </w:r>
            <w:r>
              <w:rPr>
                <w:rFonts w:hint="eastAsia" w:ascii="宋体" w:hAnsi="宋体" w:eastAsia="宋体" w:cs="宋体"/>
                <w:sz w:val="21"/>
                <w:szCs w:val="21"/>
                <w:lang w:eastAsia="zh-CN"/>
              </w:rPr>
              <w:t>相同色泽着色剂混合使用时各自用量占其最大使用量的比例之和、二氧化硫残留量、</w:t>
            </w: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w:t>
            </w:r>
            <w:r>
              <w:rPr>
                <w:rFonts w:hint="eastAsia" w:ascii="宋体" w:hAnsi="宋体" w:eastAsia="宋体" w:cs="宋体"/>
                <w:sz w:val="21"/>
                <w:szCs w:val="21"/>
              </w:rPr>
              <w:t>菌落总数</w:t>
            </w:r>
            <w:r>
              <w:rPr>
                <w:rFonts w:hint="eastAsia" w:ascii="宋体" w:hAnsi="宋体" w:eastAsia="宋体" w:cs="宋体"/>
                <w:sz w:val="21"/>
                <w:szCs w:val="21"/>
                <w:vertAlign w:val="superscript"/>
                <w:lang w:val="en-US" w:eastAsia="zh-CN"/>
              </w:rPr>
              <w:t>a</w:t>
            </w:r>
            <w:r>
              <w:rPr>
                <w:rFonts w:hint="eastAsia" w:ascii="宋体" w:hAnsi="宋体" w:eastAsia="宋体" w:cs="宋体"/>
                <w:sz w:val="21"/>
                <w:szCs w:val="21"/>
              </w:rPr>
              <w:t>、大肠菌群、</w:t>
            </w:r>
            <w:r>
              <w:rPr>
                <w:rFonts w:hint="eastAsia" w:ascii="宋体" w:hAnsi="宋体" w:eastAsia="宋体" w:cs="宋体"/>
                <w:sz w:val="21"/>
                <w:szCs w:val="21"/>
                <w:lang w:eastAsia="zh-CN"/>
              </w:rPr>
              <w:t>西地那非</w:t>
            </w:r>
            <w:r>
              <w:rPr>
                <w:rFonts w:hint="eastAsia" w:ascii="宋体" w:hAnsi="宋体" w:eastAsia="宋体" w:cs="宋体"/>
                <w:sz w:val="21"/>
                <w:szCs w:val="21"/>
                <w:vertAlign w:val="superscript"/>
                <w:lang w:val="en-US" w:eastAsia="zh-CN"/>
              </w:rPr>
              <w:t>b</w:t>
            </w:r>
            <w:r>
              <w:rPr>
                <w:rFonts w:hint="eastAsia" w:ascii="宋体" w:hAnsi="宋体" w:eastAsia="宋体" w:cs="宋体"/>
                <w:sz w:val="21"/>
                <w:szCs w:val="21"/>
                <w:lang w:val="en-US" w:eastAsia="zh-CN"/>
              </w:rPr>
              <w:t>、他达拉非</w:t>
            </w:r>
            <w:r>
              <w:rPr>
                <w:rFonts w:hint="eastAsia" w:ascii="宋体" w:hAnsi="宋体" w:eastAsia="宋体" w:cs="宋体"/>
                <w:sz w:val="21"/>
                <w:szCs w:val="21"/>
                <w:vertAlign w:val="superscript"/>
                <w:lang w:val="en-US" w:eastAsia="zh-CN"/>
              </w:rPr>
              <w:t>b</w:t>
            </w:r>
            <w:r>
              <w:rPr>
                <w:rFonts w:hint="eastAsia" w:ascii="宋体" w:hAnsi="宋体" w:eastAsia="宋体" w:cs="宋体"/>
                <w:sz w:val="21"/>
                <w:szCs w:val="21"/>
                <w:lang w:val="en-US" w:eastAsia="zh-CN"/>
              </w:rPr>
              <w:t>、酚丁</w:t>
            </w:r>
            <w:r>
              <w:rPr>
                <w:rFonts w:hint="eastAsia" w:ascii="宋体" w:hAnsi="宋体" w:eastAsia="宋体" w:cs="宋体"/>
                <w:sz w:val="21"/>
                <w:szCs w:val="21"/>
                <w:vertAlign w:val="superscript"/>
                <w:lang w:val="en-US" w:eastAsia="zh-CN"/>
              </w:rPr>
              <w:t>c</w:t>
            </w:r>
            <w:r>
              <w:rPr>
                <w:rFonts w:hint="eastAsia" w:ascii="宋体" w:hAnsi="宋体" w:eastAsia="宋体" w:cs="宋体"/>
                <w:sz w:val="21"/>
                <w:szCs w:val="21"/>
                <w:lang w:val="en-US" w:eastAsia="zh-CN"/>
              </w:rPr>
              <w:t>、双酚沙丁</w:t>
            </w:r>
            <w:r>
              <w:rPr>
                <w:rFonts w:hint="eastAsia" w:ascii="宋体" w:hAnsi="宋体" w:eastAsia="宋体" w:cs="宋体"/>
                <w:sz w:val="21"/>
                <w:szCs w:val="21"/>
                <w:vertAlign w:val="superscript"/>
                <w:lang w:val="en-US" w:eastAsia="zh-CN"/>
              </w:rPr>
              <w:t>c</w:t>
            </w:r>
            <w:r>
              <w:rPr>
                <w:rFonts w:hint="eastAsia" w:ascii="宋体" w:hAnsi="宋体" w:eastAsia="宋体" w:cs="宋体"/>
                <w:sz w:val="21"/>
                <w:szCs w:val="21"/>
                <w:lang w:val="en-US" w:eastAsia="zh-CN"/>
              </w:rPr>
              <w:t>、双丙酚丁</w:t>
            </w:r>
            <w:r>
              <w:rPr>
                <w:rFonts w:hint="eastAsia" w:ascii="宋体" w:hAnsi="宋体" w:eastAsia="宋体" w:cs="宋体"/>
                <w:sz w:val="21"/>
                <w:szCs w:val="21"/>
                <w:vertAlign w:val="superscript"/>
                <w:lang w:val="en-US" w:eastAsia="zh-CN"/>
              </w:rPr>
              <w:t>c</w:t>
            </w:r>
            <w:r>
              <w:rPr>
                <w:rFonts w:hint="eastAsia" w:ascii="宋体" w:hAnsi="宋体" w:eastAsia="宋体" w:cs="宋体"/>
                <w:sz w:val="21"/>
                <w:szCs w:val="21"/>
                <w:lang w:val="en-US" w:eastAsia="zh-CN"/>
              </w:rPr>
              <w:t>、脱乙酰比沙可啶</w:t>
            </w:r>
            <w:r>
              <w:rPr>
                <w:rFonts w:hint="eastAsia" w:ascii="宋体" w:hAnsi="宋体" w:eastAsia="宋体" w:cs="宋体"/>
                <w:sz w:val="21"/>
                <w:szCs w:val="21"/>
                <w:vertAlign w:val="superscript"/>
                <w:lang w:val="en-US" w:eastAsia="zh-CN"/>
              </w:rPr>
              <w:t>c</w:t>
            </w:r>
          </w:p>
        </w:tc>
        <w:tc>
          <w:tcPr>
            <w:tcW w:w="283" w:type="pct"/>
            <w:noWrap w:val="0"/>
            <w:vAlign w:val="center"/>
          </w:tcPr>
          <w:p w14:paraId="3554728F">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12</w:t>
            </w:r>
          </w:p>
        </w:tc>
        <w:tc>
          <w:tcPr>
            <w:tcW w:w="336" w:type="pct"/>
            <w:noWrap w:val="0"/>
            <w:vAlign w:val="center"/>
          </w:tcPr>
          <w:p w14:paraId="6C7E4ADE">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597F7E27">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32E607FF">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6C8030FA">
            <w:pPr>
              <w:spacing w:line="240" w:lineRule="auto"/>
              <w:ind w:firstLine="0" w:firstLineChars="0"/>
              <w:jc w:val="center"/>
              <w:rPr>
                <w:rFonts w:hint="eastAsia" w:ascii="宋体" w:hAnsi="宋体" w:eastAsia="宋体" w:cs="宋体"/>
                <w:b/>
                <w:sz w:val="21"/>
                <w:szCs w:val="21"/>
                <w:lang w:val="en-US" w:eastAsia="zh-CN"/>
              </w:rPr>
            </w:pPr>
          </w:p>
        </w:tc>
      </w:tr>
      <w:tr w14:paraId="2CD5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202" w:type="pct"/>
            <w:vMerge w:val="continue"/>
            <w:noWrap w:val="0"/>
            <w:vAlign w:val="center"/>
          </w:tcPr>
          <w:p w14:paraId="3B6EA761">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43365291">
            <w:pPr>
              <w:widowControl/>
              <w:spacing w:line="240" w:lineRule="auto"/>
              <w:ind w:firstLine="0" w:firstLineChars="0"/>
              <w:jc w:val="center"/>
              <w:textAlignment w:val="center"/>
              <w:rPr>
                <w:rFonts w:hint="eastAsia" w:ascii="宋体" w:hAnsi="宋体" w:eastAsia="宋体" w:cs="宋体"/>
                <w:kern w:val="0"/>
                <w:sz w:val="21"/>
                <w:szCs w:val="21"/>
              </w:rPr>
            </w:pPr>
          </w:p>
        </w:tc>
        <w:tc>
          <w:tcPr>
            <w:tcW w:w="355" w:type="pct"/>
            <w:vMerge w:val="continue"/>
            <w:noWrap w:val="0"/>
            <w:vAlign w:val="center"/>
          </w:tcPr>
          <w:p w14:paraId="740B3256">
            <w:pPr>
              <w:spacing w:line="240" w:lineRule="auto"/>
              <w:ind w:firstLine="0" w:firstLineChars="0"/>
              <w:jc w:val="center"/>
              <w:textAlignment w:val="center"/>
              <w:rPr>
                <w:rFonts w:hint="eastAsia" w:ascii="宋体" w:hAnsi="宋体" w:eastAsia="宋体" w:cs="宋体"/>
                <w:sz w:val="21"/>
                <w:szCs w:val="21"/>
              </w:rPr>
            </w:pPr>
          </w:p>
        </w:tc>
        <w:tc>
          <w:tcPr>
            <w:tcW w:w="312" w:type="pct"/>
            <w:noWrap w:val="0"/>
            <w:vAlign w:val="center"/>
          </w:tcPr>
          <w:p w14:paraId="5A5E2097">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巧克力及巧克力制品</w:t>
            </w:r>
          </w:p>
        </w:tc>
        <w:tc>
          <w:tcPr>
            <w:tcW w:w="537" w:type="pct"/>
            <w:noWrap w:val="0"/>
            <w:vAlign w:val="center"/>
          </w:tcPr>
          <w:p w14:paraId="2708E415">
            <w:pPr>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巧克力、巧克力制品、代可可脂巧克力及代可可脂巧克力制品</w:t>
            </w:r>
          </w:p>
        </w:tc>
        <w:tc>
          <w:tcPr>
            <w:tcW w:w="1524" w:type="pct"/>
            <w:noWrap w:val="0"/>
            <w:vAlign w:val="center"/>
          </w:tcPr>
          <w:p w14:paraId="731DCF54">
            <w:pPr>
              <w:spacing w:line="240" w:lineRule="auto"/>
              <w:ind w:firstLine="0" w:firstLineChars="0"/>
              <w:jc w:val="left"/>
              <w:rPr>
                <w:rFonts w:hint="eastAsia" w:ascii="宋体" w:hAnsi="宋体" w:eastAsia="宋体" w:cs="宋体"/>
                <w:sz w:val="21"/>
                <w:szCs w:val="21"/>
                <w:vertAlign w:val="superscript"/>
                <w:lang w:val="en-US" w:eastAsia="zh-CN"/>
              </w:rPr>
            </w:pP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、沙门氏菌</w:t>
            </w:r>
          </w:p>
        </w:tc>
        <w:tc>
          <w:tcPr>
            <w:tcW w:w="283" w:type="pct"/>
            <w:noWrap w:val="0"/>
            <w:vAlign w:val="center"/>
          </w:tcPr>
          <w:p w14:paraId="75F6E95F">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6</w:t>
            </w:r>
          </w:p>
        </w:tc>
        <w:tc>
          <w:tcPr>
            <w:tcW w:w="336" w:type="pct"/>
            <w:noWrap w:val="0"/>
            <w:vAlign w:val="center"/>
          </w:tcPr>
          <w:p w14:paraId="7A30B5E7">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2BE9180A">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5E1A8B10">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278B96F7">
            <w:pPr>
              <w:spacing w:line="240" w:lineRule="auto"/>
              <w:ind w:firstLine="0" w:firstLineChars="0"/>
              <w:jc w:val="center"/>
              <w:rPr>
                <w:rFonts w:hint="eastAsia" w:ascii="宋体" w:hAnsi="宋体" w:eastAsia="宋体" w:cs="宋体"/>
                <w:b/>
                <w:sz w:val="21"/>
                <w:szCs w:val="21"/>
                <w:lang w:val="en-US" w:eastAsia="zh-CN"/>
              </w:rPr>
            </w:pPr>
          </w:p>
        </w:tc>
      </w:tr>
      <w:tr w14:paraId="72E7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trPr>
        <w:tc>
          <w:tcPr>
            <w:tcW w:w="202" w:type="pct"/>
            <w:noWrap w:val="0"/>
            <w:vAlign w:val="center"/>
          </w:tcPr>
          <w:p w14:paraId="7A2DDCF9">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13</w:t>
            </w:r>
          </w:p>
        </w:tc>
        <w:tc>
          <w:tcPr>
            <w:tcW w:w="328" w:type="pct"/>
            <w:noWrap w:val="0"/>
            <w:vAlign w:val="center"/>
          </w:tcPr>
          <w:p w14:paraId="73F525B4">
            <w:pPr>
              <w:widowControl/>
              <w:spacing w:line="240" w:lineRule="auto"/>
              <w:ind w:firstLine="0" w:firstLineChars="0"/>
              <w:jc w:val="center"/>
              <w:textAlignment w:val="center"/>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rPr>
              <w:t>糖果制品</w:t>
            </w:r>
          </w:p>
        </w:tc>
        <w:tc>
          <w:tcPr>
            <w:tcW w:w="355" w:type="pct"/>
            <w:noWrap w:val="0"/>
            <w:vAlign w:val="center"/>
          </w:tcPr>
          <w:p w14:paraId="1154C093">
            <w:pPr>
              <w:spacing w:line="240" w:lineRule="auto"/>
              <w:ind w:firstLine="0" w:firstLineChars="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糖果制品（含巧克力制品）</w:t>
            </w:r>
          </w:p>
        </w:tc>
        <w:tc>
          <w:tcPr>
            <w:tcW w:w="312" w:type="pct"/>
            <w:noWrap w:val="0"/>
            <w:vAlign w:val="center"/>
          </w:tcPr>
          <w:p w14:paraId="1A7416A8">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果冻</w:t>
            </w:r>
          </w:p>
        </w:tc>
        <w:tc>
          <w:tcPr>
            <w:tcW w:w="537" w:type="pct"/>
            <w:noWrap w:val="0"/>
            <w:vAlign w:val="center"/>
          </w:tcPr>
          <w:p w14:paraId="7648B981">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果冻</w:t>
            </w:r>
          </w:p>
        </w:tc>
        <w:tc>
          <w:tcPr>
            <w:tcW w:w="1524" w:type="pct"/>
            <w:noWrap w:val="0"/>
            <w:vAlign w:val="center"/>
          </w:tcPr>
          <w:p w14:paraId="7C96ED88">
            <w:pPr>
              <w:spacing w:line="240" w:lineRule="auto"/>
              <w:ind w:firstLine="0" w:firstLineChars="0"/>
              <w:jc w:val="left"/>
              <w:rPr>
                <w:rFonts w:hint="eastAsia" w:ascii="宋体" w:hAnsi="宋体" w:eastAsia="宋体" w:cs="宋体"/>
                <w:sz w:val="21"/>
                <w:szCs w:val="21"/>
                <w:lang w:eastAsia="zh-CN"/>
              </w:rPr>
            </w:pPr>
            <w:r>
              <w:rPr>
                <w:rFonts w:hint="eastAsia" w:ascii="宋体" w:hAnsi="宋体" w:eastAsia="宋体" w:cs="宋体"/>
                <w:color w:val="000000"/>
                <w:sz w:val="21"/>
                <w:szCs w:val="21"/>
                <w:u w:val="none"/>
              </w:rPr>
              <w:t>糖精钠（以糖精计）、甜蜜素（以环己基氨基磺酸计）、山梨酸及其钾盐（以山梨酸计）、苯甲酸及其钠盐（以苯甲酸计）、</w:t>
            </w:r>
            <w:r>
              <w:rPr>
                <w:rFonts w:hint="eastAsia" w:ascii="宋体" w:hAnsi="宋体" w:eastAsia="宋体" w:cs="宋体"/>
                <w:sz w:val="21"/>
                <w:szCs w:val="21"/>
              </w:rPr>
              <w:t>合成着色剂（视色泽而定）</w:t>
            </w:r>
            <w:r>
              <w:rPr>
                <w:rFonts w:hint="eastAsia" w:ascii="宋体" w:hAnsi="宋体" w:eastAsia="宋体" w:cs="宋体"/>
                <w:sz w:val="21"/>
                <w:szCs w:val="21"/>
                <w:lang w:eastAsia="zh-CN"/>
              </w:rPr>
              <w:t>、相同色泽着色剂混合使用时各自用量占其最大使用量的比例之和、安赛蜜、双丙酚丁</w:t>
            </w:r>
            <w:r>
              <w:rPr>
                <w:rFonts w:hint="eastAsia" w:ascii="宋体" w:hAnsi="宋体" w:eastAsia="宋体" w:cs="宋体"/>
                <w:sz w:val="21"/>
                <w:szCs w:val="21"/>
                <w:lang w:val="en-US" w:eastAsia="zh-CN"/>
              </w:rPr>
              <w:t>a、脱乙酰比沙可啶a、</w:t>
            </w:r>
            <w:r>
              <w:rPr>
                <w:rFonts w:hint="eastAsia" w:ascii="宋体" w:hAnsi="宋体" w:eastAsia="宋体" w:cs="宋体"/>
                <w:sz w:val="21"/>
                <w:szCs w:val="21"/>
              </w:rPr>
              <w:t>菌落总数、大肠菌群、</w:t>
            </w:r>
            <w:r>
              <w:rPr>
                <w:rFonts w:hint="eastAsia" w:ascii="宋体" w:hAnsi="宋体" w:eastAsia="宋体" w:cs="宋体"/>
                <w:sz w:val="21"/>
                <w:szCs w:val="21"/>
                <w:lang w:eastAsia="zh-CN"/>
              </w:rPr>
              <w:t>霉菌、酵母</w:t>
            </w:r>
          </w:p>
        </w:tc>
        <w:tc>
          <w:tcPr>
            <w:tcW w:w="283" w:type="pct"/>
            <w:noWrap w:val="0"/>
            <w:vAlign w:val="center"/>
          </w:tcPr>
          <w:p w14:paraId="615B9EA8">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8</w:t>
            </w:r>
          </w:p>
        </w:tc>
        <w:tc>
          <w:tcPr>
            <w:tcW w:w="336" w:type="pct"/>
            <w:noWrap w:val="0"/>
            <w:vAlign w:val="center"/>
          </w:tcPr>
          <w:p w14:paraId="01E60B29">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1F2C32EF">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4B904F07">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495351EC">
            <w:pPr>
              <w:spacing w:line="240" w:lineRule="auto"/>
              <w:ind w:firstLine="0" w:firstLineChars="0"/>
              <w:jc w:val="center"/>
              <w:rPr>
                <w:rFonts w:hint="eastAsia" w:ascii="宋体" w:hAnsi="宋体" w:eastAsia="宋体" w:cs="宋体"/>
                <w:b/>
                <w:sz w:val="21"/>
                <w:szCs w:val="21"/>
                <w:lang w:val="en-US" w:eastAsia="zh-CN"/>
              </w:rPr>
            </w:pPr>
          </w:p>
        </w:tc>
      </w:tr>
      <w:tr w14:paraId="5AE2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202" w:type="pct"/>
            <w:vMerge w:val="restart"/>
            <w:noWrap w:val="0"/>
            <w:vAlign w:val="center"/>
          </w:tcPr>
          <w:p w14:paraId="65A98AD3">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14</w:t>
            </w:r>
          </w:p>
        </w:tc>
        <w:tc>
          <w:tcPr>
            <w:tcW w:w="328" w:type="pct"/>
            <w:vMerge w:val="restart"/>
            <w:noWrap w:val="0"/>
            <w:vAlign w:val="center"/>
          </w:tcPr>
          <w:p w14:paraId="24C56407">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酒类</w:t>
            </w:r>
          </w:p>
        </w:tc>
        <w:tc>
          <w:tcPr>
            <w:tcW w:w="355" w:type="pct"/>
            <w:noWrap w:val="0"/>
            <w:vAlign w:val="center"/>
          </w:tcPr>
          <w:p w14:paraId="2C08D28C">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lang w:eastAsia="zh-CN"/>
              </w:rPr>
              <w:t>蒸馏酒</w:t>
            </w:r>
          </w:p>
        </w:tc>
        <w:tc>
          <w:tcPr>
            <w:tcW w:w="312" w:type="pct"/>
            <w:noWrap w:val="0"/>
            <w:vAlign w:val="center"/>
          </w:tcPr>
          <w:p w14:paraId="1BB0141F">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白酒</w:t>
            </w:r>
          </w:p>
        </w:tc>
        <w:tc>
          <w:tcPr>
            <w:tcW w:w="537" w:type="pct"/>
            <w:noWrap w:val="0"/>
            <w:vAlign w:val="center"/>
          </w:tcPr>
          <w:p w14:paraId="4A563BCE">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白酒</w:t>
            </w:r>
            <w:r>
              <w:rPr>
                <w:rFonts w:hint="eastAsia" w:ascii="宋体" w:hAnsi="宋体" w:eastAsia="宋体" w:cs="宋体"/>
                <w:sz w:val="21"/>
                <w:szCs w:val="21"/>
                <w:lang w:eastAsia="zh-CN"/>
              </w:rPr>
              <w:t>、白酒（液态）、白酒（原酒）</w:t>
            </w:r>
          </w:p>
        </w:tc>
        <w:tc>
          <w:tcPr>
            <w:tcW w:w="1524" w:type="pct"/>
            <w:noWrap w:val="0"/>
            <w:vAlign w:val="center"/>
          </w:tcPr>
          <w:p w14:paraId="3CB0B0AC">
            <w:pPr>
              <w:widowControl/>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酒精度、甲醇、</w:t>
            </w: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w:t>
            </w:r>
            <w:r>
              <w:rPr>
                <w:rFonts w:hint="eastAsia" w:ascii="宋体" w:hAnsi="宋体" w:eastAsia="宋体" w:cs="宋体"/>
                <w:color w:val="000000"/>
                <w:sz w:val="21"/>
                <w:szCs w:val="21"/>
                <w:u w:val="none"/>
              </w:rPr>
              <w:t>糖精钠（以糖精计）、甜蜜素（以环已基氨基磺酸计）、</w:t>
            </w:r>
            <w:r>
              <w:rPr>
                <w:rFonts w:hint="eastAsia" w:ascii="宋体" w:hAnsi="宋体" w:eastAsia="宋体" w:cs="宋体"/>
                <w:color w:val="000000"/>
                <w:sz w:val="21"/>
                <w:szCs w:val="21"/>
                <w:u w:val="none"/>
                <w:lang w:eastAsia="zh-CN"/>
              </w:rPr>
              <w:t>三氯蔗糖、安赛蜜、氰化物（以</w:t>
            </w:r>
            <w:r>
              <w:rPr>
                <w:rFonts w:hint="eastAsia" w:ascii="宋体" w:hAnsi="宋体" w:eastAsia="宋体" w:cs="宋体"/>
                <w:color w:val="000000"/>
                <w:sz w:val="21"/>
                <w:szCs w:val="21"/>
                <w:u w:val="none"/>
                <w:lang w:val="en-US" w:eastAsia="zh-CN"/>
              </w:rPr>
              <w:t>HCN计</w:t>
            </w:r>
            <w:r>
              <w:rPr>
                <w:rFonts w:hint="eastAsia" w:ascii="宋体" w:hAnsi="宋体" w:eastAsia="宋体" w:cs="宋体"/>
                <w:color w:val="000000"/>
                <w:sz w:val="21"/>
                <w:szCs w:val="21"/>
                <w:u w:val="none"/>
                <w:lang w:eastAsia="zh-CN"/>
              </w:rPr>
              <w:t>）（限薯类检测）</w:t>
            </w:r>
          </w:p>
        </w:tc>
        <w:tc>
          <w:tcPr>
            <w:tcW w:w="283" w:type="pct"/>
            <w:noWrap w:val="0"/>
            <w:vAlign w:val="center"/>
          </w:tcPr>
          <w:p w14:paraId="54493917">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rPr>
              <w:t>4</w:t>
            </w:r>
          </w:p>
        </w:tc>
        <w:tc>
          <w:tcPr>
            <w:tcW w:w="336" w:type="pct"/>
            <w:noWrap w:val="0"/>
            <w:vAlign w:val="center"/>
          </w:tcPr>
          <w:p w14:paraId="64D8D3F5">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2AFF6F31">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120352F5">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4D7D12D9">
            <w:pPr>
              <w:spacing w:line="240" w:lineRule="auto"/>
              <w:ind w:firstLine="0" w:firstLineChars="0"/>
              <w:jc w:val="center"/>
              <w:rPr>
                <w:rFonts w:hint="eastAsia" w:ascii="宋体" w:hAnsi="宋体" w:eastAsia="宋体" w:cs="宋体"/>
                <w:b/>
                <w:sz w:val="21"/>
                <w:szCs w:val="21"/>
              </w:rPr>
            </w:pPr>
          </w:p>
        </w:tc>
      </w:tr>
      <w:tr w14:paraId="1EA8F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202" w:type="pct"/>
            <w:vMerge w:val="continue"/>
            <w:noWrap w:val="0"/>
            <w:vAlign w:val="center"/>
          </w:tcPr>
          <w:p w14:paraId="051E2EDA">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4E3FB57C">
            <w:pPr>
              <w:spacing w:line="240" w:lineRule="auto"/>
              <w:ind w:firstLine="0" w:firstLineChars="0"/>
              <w:jc w:val="center"/>
              <w:textAlignment w:val="center"/>
              <w:rPr>
                <w:rFonts w:hint="eastAsia" w:ascii="宋体" w:hAnsi="宋体" w:eastAsia="宋体" w:cs="宋体"/>
                <w:kern w:val="0"/>
                <w:sz w:val="21"/>
                <w:szCs w:val="21"/>
              </w:rPr>
            </w:pPr>
          </w:p>
        </w:tc>
        <w:tc>
          <w:tcPr>
            <w:tcW w:w="355" w:type="pct"/>
            <w:noWrap w:val="0"/>
            <w:vAlign w:val="center"/>
          </w:tcPr>
          <w:p w14:paraId="72B2FF9A">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啤酒</w:t>
            </w:r>
          </w:p>
        </w:tc>
        <w:tc>
          <w:tcPr>
            <w:tcW w:w="312" w:type="pct"/>
            <w:noWrap w:val="0"/>
            <w:vAlign w:val="center"/>
          </w:tcPr>
          <w:p w14:paraId="78E08196">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啤酒</w:t>
            </w:r>
          </w:p>
        </w:tc>
        <w:tc>
          <w:tcPr>
            <w:tcW w:w="537" w:type="pct"/>
            <w:noWrap w:val="0"/>
            <w:vAlign w:val="center"/>
          </w:tcPr>
          <w:p w14:paraId="53C7C828">
            <w:pPr>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啤酒</w:t>
            </w:r>
          </w:p>
        </w:tc>
        <w:tc>
          <w:tcPr>
            <w:tcW w:w="1524" w:type="pct"/>
            <w:noWrap w:val="0"/>
            <w:vAlign w:val="center"/>
          </w:tcPr>
          <w:p w14:paraId="10631E51">
            <w:pPr>
              <w:widowControl/>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lang w:eastAsia="zh-CN"/>
              </w:rPr>
              <w:t>酒精度、甲醛</w:t>
            </w:r>
          </w:p>
        </w:tc>
        <w:tc>
          <w:tcPr>
            <w:tcW w:w="283" w:type="pct"/>
            <w:noWrap w:val="0"/>
            <w:vAlign w:val="center"/>
          </w:tcPr>
          <w:p w14:paraId="42DDD414">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6</w:t>
            </w:r>
          </w:p>
        </w:tc>
        <w:tc>
          <w:tcPr>
            <w:tcW w:w="336" w:type="pct"/>
            <w:noWrap w:val="0"/>
            <w:vAlign w:val="center"/>
          </w:tcPr>
          <w:p w14:paraId="60CD6E79">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5DBCE1A5">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20509113">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092C6265">
            <w:pPr>
              <w:spacing w:line="240" w:lineRule="auto"/>
              <w:ind w:firstLine="0" w:firstLineChars="0"/>
              <w:jc w:val="center"/>
              <w:rPr>
                <w:rFonts w:hint="eastAsia" w:ascii="宋体" w:hAnsi="宋体" w:eastAsia="宋体" w:cs="宋体"/>
                <w:b/>
                <w:sz w:val="21"/>
                <w:szCs w:val="21"/>
                <w:lang w:val="en-US" w:eastAsia="zh-CN"/>
              </w:rPr>
            </w:pPr>
          </w:p>
        </w:tc>
      </w:tr>
      <w:tr w14:paraId="57CE5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202" w:type="pct"/>
            <w:vMerge w:val="continue"/>
            <w:noWrap w:val="0"/>
            <w:vAlign w:val="center"/>
          </w:tcPr>
          <w:p w14:paraId="4B5AA585">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02A52B85">
            <w:pPr>
              <w:spacing w:line="240" w:lineRule="auto"/>
              <w:ind w:firstLine="0" w:firstLineChars="0"/>
              <w:jc w:val="center"/>
              <w:textAlignment w:val="center"/>
              <w:rPr>
                <w:rFonts w:hint="eastAsia" w:ascii="宋体" w:hAnsi="宋体" w:eastAsia="宋体" w:cs="宋体"/>
                <w:kern w:val="0"/>
                <w:sz w:val="21"/>
                <w:szCs w:val="21"/>
              </w:rPr>
            </w:pPr>
          </w:p>
        </w:tc>
        <w:tc>
          <w:tcPr>
            <w:tcW w:w="355" w:type="pct"/>
            <w:noWrap w:val="0"/>
            <w:vAlign w:val="center"/>
          </w:tcPr>
          <w:p w14:paraId="448965D7">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其他发酵酒</w:t>
            </w:r>
          </w:p>
        </w:tc>
        <w:tc>
          <w:tcPr>
            <w:tcW w:w="312" w:type="pct"/>
            <w:noWrap w:val="0"/>
            <w:vAlign w:val="center"/>
          </w:tcPr>
          <w:p w14:paraId="7A8EC177">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其他发酵酒</w:t>
            </w:r>
          </w:p>
        </w:tc>
        <w:tc>
          <w:tcPr>
            <w:tcW w:w="537" w:type="pct"/>
            <w:noWrap w:val="0"/>
            <w:vAlign w:val="center"/>
          </w:tcPr>
          <w:p w14:paraId="31E0B9E3">
            <w:pPr>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清酒、醪糟</w:t>
            </w:r>
          </w:p>
        </w:tc>
        <w:tc>
          <w:tcPr>
            <w:tcW w:w="1524" w:type="pct"/>
            <w:noWrap w:val="0"/>
            <w:vAlign w:val="center"/>
          </w:tcPr>
          <w:p w14:paraId="355754A6">
            <w:pPr>
              <w:widowControl/>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color w:val="000000"/>
                <w:sz w:val="21"/>
                <w:szCs w:val="21"/>
                <w:u w:val="none"/>
                <w:lang w:eastAsia="zh-CN"/>
              </w:rPr>
              <w:t>酒精度（产品明示标准和质量要求）、</w:t>
            </w:r>
            <w:r>
              <w:rPr>
                <w:rFonts w:hint="eastAsia" w:ascii="宋体" w:hAnsi="宋体" w:eastAsia="宋体" w:cs="宋体"/>
                <w:color w:val="000000"/>
                <w:sz w:val="21"/>
                <w:szCs w:val="21"/>
                <w:u w:val="none"/>
              </w:rPr>
              <w:t>苯甲酸及其钠盐（以苯甲酸计）、山梨酸及其钾盐（以山梨酸计）、糖精钠（以糖精计）、甜蜜素（以环己基氨基磺酸计）、</w:t>
            </w:r>
            <w:r>
              <w:rPr>
                <w:rFonts w:hint="eastAsia" w:ascii="宋体" w:hAnsi="宋体" w:eastAsia="宋体" w:cs="宋体"/>
                <w:color w:val="000000"/>
                <w:sz w:val="21"/>
                <w:szCs w:val="21"/>
                <w:u w:val="none"/>
                <w:lang w:eastAsia="zh-CN"/>
              </w:rPr>
              <w:t>安赛蜜</w:t>
            </w:r>
          </w:p>
        </w:tc>
        <w:tc>
          <w:tcPr>
            <w:tcW w:w="283" w:type="pct"/>
            <w:noWrap w:val="0"/>
            <w:vAlign w:val="center"/>
          </w:tcPr>
          <w:p w14:paraId="58EAA2E5">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4</w:t>
            </w:r>
          </w:p>
        </w:tc>
        <w:tc>
          <w:tcPr>
            <w:tcW w:w="336" w:type="pct"/>
            <w:noWrap w:val="0"/>
            <w:vAlign w:val="center"/>
          </w:tcPr>
          <w:p w14:paraId="14256410">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35CA32EC">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19C3CCA6">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2B689257">
            <w:pPr>
              <w:spacing w:line="240" w:lineRule="auto"/>
              <w:ind w:firstLine="0" w:firstLineChars="0"/>
              <w:jc w:val="center"/>
              <w:rPr>
                <w:rFonts w:hint="eastAsia" w:ascii="宋体" w:hAnsi="宋体" w:eastAsia="宋体" w:cs="宋体"/>
                <w:b/>
                <w:sz w:val="21"/>
                <w:szCs w:val="21"/>
                <w:lang w:val="en-US" w:eastAsia="zh-CN"/>
              </w:rPr>
            </w:pPr>
          </w:p>
        </w:tc>
      </w:tr>
      <w:tr w14:paraId="0A0D8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trPr>
        <w:tc>
          <w:tcPr>
            <w:tcW w:w="202" w:type="pct"/>
            <w:noWrap w:val="0"/>
            <w:vAlign w:val="center"/>
          </w:tcPr>
          <w:p w14:paraId="6C16DD96">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15</w:t>
            </w:r>
          </w:p>
        </w:tc>
        <w:tc>
          <w:tcPr>
            <w:tcW w:w="328" w:type="pct"/>
            <w:noWrap w:val="0"/>
            <w:vAlign w:val="center"/>
          </w:tcPr>
          <w:p w14:paraId="78DDA120">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冷冻饮品</w:t>
            </w:r>
          </w:p>
        </w:tc>
        <w:tc>
          <w:tcPr>
            <w:tcW w:w="355" w:type="pct"/>
            <w:noWrap w:val="0"/>
            <w:vAlign w:val="center"/>
          </w:tcPr>
          <w:p w14:paraId="176F9654">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冷冻饮品</w:t>
            </w:r>
          </w:p>
        </w:tc>
        <w:tc>
          <w:tcPr>
            <w:tcW w:w="312" w:type="pct"/>
            <w:noWrap w:val="0"/>
            <w:vAlign w:val="center"/>
          </w:tcPr>
          <w:p w14:paraId="599B41CE">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冷冻饮品</w:t>
            </w:r>
          </w:p>
        </w:tc>
        <w:tc>
          <w:tcPr>
            <w:tcW w:w="537" w:type="pct"/>
            <w:noWrap w:val="0"/>
            <w:vAlign w:val="center"/>
          </w:tcPr>
          <w:p w14:paraId="21D3C443">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冰淇淋、雪糕、雪泥、冰棍等</w:t>
            </w:r>
          </w:p>
        </w:tc>
        <w:tc>
          <w:tcPr>
            <w:tcW w:w="1524" w:type="pct"/>
            <w:noWrap w:val="0"/>
            <w:vAlign w:val="center"/>
          </w:tcPr>
          <w:p w14:paraId="616F2580">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color w:val="000000"/>
                <w:sz w:val="21"/>
                <w:szCs w:val="21"/>
                <w:u w:val="none"/>
              </w:rPr>
              <w:t>蛋白质、糖精钠（以糖精计）、</w:t>
            </w:r>
            <w:r>
              <w:rPr>
                <w:rFonts w:hint="eastAsia" w:ascii="宋体" w:hAnsi="宋体" w:eastAsia="宋体" w:cs="宋体"/>
                <w:sz w:val="21"/>
                <w:szCs w:val="21"/>
              </w:rPr>
              <w:t>安赛蜜、三氯蔗糖、甜蜜素（以环己基氨基磺酸计）、</w:t>
            </w:r>
            <w:r>
              <w:rPr>
                <w:rFonts w:hint="eastAsia" w:ascii="宋体" w:hAnsi="宋体" w:eastAsia="宋体" w:cs="宋体"/>
                <w:sz w:val="21"/>
                <w:szCs w:val="21"/>
                <w:lang w:eastAsia="zh-CN"/>
              </w:rPr>
              <w:t>合成着色剂（视色泽而定）、相同色泽着色剂混合使用时各自用量占其最大使用量的比例之和、</w:t>
            </w:r>
            <w:r>
              <w:rPr>
                <w:rFonts w:hint="eastAsia" w:ascii="宋体" w:hAnsi="宋体" w:eastAsia="宋体" w:cs="宋体"/>
                <w:sz w:val="21"/>
                <w:szCs w:val="21"/>
              </w:rPr>
              <w:t>菌落总数、大肠菌群、沙门氏菌、单核细胞增生李斯特氏菌</w:t>
            </w:r>
          </w:p>
        </w:tc>
        <w:tc>
          <w:tcPr>
            <w:tcW w:w="283" w:type="pct"/>
            <w:noWrap w:val="0"/>
            <w:vAlign w:val="center"/>
          </w:tcPr>
          <w:p w14:paraId="3C551949">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10</w:t>
            </w:r>
          </w:p>
        </w:tc>
        <w:tc>
          <w:tcPr>
            <w:tcW w:w="336" w:type="pct"/>
            <w:noWrap w:val="0"/>
            <w:vAlign w:val="center"/>
          </w:tcPr>
          <w:p w14:paraId="112EB85A">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3F7A2C27">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08BDE6F4">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674A3832">
            <w:pPr>
              <w:spacing w:line="240" w:lineRule="auto"/>
              <w:ind w:firstLine="0" w:firstLineChars="0"/>
              <w:jc w:val="center"/>
              <w:rPr>
                <w:rFonts w:hint="eastAsia" w:ascii="宋体" w:hAnsi="宋体" w:eastAsia="宋体" w:cs="宋体"/>
                <w:b/>
                <w:sz w:val="21"/>
                <w:szCs w:val="21"/>
                <w:lang w:val="en-US" w:eastAsia="zh-CN"/>
              </w:rPr>
            </w:pPr>
          </w:p>
        </w:tc>
      </w:tr>
      <w:tr w14:paraId="60D5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202" w:type="pct"/>
            <w:noWrap w:val="0"/>
            <w:vAlign w:val="center"/>
          </w:tcPr>
          <w:p w14:paraId="58C4B753">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16</w:t>
            </w:r>
          </w:p>
        </w:tc>
        <w:tc>
          <w:tcPr>
            <w:tcW w:w="328" w:type="pct"/>
            <w:noWrap w:val="0"/>
            <w:vAlign w:val="center"/>
          </w:tcPr>
          <w:p w14:paraId="1BA8F6E1">
            <w:pPr>
              <w:spacing w:line="240" w:lineRule="auto"/>
              <w:ind w:firstLine="0" w:firstLineChars="0"/>
              <w:jc w:val="center"/>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罐头</w:t>
            </w:r>
          </w:p>
        </w:tc>
        <w:tc>
          <w:tcPr>
            <w:tcW w:w="355" w:type="pct"/>
            <w:noWrap w:val="0"/>
            <w:vAlign w:val="center"/>
          </w:tcPr>
          <w:p w14:paraId="5E673497">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罐头</w:t>
            </w:r>
          </w:p>
        </w:tc>
        <w:tc>
          <w:tcPr>
            <w:tcW w:w="312" w:type="pct"/>
            <w:noWrap w:val="0"/>
            <w:vAlign w:val="center"/>
          </w:tcPr>
          <w:p w14:paraId="207C9BBC">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水果类罐头</w:t>
            </w:r>
          </w:p>
        </w:tc>
        <w:tc>
          <w:tcPr>
            <w:tcW w:w="537" w:type="pct"/>
            <w:noWrap w:val="0"/>
            <w:vAlign w:val="center"/>
          </w:tcPr>
          <w:p w14:paraId="79BF9A0B">
            <w:pPr>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水果类罐头</w:t>
            </w:r>
          </w:p>
        </w:tc>
        <w:tc>
          <w:tcPr>
            <w:tcW w:w="1524" w:type="pct"/>
            <w:noWrap w:val="0"/>
            <w:vAlign w:val="center"/>
          </w:tcPr>
          <w:p w14:paraId="06DC585F">
            <w:pPr>
              <w:spacing w:line="240" w:lineRule="auto"/>
              <w:ind w:firstLine="0" w:firstLineChars="0"/>
              <w:jc w:val="left"/>
              <w:textAlignment w:val="center"/>
              <w:rPr>
                <w:rFonts w:hint="eastAsia" w:ascii="宋体" w:hAnsi="宋体" w:eastAsia="宋体" w:cs="宋体"/>
                <w:sz w:val="21"/>
                <w:szCs w:val="21"/>
                <w:lang w:eastAsia="zh-CN"/>
              </w:rPr>
            </w:pP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、合成着色剂（柠檬黄、日落黄、苋菜红、胭脂红、赤藓红、诱惑红、亮蓝，视色泽而定）、</w:t>
            </w:r>
            <w:r>
              <w:rPr>
                <w:rFonts w:hint="eastAsia" w:ascii="宋体" w:hAnsi="宋体" w:eastAsia="宋体" w:cs="宋体"/>
                <w:sz w:val="21"/>
                <w:szCs w:val="21"/>
              </w:rPr>
              <w:t>脱氢乙酸及其钠盐（以脱氢乙酸计）、</w:t>
            </w:r>
            <w:r>
              <w:rPr>
                <w:rFonts w:hint="eastAsia" w:ascii="宋体" w:hAnsi="宋体" w:eastAsia="宋体" w:cs="宋体"/>
                <w:color w:val="000000"/>
                <w:sz w:val="21"/>
                <w:szCs w:val="21"/>
                <w:u w:val="none"/>
              </w:rPr>
              <w:t>苯甲酸及其钠盐（以苯甲酸计）、山梨酸及其钾盐（以山梨酸计）、糖精钠（以糖精计）、甜蜜素（以环已基氨基磺酸计）、</w:t>
            </w:r>
            <w:r>
              <w:rPr>
                <w:rFonts w:hint="eastAsia" w:ascii="宋体" w:hAnsi="宋体" w:eastAsia="宋体" w:cs="宋体"/>
                <w:color w:val="000000"/>
                <w:sz w:val="21"/>
                <w:szCs w:val="21"/>
                <w:u w:val="none"/>
                <w:lang w:eastAsia="zh-CN"/>
              </w:rPr>
              <w:t>二氧化硫残留量、商业无菌</w:t>
            </w:r>
          </w:p>
        </w:tc>
        <w:tc>
          <w:tcPr>
            <w:tcW w:w="283" w:type="pct"/>
            <w:noWrap w:val="0"/>
            <w:vAlign w:val="center"/>
          </w:tcPr>
          <w:p w14:paraId="44ABE2F3">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12</w:t>
            </w:r>
          </w:p>
        </w:tc>
        <w:tc>
          <w:tcPr>
            <w:tcW w:w="336" w:type="pct"/>
            <w:noWrap w:val="0"/>
            <w:vAlign w:val="center"/>
          </w:tcPr>
          <w:p w14:paraId="04EC3A33">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7BD8EE29">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7D17F8D7">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7193A59C">
            <w:pPr>
              <w:spacing w:line="240" w:lineRule="auto"/>
              <w:ind w:firstLine="0" w:firstLineChars="0"/>
              <w:jc w:val="center"/>
              <w:rPr>
                <w:rFonts w:hint="eastAsia" w:ascii="宋体" w:hAnsi="宋体" w:eastAsia="宋体" w:cs="宋体"/>
                <w:b/>
                <w:sz w:val="21"/>
                <w:szCs w:val="21"/>
                <w:lang w:val="en-US" w:eastAsia="zh-CN"/>
              </w:rPr>
            </w:pPr>
          </w:p>
        </w:tc>
      </w:tr>
      <w:tr w14:paraId="6EB5B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2" w:hRule="atLeast"/>
        </w:trPr>
        <w:tc>
          <w:tcPr>
            <w:tcW w:w="202" w:type="pct"/>
            <w:vMerge w:val="restart"/>
            <w:noWrap w:val="0"/>
            <w:vAlign w:val="center"/>
          </w:tcPr>
          <w:p w14:paraId="6E83B038">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17</w:t>
            </w:r>
          </w:p>
        </w:tc>
        <w:tc>
          <w:tcPr>
            <w:tcW w:w="328" w:type="pct"/>
            <w:vMerge w:val="restart"/>
            <w:noWrap w:val="0"/>
            <w:vAlign w:val="center"/>
          </w:tcPr>
          <w:p w14:paraId="17E7492C">
            <w:pPr>
              <w:spacing w:line="240" w:lineRule="auto"/>
              <w:ind w:firstLine="0" w:firstLineChars="0"/>
              <w:jc w:val="center"/>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水果制品</w:t>
            </w:r>
          </w:p>
        </w:tc>
        <w:tc>
          <w:tcPr>
            <w:tcW w:w="355" w:type="pct"/>
            <w:noWrap w:val="0"/>
            <w:vAlign w:val="center"/>
          </w:tcPr>
          <w:p w14:paraId="3F1DB502">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蜜饯</w:t>
            </w:r>
          </w:p>
        </w:tc>
        <w:tc>
          <w:tcPr>
            <w:tcW w:w="312" w:type="pct"/>
            <w:noWrap w:val="0"/>
            <w:vAlign w:val="center"/>
          </w:tcPr>
          <w:p w14:paraId="243E8DBC">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蜜饯</w:t>
            </w:r>
          </w:p>
        </w:tc>
        <w:tc>
          <w:tcPr>
            <w:tcW w:w="537" w:type="pct"/>
            <w:noWrap w:val="0"/>
            <w:vAlign w:val="center"/>
          </w:tcPr>
          <w:p w14:paraId="455CF142">
            <w:pPr>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蜜饯</w:t>
            </w:r>
          </w:p>
        </w:tc>
        <w:tc>
          <w:tcPr>
            <w:tcW w:w="1524" w:type="pct"/>
            <w:noWrap w:val="0"/>
            <w:vAlign w:val="center"/>
          </w:tcPr>
          <w:p w14:paraId="22FDA100">
            <w:pPr>
              <w:spacing w:line="240" w:lineRule="auto"/>
              <w:ind w:firstLine="0" w:firstLineChars="0"/>
              <w:jc w:val="left"/>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w:t>
            </w:r>
            <w:r>
              <w:rPr>
                <w:rFonts w:hint="eastAsia" w:ascii="宋体" w:hAnsi="宋体" w:eastAsia="宋体" w:cs="宋体"/>
                <w:color w:val="000000"/>
                <w:sz w:val="21"/>
                <w:szCs w:val="21"/>
                <w:u w:val="none"/>
              </w:rPr>
              <w:t>苯甲酸及其钠盐（以苯甲酸计）、山梨酸及其钾盐（以山梨酸计）、</w:t>
            </w:r>
            <w:r>
              <w:rPr>
                <w:rFonts w:hint="eastAsia" w:ascii="宋体" w:hAnsi="宋体" w:eastAsia="宋体" w:cs="宋体"/>
                <w:sz w:val="21"/>
                <w:szCs w:val="21"/>
              </w:rPr>
              <w:t>脱氢乙酸及其钠盐（以脱氢乙酸计）、</w:t>
            </w:r>
            <w:r>
              <w:rPr>
                <w:rFonts w:hint="eastAsia" w:ascii="宋体" w:hAnsi="宋体" w:eastAsia="宋体" w:cs="宋体"/>
                <w:color w:val="000000"/>
                <w:sz w:val="21"/>
                <w:szCs w:val="21"/>
                <w:u w:val="none"/>
              </w:rPr>
              <w:t>防腐剂混合使用时各自用量占其最大使用量比例之和、糖精钠（以糖精计）、甜蜜素（以环己基氨基磺酸计）、</w:t>
            </w:r>
            <w:r>
              <w:rPr>
                <w:rFonts w:hint="eastAsia" w:ascii="宋体" w:hAnsi="宋体" w:eastAsia="宋体" w:cs="宋体"/>
                <w:color w:val="000000"/>
                <w:sz w:val="21"/>
                <w:szCs w:val="21"/>
                <w:u w:val="none"/>
                <w:lang w:eastAsia="zh-CN"/>
              </w:rPr>
              <w:t>安赛蜜、二氧化硫残留量、合成着色剂（视色泽而定）、</w:t>
            </w:r>
            <w:r>
              <w:rPr>
                <w:rFonts w:hint="eastAsia" w:ascii="宋体" w:hAnsi="宋体" w:eastAsia="宋体" w:cs="宋体"/>
                <w:sz w:val="21"/>
                <w:szCs w:val="21"/>
                <w:lang w:eastAsia="zh-CN"/>
              </w:rPr>
              <w:t>相同色泽着色剂混合使用时各自用量占其最大使用量的比例之和、乙二胺四乙酸二钠（限果铺类产品检测）、菌落总数、大肠菌群</w:t>
            </w:r>
          </w:p>
        </w:tc>
        <w:tc>
          <w:tcPr>
            <w:tcW w:w="283" w:type="pct"/>
            <w:noWrap w:val="0"/>
            <w:vAlign w:val="center"/>
          </w:tcPr>
          <w:p w14:paraId="14696D88">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8</w:t>
            </w:r>
          </w:p>
        </w:tc>
        <w:tc>
          <w:tcPr>
            <w:tcW w:w="336" w:type="pct"/>
            <w:noWrap w:val="0"/>
            <w:vAlign w:val="center"/>
          </w:tcPr>
          <w:p w14:paraId="18F8B435">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040E5349">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2418DA88">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5B2E3502">
            <w:pPr>
              <w:spacing w:line="240" w:lineRule="auto"/>
              <w:ind w:firstLine="0" w:firstLineChars="0"/>
              <w:jc w:val="center"/>
              <w:rPr>
                <w:rFonts w:hint="eastAsia" w:ascii="宋体" w:hAnsi="宋体" w:eastAsia="宋体" w:cs="宋体"/>
                <w:b/>
                <w:sz w:val="21"/>
                <w:szCs w:val="21"/>
                <w:lang w:val="en-US" w:eastAsia="zh-CN"/>
              </w:rPr>
            </w:pPr>
          </w:p>
        </w:tc>
      </w:tr>
      <w:tr w14:paraId="54E22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202" w:type="pct"/>
            <w:vMerge w:val="continue"/>
            <w:noWrap w:val="0"/>
            <w:vAlign w:val="center"/>
          </w:tcPr>
          <w:p w14:paraId="33C4E3B7">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08F6A7D3">
            <w:pPr>
              <w:spacing w:line="240" w:lineRule="auto"/>
              <w:ind w:firstLine="0" w:firstLineChars="0"/>
              <w:jc w:val="center"/>
              <w:textAlignment w:val="center"/>
              <w:rPr>
                <w:rFonts w:hint="eastAsia" w:ascii="宋体" w:hAnsi="宋体" w:eastAsia="宋体" w:cs="宋体"/>
                <w:kern w:val="0"/>
                <w:sz w:val="21"/>
                <w:szCs w:val="21"/>
                <w:lang w:eastAsia="zh-CN"/>
              </w:rPr>
            </w:pPr>
          </w:p>
        </w:tc>
        <w:tc>
          <w:tcPr>
            <w:tcW w:w="355" w:type="pct"/>
            <w:noWrap w:val="0"/>
            <w:vAlign w:val="center"/>
          </w:tcPr>
          <w:p w14:paraId="161D50EE">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果酱</w:t>
            </w:r>
          </w:p>
        </w:tc>
        <w:tc>
          <w:tcPr>
            <w:tcW w:w="312" w:type="pct"/>
            <w:noWrap w:val="0"/>
            <w:vAlign w:val="center"/>
          </w:tcPr>
          <w:p w14:paraId="7F02F830">
            <w:pPr>
              <w:spacing w:line="240" w:lineRule="auto"/>
              <w:ind w:firstLine="0" w:firstLineChars="0"/>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eastAsia="zh-CN"/>
              </w:rPr>
              <w:t>果酱</w:t>
            </w:r>
          </w:p>
        </w:tc>
        <w:tc>
          <w:tcPr>
            <w:tcW w:w="537" w:type="pct"/>
            <w:noWrap w:val="0"/>
            <w:vAlign w:val="center"/>
          </w:tcPr>
          <w:p w14:paraId="23803EAF">
            <w:pPr>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果酱</w:t>
            </w:r>
          </w:p>
        </w:tc>
        <w:tc>
          <w:tcPr>
            <w:tcW w:w="1524" w:type="pct"/>
            <w:noWrap w:val="0"/>
            <w:vAlign w:val="center"/>
          </w:tcPr>
          <w:p w14:paraId="765D3554">
            <w:pPr>
              <w:spacing w:line="240" w:lineRule="auto"/>
              <w:ind w:firstLine="0" w:firstLineChars="0"/>
              <w:jc w:val="left"/>
              <w:textAlignment w:val="center"/>
              <w:rPr>
                <w:rFonts w:hint="eastAsia" w:ascii="宋体" w:hAnsi="宋体" w:eastAsia="宋体" w:cs="宋体"/>
                <w:kern w:val="0"/>
                <w:sz w:val="21"/>
                <w:szCs w:val="21"/>
              </w:rPr>
            </w:pPr>
            <w:r>
              <w:rPr>
                <w:rFonts w:hint="eastAsia" w:ascii="宋体" w:hAnsi="宋体" w:eastAsia="宋体" w:cs="宋体"/>
                <w:sz w:val="21"/>
                <w:szCs w:val="21"/>
              </w:rPr>
              <w:t>脱氢乙酸及其钠盐（以脱氢乙酸计）、</w:t>
            </w:r>
            <w:r>
              <w:rPr>
                <w:rFonts w:hint="eastAsia" w:ascii="宋体" w:hAnsi="宋体" w:eastAsia="宋体" w:cs="宋体"/>
                <w:color w:val="000000"/>
                <w:sz w:val="21"/>
                <w:szCs w:val="21"/>
                <w:u w:val="none"/>
                <w:lang w:eastAsia="zh-CN"/>
              </w:rPr>
              <w:t>二氧化硫残留量、菌落总数、大肠菌群、霉菌、商业无菌</w:t>
            </w:r>
          </w:p>
        </w:tc>
        <w:tc>
          <w:tcPr>
            <w:tcW w:w="283" w:type="pct"/>
            <w:noWrap w:val="0"/>
            <w:vAlign w:val="center"/>
          </w:tcPr>
          <w:p w14:paraId="70CD3035">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4</w:t>
            </w:r>
          </w:p>
        </w:tc>
        <w:tc>
          <w:tcPr>
            <w:tcW w:w="336" w:type="pct"/>
            <w:noWrap w:val="0"/>
            <w:vAlign w:val="center"/>
          </w:tcPr>
          <w:p w14:paraId="59589173">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13C8ACFD">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71E96938">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40D1880C">
            <w:pPr>
              <w:spacing w:line="240" w:lineRule="auto"/>
              <w:ind w:firstLine="0" w:firstLineChars="0"/>
              <w:jc w:val="center"/>
              <w:rPr>
                <w:rFonts w:hint="eastAsia" w:ascii="宋体" w:hAnsi="宋体" w:eastAsia="宋体" w:cs="宋体"/>
                <w:b/>
                <w:sz w:val="21"/>
                <w:szCs w:val="21"/>
                <w:lang w:val="en-US" w:eastAsia="zh-CN"/>
              </w:rPr>
            </w:pPr>
          </w:p>
        </w:tc>
      </w:tr>
      <w:tr w14:paraId="5A75B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202" w:type="pct"/>
            <w:noWrap w:val="0"/>
            <w:vAlign w:val="center"/>
          </w:tcPr>
          <w:p w14:paraId="0A0AC2A0">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18</w:t>
            </w:r>
          </w:p>
        </w:tc>
        <w:tc>
          <w:tcPr>
            <w:tcW w:w="328" w:type="pct"/>
            <w:noWrap w:val="0"/>
            <w:vAlign w:val="center"/>
          </w:tcPr>
          <w:p w14:paraId="10D2D8C5">
            <w:pPr>
              <w:spacing w:line="240" w:lineRule="auto"/>
              <w:ind w:firstLine="0" w:firstLineChars="0"/>
              <w:jc w:val="center"/>
              <w:rPr>
                <w:rFonts w:hint="eastAsia" w:ascii="宋体" w:hAnsi="宋体" w:eastAsia="宋体" w:cs="宋体"/>
                <w:kern w:val="0"/>
                <w:sz w:val="21"/>
                <w:szCs w:val="21"/>
              </w:rPr>
            </w:pPr>
            <w:r>
              <w:rPr>
                <w:rFonts w:hint="eastAsia" w:ascii="宋体" w:hAnsi="宋体" w:eastAsia="宋体" w:cs="宋体"/>
                <w:sz w:val="21"/>
                <w:szCs w:val="21"/>
              </w:rPr>
              <w:t>蔬菜制品</w:t>
            </w:r>
          </w:p>
        </w:tc>
        <w:tc>
          <w:tcPr>
            <w:tcW w:w="355" w:type="pct"/>
            <w:noWrap w:val="0"/>
            <w:vAlign w:val="center"/>
          </w:tcPr>
          <w:p w14:paraId="7C18C6C0">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蔬菜制品</w:t>
            </w:r>
          </w:p>
        </w:tc>
        <w:tc>
          <w:tcPr>
            <w:tcW w:w="312" w:type="pct"/>
            <w:noWrap w:val="0"/>
            <w:vAlign w:val="center"/>
          </w:tcPr>
          <w:p w14:paraId="0D0C9864">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蔬菜干制品</w:t>
            </w:r>
          </w:p>
        </w:tc>
        <w:tc>
          <w:tcPr>
            <w:tcW w:w="537" w:type="pct"/>
            <w:noWrap w:val="0"/>
            <w:vAlign w:val="center"/>
          </w:tcPr>
          <w:p w14:paraId="09603E84">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kern w:val="0"/>
                <w:sz w:val="21"/>
                <w:szCs w:val="21"/>
              </w:rPr>
              <w:t>干制食用菌（木耳）</w:t>
            </w:r>
          </w:p>
        </w:tc>
        <w:tc>
          <w:tcPr>
            <w:tcW w:w="1524" w:type="pct"/>
            <w:noWrap w:val="0"/>
            <w:vAlign w:val="center"/>
          </w:tcPr>
          <w:p w14:paraId="125BC11B">
            <w:pPr>
              <w:spacing w:line="240" w:lineRule="auto"/>
              <w:ind w:firstLine="0" w:firstLineChars="0"/>
              <w:jc w:val="left"/>
              <w:rPr>
                <w:rFonts w:hint="eastAsia" w:ascii="宋体" w:hAnsi="宋体" w:eastAsia="宋体" w:cs="宋体"/>
                <w:sz w:val="21"/>
                <w:szCs w:val="21"/>
                <w:lang w:eastAsia="zh-CN"/>
              </w:rPr>
            </w:pP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w:t>
            </w:r>
            <w:r>
              <w:rPr>
                <w:rFonts w:hint="eastAsia" w:ascii="宋体" w:hAnsi="宋体" w:eastAsia="宋体" w:cs="宋体"/>
                <w:color w:val="000000"/>
                <w:sz w:val="21"/>
                <w:szCs w:val="21"/>
                <w:u w:val="none"/>
              </w:rPr>
              <w:t>镉（以Cd计）、</w:t>
            </w:r>
            <w:r>
              <w:rPr>
                <w:rFonts w:hint="eastAsia" w:ascii="宋体" w:hAnsi="宋体" w:eastAsia="宋体" w:cs="宋体"/>
                <w:color w:val="000000"/>
                <w:sz w:val="21"/>
                <w:szCs w:val="21"/>
                <w:u w:val="none"/>
                <w:lang w:eastAsia="zh-CN"/>
              </w:rPr>
              <w:t>二氧化硫残留量、无机砷（以</w:t>
            </w:r>
            <w:r>
              <w:rPr>
                <w:rFonts w:hint="eastAsia" w:ascii="宋体" w:hAnsi="宋体" w:eastAsia="宋体" w:cs="宋体"/>
                <w:color w:val="000000"/>
                <w:sz w:val="21"/>
                <w:szCs w:val="21"/>
                <w:u w:val="none"/>
                <w:lang w:val="en-US" w:eastAsia="zh-CN"/>
              </w:rPr>
              <w:t>As计</w:t>
            </w:r>
            <w:r>
              <w:rPr>
                <w:rFonts w:hint="eastAsia" w:ascii="宋体" w:hAnsi="宋体" w:eastAsia="宋体" w:cs="宋体"/>
                <w:color w:val="000000"/>
                <w:sz w:val="21"/>
                <w:szCs w:val="21"/>
                <w:u w:val="none"/>
                <w:lang w:eastAsia="zh-CN"/>
              </w:rPr>
              <w:t>）、甲基汞（以</w:t>
            </w:r>
            <w:r>
              <w:rPr>
                <w:rFonts w:hint="eastAsia" w:ascii="宋体" w:hAnsi="宋体" w:eastAsia="宋体" w:cs="宋体"/>
                <w:color w:val="000000"/>
                <w:sz w:val="21"/>
                <w:szCs w:val="21"/>
                <w:u w:val="none"/>
                <w:lang w:val="en-US" w:eastAsia="zh-CN"/>
              </w:rPr>
              <w:t>Hg计</w:t>
            </w:r>
            <w:r>
              <w:rPr>
                <w:rFonts w:hint="eastAsia" w:ascii="宋体" w:hAnsi="宋体" w:eastAsia="宋体" w:cs="宋体"/>
                <w:color w:val="000000"/>
                <w:sz w:val="21"/>
                <w:szCs w:val="21"/>
                <w:u w:val="none"/>
                <w:lang w:eastAsia="zh-CN"/>
              </w:rPr>
              <w:t>）</w:t>
            </w:r>
          </w:p>
        </w:tc>
        <w:tc>
          <w:tcPr>
            <w:tcW w:w="283" w:type="pct"/>
            <w:noWrap w:val="0"/>
            <w:vAlign w:val="center"/>
          </w:tcPr>
          <w:p w14:paraId="1BA94DD1">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bCs/>
                <w:sz w:val="21"/>
                <w:szCs w:val="21"/>
              </w:rPr>
              <w:t>15</w:t>
            </w:r>
          </w:p>
        </w:tc>
        <w:tc>
          <w:tcPr>
            <w:tcW w:w="336" w:type="pct"/>
            <w:noWrap w:val="0"/>
            <w:vAlign w:val="center"/>
          </w:tcPr>
          <w:p w14:paraId="7C82E50C">
            <w:pPr>
              <w:spacing w:line="240" w:lineRule="auto"/>
              <w:ind w:firstLine="0" w:firstLineChars="0"/>
              <w:jc w:val="center"/>
              <w:rPr>
                <w:rFonts w:hint="eastAsia" w:ascii="宋体" w:hAnsi="宋体" w:eastAsia="宋体" w:cs="宋体"/>
                <w:b/>
                <w:bCs/>
                <w:sz w:val="21"/>
                <w:szCs w:val="21"/>
              </w:rPr>
            </w:pPr>
          </w:p>
        </w:tc>
        <w:tc>
          <w:tcPr>
            <w:tcW w:w="262" w:type="pct"/>
            <w:noWrap w:val="0"/>
            <w:vAlign w:val="center"/>
          </w:tcPr>
          <w:p w14:paraId="34B6033C">
            <w:pPr>
              <w:spacing w:line="240" w:lineRule="auto"/>
              <w:ind w:firstLine="0" w:firstLineChars="0"/>
              <w:jc w:val="center"/>
              <w:rPr>
                <w:rFonts w:hint="eastAsia" w:ascii="宋体" w:hAnsi="宋体" w:eastAsia="宋体" w:cs="宋体"/>
                <w:b/>
                <w:bCs/>
                <w:sz w:val="21"/>
                <w:szCs w:val="21"/>
              </w:rPr>
            </w:pPr>
          </w:p>
        </w:tc>
        <w:tc>
          <w:tcPr>
            <w:tcW w:w="401" w:type="pct"/>
            <w:noWrap w:val="0"/>
            <w:vAlign w:val="center"/>
          </w:tcPr>
          <w:p w14:paraId="72DF084F">
            <w:pPr>
              <w:spacing w:line="240" w:lineRule="auto"/>
              <w:ind w:firstLine="0" w:firstLineChars="0"/>
              <w:jc w:val="center"/>
              <w:rPr>
                <w:rFonts w:hint="eastAsia" w:ascii="宋体" w:hAnsi="宋体" w:eastAsia="宋体" w:cs="宋体"/>
                <w:b/>
                <w:bCs/>
                <w:sz w:val="21"/>
                <w:szCs w:val="21"/>
              </w:rPr>
            </w:pPr>
          </w:p>
        </w:tc>
        <w:tc>
          <w:tcPr>
            <w:tcW w:w="457" w:type="pct"/>
            <w:noWrap w:val="0"/>
            <w:vAlign w:val="center"/>
          </w:tcPr>
          <w:p w14:paraId="649DF0CE">
            <w:pPr>
              <w:spacing w:line="240" w:lineRule="auto"/>
              <w:ind w:firstLine="0" w:firstLineChars="0"/>
              <w:jc w:val="center"/>
              <w:rPr>
                <w:rFonts w:hint="eastAsia" w:ascii="宋体" w:hAnsi="宋体" w:eastAsia="宋体" w:cs="宋体"/>
                <w:b/>
                <w:bCs/>
                <w:sz w:val="21"/>
                <w:szCs w:val="21"/>
              </w:rPr>
            </w:pPr>
          </w:p>
        </w:tc>
      </w:tr>
      <w:tr w14:paraId="19BBD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202" w:type="pct"/>
            <w:vMerge w:val="restart"/>
            <w:noWrap w:val="0"/>
            <w:vAlign w:val="center"/>
          </w:tcPr>
          <w:p w14:paraId="5057CC70">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rPr>
              <w:t>1</w:t>
            </w:r>
            <w:r>
              <w:rPr>
                <w:rFonts w:hint="eastAsia" w:ascii="宋体" w:hAnsi="宋体" w:eastAsia="宋体" w:cs="宋体"/>
                <w:b/>
                <w:sz w:val="21"/>
                <w:szCs w:val="21"/>
                <w:lang w:val="en-US" w:eastAsia="zh-CN"/>
              </w:rPr>
              <w:t>9</w:t>
            </w:r>
          </w:p>
        </w:tc>
        <w:tc>
          <w:tcPr>
            <w:tcW w:w="328" w:type="pct"/>
            <w:vMerge w:val="restart"/>
            <w:noWrap w:val="0"/>
            <w:vAlign w:val="center"/>
          </w:tcPr>
          <w:p w14:paraId="7F20951F">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餐饮食品</w:t>
            </w:r>
          </w:p>
        </w:tc>
        <w:tc>
          <w:tcPr>
            <w:tcW w:w="355" w:type="pct"/>
            <w:noWrap w:val="0"/>
            <w:vAlign w:val="center"/>
          </w:tcPr>
          <w:p w14:paraId="719549AB">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食用油、油脂及其制品（自制）</w:t>
            </w:r>
          </w:p>
        </w:tc>
        <w:tc>
          <w:tcPr>
            <w:tcW w:w="312" w:type="pct"/>
            <w:noWrap w:val="0"/>
            <w:vAlign w:val="center"/>
          </w:tcPr>
          <w:p w14:paraId="4299499B">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食用油、油脂及其制品（自制）</w:t>
            </w:r>
          </w:p>
        </w:tc>
        <w:tc>
          <w:tcPr>
            <w:tcW w:w="537" w:type="pct"/>
            <w:noWrap w:val="0"/>
            <w:vAlign w:val="center"/>
          </w:tcPr>
          <w:p w14:paraId="1BA87190">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煎炸过程用油</w:t>
            </w:r>
          </w:p>
        </w:tc>
        <w:tc>
          <w:tcPr>
            <w:tcW w:w="1524" w:type="pct"/>
            <w:noWrap w:val="0"/>
            <w:vAlign w:val="center"/>
          </w:tcPr>
          <w:p w14:paraId="77D7042D">
            <w:pPr>
              <w:spacing w:line="240" w:lineRule="auto"/>
              <w:ind w:firstLine="0" w:firstLineChars="0"/>
              <w:jc w:val="left"/>
              <w:rPr>
                <w:rFonts w:hint="eastAsia" w:ascii="宋体" w:hAnsi="宋体" w:eastAsia="宋体" w:cs="宋体"/>
                <w:sz w:val="21"/>
                <w:szCs w:val="21"/>
              </w:rPr>
            </w:pPr>
            <w:r>
              <w:rPr>
                <w:rFonts w:hint="eastAsia" w:ascii="宋体" w:hAnsi="宋体" w:eastAsia="宋体" w:cs="宋体"/>
                <w:sz w:val="21"/>
                <w:szCs w:val="21"/>
              </w:rPr>
              <w:t>酸价、极性组分</w:t>
            </w:r>
          </w:p>
        </w:tc>
        <w:tc>
          <w:tcPr>
            <w:tcW w:w="283" w:type="pct"/>
            <w:noWrap w:val="0"/>
            <w:vAlign w:val="center"/>
          </w:tcPr>
          <w:p w14:paraId="0F565C52">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8</w:t>
            </w:r>
          </w:p>
        </w:tc>
        <w:tc>
          <w:tcPr>
            <w:tcW w:w="336" w:type="pct"/>
            <w:noWrap w:val="0"/>
            <w:vAlign w:val="center"/>
          </w:tcPr>
          <w:p w14:paraId="2661D380">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2264FA3E">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6418D8AD">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4FE36672">
            <w:pPr>
              <w:spacing w:line="240" w:lineRule="auto"/>
              <w:ind w:firstLine="0" w:firstLineChars="0"/>
              <w:jc w:val="center"/>
              <w:rPr>
                <w:rFonts w:hint="eastAsia" w:ascii="宋体" w:hAnsi="宋体" w:eastAsia="宋体" w:cs="宋体"/>
                <w:b/>
                <w:sz w:val="21"/>
                <w:szCs w:val="21"/>
              </w:rPr>
            </w:pPr>
          </w:p>
        </w:tc>
      </w:tr>
      <w:tr w14:paraId="5B0CA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202" w:type="pct"/>
            <w:vMerge w:val="continue"/>
            <w:noWrap w:val="0"/>
            <w:vAlign w:val="center"/>
          </w:tcPr>
          <w:p w14:paraId="024CA66A">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786B234E">
            <w:pPr>
              <w:spacing w:line="240" w:lineRule="auto"/>
              <w:ind w:firstLine="0" w:firstLineChars="0"/>
              <w:jc w:val="center"/>
              <w:textAlignment w:val="center"/>
              <w:rPr>
                <w:rFonts w:hint="eastAsia" w:ascii="宋体" w:hAnsi="宋体" w:eastAsia="宋体" w:cs="宋体"/>
                <w:kern w:val="0"/>
                <w:sz w:val="21"/>
                <w:szCs w:val="21"/>
              </w:rPr>
            </w:pPr>
          </w:p>
        </w:tc>
        <w:tc>
          <w:tcPr>
            <w:tcW w:w="355" w:type="pct"/>
            <w:vMerge w:val="restart"/>
            <w:noWrap w:val="0"/>
            <w:vAlign w:val="center"/>
          </w:tcPr>
          <w:p w14:paraId="619958D7">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米面及其制品（自制）</w:t>
            </w:r>
          </w:p>
        </w:tc>
        <w:tc>
          <w:tcPr>
            <w:tcW w:w="312" w:type="pct"/>
            <w:vMerge w:val="restart"/>
            <w:noWrap w:val="0"/>
            <w:vAlign w:val="center"/>
          </w:tcPr>
          <w:p w14:paraId="05F1D2D0">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小麦粉制品（自制）</w:t>
            </w:r>
          </w:p>
        </w:tc>
        <w:tc>
          <w:tcPr>
            <w:tcW w:w="537" w:type="pct"/>
            <w:noWrap w:val="0"/>
            <w:vAlign w:val="center"/>
          </w:tcPr>
          <w:p w14:paraId="51094474">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lang w:eastAsia="zh-CN"/>
              </w:rPr>
              <w:t>馒头、花卷</w:t>
            </w:r>
            <w:r>
              <w:rPr>
                <w:rFonts w:hint="eastAsia" w:ascii="宋体" w:hAnsi="宋体" w:eastAsia="宋体" w:cs="宋体"/>
                <w:sz w:val="21"/>
                <w:szCs w:val="21"/>
              </w:rPr>
              <w:t>（自制）</w:t>
            </w:r>
          </w:p>
        </w:tc>
        <w:tc>
          <w:tcPr>
            <w:tcW w:w="1524" w:type="pct"/>
            <w:noWrap w:val="0"/>
            <w:vAlign w:val="center"/>
          </w:tcPr>
          <w:p w14:paraId="10655BC1">
            <w:pPr>
              <w:spacing w:line="240" w:lineRule="auto"/>
              <w:ind w:firstLine="0" w:firstLineChars="0"/>
              <w:jc w:val="left"/>
              <w:textAlignment w:val="center"/>
              <w:rPr>
                <w:rFonts w:hint="eastAsia" w:ascii="宋体" w:hAnsi="宋体" w:eastAsia="宋体" w:cs="宋体"/>
                <w:kern w:val="0"/>
                <w:sz w:val="21"/>
                <w:szCs w:val="21"/>
              </w:rPr>
            </w:pPr>
            <w:r>
              <w:rPr>
                <w:rFonts w:hint="eastAsia" w:ascii="宋体" w:hAnsi="宋体" w:eastAsia="宋体" w:cs="宋体"/>
                <w:color w:val="000000"/>
                <w:sz w:val="21"/>
                <w:szCs w:val="21"/>
                <w:u w:val="none"/>
              </w:rPr>
              <w:t>苯甲酸及其钠盐（以苯甲酸计）、山梨酸及其钾盐（以山梨酸计）、</w:t>
            </w:r>
            <w:r>
              <w:rPr>
                <w:rFonts w:hint="eastAsia" w:ascii="宋体" w:hAnsi="宋体" w:eastAsia="宋体" w:cs="宋体"/>
                <w:sz w:val="21"/>
                <w:szCs w:val="21"/>
              </w:rPr>
              <w:t>脱氢乙酸及其钠盐（以脱氢乙酸计）、</w:t>
            </w:r>
            <w:r>
              <w:rPr>
                <w:rFonts w:hint="eastAsia" w:ascii="宋体" w:hAnsi="宋体" w:eastAsia="宋体" w:cs="宋体"/>
                <w:sz w:val="21"/>
                <w:szCs w:val="21"/>
                <w:lang w:eastAsia="zh-CN"/>
              </w:rPr>
              <w:t>合成着色剂（柠檬黄、日落黄、胭脂红、苋菜红、亮蓝，视色泽而定）、</w:t>
            </w:r>
            <w:r>
              <w:rPr>
                <w:rFonts w:hint="eastAsia" w:ascii="宋体" w:hAnsi="宋体" w:eastAsia="宋体" w:cs="宋体"/>
                <w:color w:val="000000"/>
                <w:sz w:val="21"/>
                <w:szCs w:val="21"/>
                <w:u w:val="none"/>
              </w:rPr>
              <w:t>糖精钠（以糖精计）、甜蜜素（以环己基氨基磺酸计）、</w:t>
            </w:r>
            <w:r>
              <w:rPr>
                <w:rFonts w:hint="eastAsia" w:ascii="宋体" w:hAnsi="宋体" w:eastAsia="宋体" w:cs="宋体"/>
                <w:kern w:val="0"/>
                <w:sz w:val="21"/>
                <w:szCs w:val="21"/>
              </w:rPr>
              <w:t>铅（以Pb计）</w:t>
            </w:r>
          </w:p>
        </w:tc>
        <w:tc>
          <w:tcPr>
            <w:tcW w:w="283" w:type="pct"/>
            <w:noWrap w:val="0"/>
            <w:vAlign w:val="center"/>
          </w:tcPr>
          <w:p w14:paraId="42EC3B24">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2</w:t>
            </w:r>
          </w:p>
        </w:tc>
        <w:tc>
          <w:tcPr>
            <w:tcW w:w="336" w:type="pct"/>
            <w:noWrap w:val="0"/>
            <w:vAlign w:val="center"/>
          </w:tcPr>
          <w:p w14:paraId="4DEAA919">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24870286">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0193F188">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20ACBDC4">
            <w:pPr>
              <w:spacing w:line="240" w:lineRule="auto"/>
              <w:ind w:firstLine="0" w:firstLineChars="0"/>
              <w:jc w:val="center"/>
              <w:rPr>
                <w:rFonts w:hint="eastAsia" w:ascii="宋体" w:hAnsi="宋体" w:eastAsia="宋体" w:cs="宋体"/>
                <w:b/>
                <w:sz w:val="21"/>
                <w:szCs w:val="21"/>
                <w:lang w:val="en-US" w:eastAsia="zh-CN"/>
              </w:rPr>
            </w:pPr>
          </w:p>
        </w:tc>
      </w:tr>
      <w:tr w14:paraId="7ECC6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202" w:type="pct"/>
            <w:vMerge w:val="continue"/>
            <w:noWrap w:val="0"/>
            <w:vAlign w:val="center"/>
          </w:tcPr>
          <w:p w14:paraId="7880EC21">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608A9C7E">
            <w:pPr>
              <w:spacing w:line="240" w:lineRule="auto"/>
              <w:ind w:firstLine="0" w:firstLineChars="0"/>
              <w:jc w:val="center"/>
              <w:textAlignment w:val="center"/>
              <w:rPr>
                <w:rFonts w:hint="eastAsia" w:ascii="宋体" w:hAnsi="宋体" w:eastAsia="宋体" w:cs="宋体"/>
                <w:kern w:val="0"/>
                <w:sz w:val="21"/>
                <w:szCs w:val="21"/>
              </w:rPr>
            </w:pPr>
          </w:p>
        </w:tc>
        <w:tc>
          <w:tcPr>
            <w:tcW w:w="355" w:type="pct"/>
            <w:vMerge w:val="continue"/>
            <w:noWrap w:val="0"/>
            <w:vAlign w:val="center"/>
          </w:tcPr>
          <w:p w14:paraId="5B7D201A">
            <w:pPr>
              <w:spacing w:line="240" w:lineRule="auto"/>
              <w:ind w:firstLine="0" w:firstLineChars="0"/>
              <w:jc w:val="center"/>
              <w:textAlignment w:val="center"/>
              <w:rPr>
                <w:rFonts w:hint="eastAsia" w:ascii="宋体" w:hAnsi="宋体" w:eastAsia="宋体" w:cs="宋体"/>
                <w:sz w:val="21"/>
                <w:szCs w:val="21"/>
              </w:rPr>
            </w:pPr>
          </w:p>
        </w:tc>
        <w:tc>
          <w:tcPr>
            <w:tcW w:w="312" w:type="pct"/>
            <w:vMerge w:val="continue"/>
            <w:noWrap w:val="0"/>
            <w:vAlign w:val="center"/>
          </w:tcPr>
          <w:p w14:paraId="33034812">
            <w:pPr>
              <w:spacing w:line="240" w:lineRule="auto"/>
              <w:ind w:firstLine="0" w:firstLineChars="0"/>
              <w:jc w:val="center"/>
              <w:textAlignment w:val="center"/>
              <w:rPr>
                <w:rFonts w:hint="eastAsia" w:ascii="宋体" w:hAnsi="宋体" w:eastAsia="宋体" w:cs="宋体"/>
                <w:sz w:val="21"/>
                <w:szCs w:val="21"/>
              </w:rPr>
            </w:pPr>
          </w:p>
        </w:tc>
        <w:tc>
          <w:tcPr>
            <w:tcW w:w="537" w:type="pct"/>
            <w:noWrap w:val="0"/>
            <w:vAlign w:val="center"/>
          </w:tcPr>
          <w:p w14:paraId="112BE1A2">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油饼、油条（自制）</w:t>
            </w:r>
          </w:p>
        </w:tc>
        <w:tc>
          <w:tcPr>
            <w:tcW w:w="1524" w:type="pct"/>
            <w:noWrap w:val="0"/>
            <w:vAlign w:val="center"/>
          </w:tcPr>
          <w:p w14:paraId="1BA4F82A">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kern w:val="0"/>
                <w:sz w:val="21"/>
                <w:szCs w:val="21"/>
              </w:rPr>
              <w:t>铝的残留量（干样品，以Al计）</w:t>
            </w:r>
          </w:p>
        </w:tc>
        <w:tc>
          <w:tcPr>
            <w:tcW w:w="283" w:type="pct"/>
            <w:noWrap w:val="0"/>
            <w:vAlign w:val="center"/>
          </w:tcPr>
          <w:p w14:paraId="1D0A80EB">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1</w:t>
            </w:r>
          </w:p>
        </w:tc>
        <w:tc>
          <w:tcPr>
            <w:tcW w:w="336" w:type="pct"/>
            <w:noWrap w:val="0"/>
            <w:vAlign w:val="center"/>
          </w:tcPr>
          <w:p w14:paraId="25DC1B45">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2B0A18B0">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4A81871F">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3A05C5B3">
            <w:pPr>
              <w:spacing w:line="240" w:lineRule="auto"/>
              <w:ind w:firstLine="0" w:firstLineChars="0"/>
              <w:jc w:val="center"/>
              <w:rPr>
                <w:rFonts w:hint="eastAsia" w:ascii="宋体" w:hAnsi="宋体" w:eastAsia="宋体" w:cs="宋体"/>
                <w:b/>
                <w:sz w:val="21"/>
                <w:szCs w:val="21"/>
                <w:lang w:val="en-US" w:eastAsia="zh-CN"/>
              </w:rPr>
            </w:pPr>
          </w:p>
        </w:tc>
      </w:tr>
      <w:tr w14:paraId="7A3D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02" w:type="pct"/>
            <w:vMerge w:val="continue"/>
            <w:noWrap w:val="0"/>
            <w:vAlign w:val="center"/>
          </w:tcPr>
          <w:p w14:paraId="4D357A3F">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0435FD0C">
            <w:pPr>
              <w:spacing w:line="240" w:lineRule="auto"/>
              <w:ind w:firstLine="0" w:firstLineChars="0"/>
              <w:jc w:val="center"/>
              <w:textAlignment w:val="center"/>
              <w:rPr>
                <w:rFonts w:hint="eastAsia" w:ascii="宋体" w:hAnsi="宋体" w:eastAsia="宋体" w:cs="宋体"/>
                <w:kern w:val="0"/>
                <w:sz w:val="21"/>
                <w:szCs w:val="21"/>
              </w:rPr>
            </w:pPr>
          </w:p>
        </w:tc>
        <w:tc>
          <w:tcPr>
            <w:tcW w:w="355" w:type="pct"/>
            <w:vMerge w:val="continue"/>
            <w:noWrap w:val="0"/>
            <w:vAlign w:val="center"/>
          </w:tcPr>
          <w:p w14:paraId="63AF204A">
            <w:pPr>
              <w:spacing w:line="240" w:lineRule="auto"/>
              <w:ind w:firstLine="0" w:firstLineChars="0"/>
              <w:jc w:val="center"/>
              <w:textAlignment w:val="center"/>
              <w:rPr>
                <w:rFonts w:hint="eastAsia" w:ascii="宋体" w:hAnsi="宋体" w:eastAsia="宋体" w:cs="宋体"/>
                <w:sz w:val="21"/>
                <w:szCs w:val="21"/>
              </w:rPr>
            </w:pPr>
          </w:p>
        </w:tc>
        <w:tc>
          <w:tcPr>
            <w:tcW w:w="312" w:type="pct"/>
            <w:vMerge w:val="continue"/>
            <w:noWrap w:val="0"/>
            <w:vAlign w:val="center"/>
          </w:tcPr>
          <w:p w14:paraId="17E73E98">
            <w:pPr>
              <w:spacing w:line="240" w:lineRule="auto"/>
              <w:ind w:firstLine="0" w:firstLineChars="0"/>
              <w:jc w:val="center"/>
              <w:textAlignment w:val="center"/>
              <w:rPr>
                <w:rFonts w:hint="eastAsia" w:ascii="宋体" w:hAnsi="宋体" w:eastAsia="宋体" w:cs="宋体"/>
                <w:sz w:val="21"/>
                <w:szCs w:val="21"/>
              </w:rPr>
            </w:pPr>
          </w:p>
        </w:tc>
        <w:tc>
          <w:tcPr>
            <w:tcW w:w="537" w:type="pct"/>
            <w:noWrap w:val="0"/>
            <w:vAlign w:val="center"/>
          </w:tcPr>
          <w:p w14:paraId="2CF9C71A">
            <w:pPr>
              <w:spacing w:line="240" w:lineRule="auto"/>
              <w:ind w:firstLine="0" w:firstLineChars="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其他生制面制品（自制）：鲜面条</w:t>
            </w:r>
          </w:p>
        </w:tc>
        <w:tc>
          <w:tcPr>
            <w:tcW w:w="1524" w:type="pct"/>
            <w:noWrap w:val="0"/>
            <w:vAlign w:val="center"/>
          </w:tcPr>
          <w:p w14:paraId="17EA7A33">
            <w:pPr>
              <w:spacing w:line="240" w:lineRule="auto"/>
              <w:ind w:firstLine="0" w:firstLineChars="0"/>
              <w:jc w:val="left"/>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铅（以Pb计）</w:t>
            </w:r>
            <w:r>
              <w:rPr>
                <w:rFonts w:hint="eastAsia" w:ascii="宋体" w:hAnsi="宋体" w:eastAsia="宋体" w:cs="宋体"/>
                <w:kern w:val="0"/>
                <w:sz w:val="21"/>
                <w:szCs w:val="21"/>
                <w:lang w:eastAsia="zh-CN"/>
              </w:rPr>
              <w:t>、</w:t>
            </w:r>
            <w:r>
              <w:rPr>
                <w:rFonts w:hint="eastAsia" w:ascii="宋体" w:hAnsi="宋体" w:eastAsia="宋体" w:cs="宋体"/>
                <w:sz w:val="21"/>
                <w:szCs w:val="21"/>
              </w:rPr>
              <w:t>脱氢乙酸及其钠盐（以脱氢乙酸计）</w:t>
            </w:r>
          </w:p>
        </w:tc>
        <w:tc>
          <w:tcPr>
            <w:tcW w:w="283" w:type="pct"/>
            <w:noWrap w:val="0"/>
            <w:vAlign w:val="center"/>
          </w:tcPr>
          <w:p w14:paraId="15FDC281">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4</w:t>
            </w:r>
          </w:p>
        </w:tc>
        <w:tc>
          <w:tcPr>
            <w:tcW w:w="336" w:type="pct"/>
            <w:noWrap w:val="0"/>
            <w:vAlign w:val="center"/>
          </w:tcPr>
          <w:p w14:paraId="6CF83DC4">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49410304">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133990EB">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7FF47847">
            <w:pPr>
              <w:spacing w:line="240" w:lineRule="auto"/>
              <w:ind w:firstLine="0" w:firstLineChars="0"/>
              <w:jc w:val="center"/>
              <w:rPr>
                <w:rFonts w:hint="eastAsia" w:ascii="宋体" w:hAnsi="宋体" w:eastAsia="宋体" w:cs="宋体"/>
                <w:b/>
                <w:sz w:val="21"/>
                <w:szCs w:val="21"/>
                <w:lang w:val="en-US" w:eastAsia="zh-CN"/>
              </w:rPr>
            </w:pPr>
          </w:p>
        </w:tc>
      </w:tr>
      <w:tr w14:paraId="4232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202" w:type="pct"/>
            <w:vMerge w:val="restart"/>
            <w:noWrap w:val="0"/>
            <w:vAlign w:val="center"/>
          </w:tcPr>
          <w:p w14:paraId="65A37A65">
            <w:pPr>
              <w:spacing w:line="240" w:lineRule="auto"/>
              <w:ind w:firstLine="0" w:firstLineChars="0"/>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19</w:t>
            </w:r>
          </w:p>
        </w:tc>
        <w:tc>
          <w:tcPr>
            <w:tcW w:w="328" w:type="pct"/>
            <w:vMerge w:val="restart"/>
            <w:noWrap w:val="0"/>
            <w:vAlign w:val="center"/>
          </w:tcPr>
          <w:p w14:paraId="06706B71">
            <w:pPr>
              <w:spacing w:line="240" w:lineRule="auto"/>
              <w:ind w:firstLine="0" w:firstLineChars="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餐饮食品</w:t>
            </w:r>
          </w:p>
        </w:tc>
        <w:tc>
          <w:tcPr>
            <w:tcW w:w="355" w:type="pct"/>
            <w:noWrap w:val="0"/>
            <w:vAlign w:val="center"/>
          </w:tcPr>
          <w:p w14:paraId="4AA0A594">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米面及其制品（自制）</w:t>
            </w:r>
          </w:p>
        </w:tc>
        <w:tc>
          <w:tcPr>
            <w:tcW w:w="312" w:type="pct"/>
            <w:noWrap w:val="0"/>
            <w:vAlign w:val="center"/>
          </w:tcPr>
          <w:p w14:paraId="632F8616">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大米制品（自制）</w:t>
            </w:r>
          </w:p>
        </w:tc>
        <w:tc>
          <w:tcPr>
            <w:tcW w:w="537" w:type="pct"/>
            <w:noWrap w:val="0"/>
            <w:vAlign w:val="center"/>
          </w:tcPr>
          <w:p w14:paraId="184ADB7C">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米皮类（自制）：米皮</w:t>
            </w:r>
          </w:p>
        </w:tc>
        <w:tc>
          <w:tcPr>
            <w:tcW w:w="1524" w:type="pct"/>
            <w:noWrap w:val="0"/>
            <w:vAlign w:val="center"/>
          </w:tcPr>
          <w:p w14:paraId="60BC9C47">
            <w:pPr>
              <w:spacing w:line="240" w:lineRule="auto"/>
              <w:ind w:firstLine="0" w:firstLineChars="0"/>
              <w:jc w:val="left"/>
              <w:textAlignment w:val="center"/>
              <w:rPr>
                <w:rFonts w:hint="eastAsia" w:ascii="宋体" w:hAnsi="宋体" w:eastAsia="宋体" w:cs="宋体"/>
                <w:kern w:val="0"/>
                <w:sz w:val="21"/>
                <w:szCs w:val="21"/>
              </w:rPr>
            </w:pPr>
            <w:r>
              <w:rPr>
                <w:rFonts w:hint="eastAsia" w:ascii="宋体" w:hAnsi="宋体" w:eastAsia="宋体" w:cs="宋体"/>
                <w:color w:val="000000"/>
                <w:sz w:val="21"/>
                <w:szCs w:val="21"/>
                <w:u w:val="none"/>
              </w:rPr>
              <w:t>苯甲酸及其钠盐（以苯甲酸计）、山梨酸及其钾盐（以山梨酸计）、</w:t>
            </w:r>
            <w:r>
              <w:rPr>
                <w:rFonts w:hint="eastAsia" w:ascii="宋体" w:hAnsi="宋体" w:eastAsia="宋体" w:cs="宋体"/>
                <w:sz w:val="21"/>
                <w:szCs w:val="21"/>
              </w:rPr>
              <w:t>脱氢乙酸及其钠盐（以脱氢乙酸计）</w:t>
            </w:r>
          </w:p>
        </w:tc>
        <w:tc>
          <w:tcPr>
            <w:tcW w:w="283" w:type="pct"/>
            <w:noWrap w:val="0"/>
            <w:vAlign w:val="center"/>
          </w:tcPr>
          <w:p w14:paraId="5939DAE4">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4</w:t>
            </w:r>
          </w:p>
        </w:tc>
        <w:tc>
          <w:tcPr>
            <w:tcW w:w="336" w:type="pct"/>
            <w:noWrap w:val="0"/>
            <w:vAlign w:val="center"/>
          </w:tcPr>
          <w:p w14:paraId="65D1BF56">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59EEBF01">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01C184CC">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04A4E83B">
            <w:pPr>
              <w:spacing w:line="240" w:lineRule="auto"/>
              <w:ind w:firstLine="0" w:firstLineChars="0"/>
              <w:jc w:val="center"/>
              <w:rPr>
                <w:rFonts w:hint="eastAsia" w:ascii="宋体" w:hAnsi="宋体" w:eastAsia="宋体" w:cs="宋体"/>
                <w:b/>
                <w:sz w:val="21"/>
                <w:szCs w:val="21"/>
              </w:rPr>
            </w:pPr>
          </w:p>
        </w:tc>
      </w:tr>
      <w:tr w14:paraId="3E97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202" w:type="pct"/>
            <w:vMerge w:val="continue"/>
            <w:noWrap w:val="0"/>
            <w:vAlign w:val="center"/>
          </w:tcPr>
          <w:p w14:paraId="7D9BF0EA">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4AFF6923">
            <w:pPr>
              <w:spacing w:line="240" w:lineRule="auto"/>
              <w:ind w:firstLine="0" w:firstLineChars="0"/>
              <w:jc w:val="center"/>
              <w:textAlignment w:val="center"/>
              <w:rPr>
                <w:rFonts w:hint="eastAsia" w:ascii="宋体" w:hAnsi="宋体" w:eastAsia="宋体" w:cs="宋体"/>
                <w:kern w:val="0"/>
                <w:sz w:val="21"/>
                <w:szCs w:val="21"/>
              </w:rPr>
            </w:pPr>
          </w:p>
        </w:tc>
        <w:tc>
          <w:tcPr>
            <w:tcW w:w="355" w:type="pct"/>
            <w:vMerge w:val="restart"/>
            <w:noWrap w:val="0"/>
            <w:vAlign w:val="center"/>
          </w:tcPr>
          <w:p w14:paraId="30401350">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饮料（自制）</w:t>
            </w:r>
          </w:p>
        </w:tc>
        <w:tc>
          <w:tcPr>
            <w:tcW w:w="312" w:type="pct"/>
            <w:vMerge w:val="restart"/>
            <w:noWrap w:val="0"/>
            <w:vAlign w:val="center"/>
          </w:tcPr>
          <w:p w14:paraId="0A6AFE01">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饮料（自制）</w:t>
            </w:r>
          </w:p>
        </w:tc>
        <w:tc>
          <w:tcPr>
            <w:tcW w:w="537" w:type="pct"/>
            <w:noWrap w:val="0"/>
            <w:vAlign w:val="center"/>
          </w:tcPr>
          <w:p w14:paraId="39C3CDBE">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奶茶（自制）</w:t>
            </w:r>
          </w:p>
        </w:tc>
        <w:tc>
          <w:tcPr>
            <w:tcW w:w="1524" w:type="pct"/>
            <w:noWrap w:val="0"/>
            <w:vAlign w:val="center"/>
          </w:tcPr>
          <w:p w14:paraId="6FF58CBE">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色素（视色泽而定）、甜蜜素（以环己基氨基磺酸计）、安赛蜜</w:t>
            </w:r>
          </w:p>
        </w:tc>
        <w:tc>
          <w:tcPr>
            <w:tcW w:w="283" w:type="pct"/>
            <w:noWrap w:val="0"/>
            <w:vAlign w:val="center"/>
          </w:tcPr>
          <w:p w14:paraId="620FEC0D">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8</w:t>
            </w:r>
          </w:p>
        </w:tc>
        <w:tc>
          <w:tcPr>
            <w:tcW w:w="336" w:type="pct"/>
            <w:noWrap w:val="0"/>
            <w:vAlign w:val="center"/>
          </w:tcPr>
          <w:p w14:paraId="55E012A0">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078E6A60">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3293641B">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4CE6065C">
            <w:pPr>
              <w:spacing w:line="240" w:lineRule="auto"/>
              <w:ind w:firstLine="0" w:firstLineChars="0"/>
              <w:jc w:val="center"/>
              <w:rPr>
                <w:rFonts w:hint="eastAsia" w:ascii="宋体" w:hAnsi="宋体" w:eastAsia="宋体" w:cs="宋体"/>
                <w:b/>
                <w:sz w:val="21"/>
                <w:szCs w:val="21"/>
                <w:lang w:val="en-US" w:eastAsia="zh-CN"/>
              </w:rPr>
            </w:pPr>
          </w:p>
        </w:tc>
      </w:tr>
      <w:tr w14:paraId="5434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202" w:type="pct"/>
            <w:vMerge w:val="continue"/>
            <w:noWrap w:val="0"/>
            <w:vAlign w:val="center"/>
          </w:tcPr>
          <w:p w14:paraId="6FC2DE9E">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5E8A5E8F">
            <w:pPr>
              <w:spacing w:line="240" w:lineRule="auto"/>
              <w:ind w:firstLine="0" w:firstLineChars="0"/>
              <w:jc w:val="center"/>
              <w:textAlignment w:val="center"/>
              <w:rPr>
                <w:rFonts w:hint="eastAsia" w:ascii="宋体" w:hAnsi="宋体" w:eastAsia="宋体" w:cs="宋体"/>
                <w:kern w:val="0"/>
                <w:sz w:val="21"/>
                <w:szCs w:val="21"/>
              </w:rPr>
            </w:pPr>
          </w:p>
        </w:tc>
        <w:tc>
          <w:tcPr>
            <w:tcW w:w="355" w:type="pct"/>
            <w:vMerge w:val="continue"/>
            <w:noWrap w:val="0"/>
            <w:vAlign w:val="center"/>
          </w:tcPr>
          <w:p w14:paraId="0D610BFA">
            <w:pPr>
              <w:spacing w:line="240" w:lineRule="auto"/>
              <w:ind w:firstLine="0" w:firstLineChars="0"/>
              <w:jc w:val="center"/>
              <w:textAlignment w:val="center"/>
              <w:rPr>
                <w:rFonts w:hint="eastAsia" w:ascii="宋体" w:hAnsi="宋体" w:eastAsia="宋体" w:cs="宋体"/>
                <w:sz w:val="21"/>
                <w:szCs w:val="21"/>
              </w:rPr>
            </w:pPr>
          </w:p>
        </w:tc>
        <w:tc>
          <w:tcPr>
            <w:tcW w:w="312" w:type="pct"/>
            <w:vMerge w:val="continue"/>
            <w:noWrap w:val="0"/>
            <w:vAlign w:val="center"/>
          </w:tcPr>
          <w:p w14:paraId="71D03F13">
            <w:pPr>
              <w:spacing w:line="240" w:lineRule="auto"/>
              <w:ind w:firstLine="0" w:firstLineChars="0"/>
              <w:jc w:val="center"/>
              <w:textAlignment w:val="center"/>
              <w:rPr>
                <w:rFonts w:hint="eastAsia" w:ascii="宋体" w:hAnsi="宋体" w:eastAsia="宋体" w:cs="宋体"/>
                <w:sz w:val="21"/>
                <w:szCs w:val="21"/>
              </w:rPr>
            </w:pPr>
          </w:p>
        </w:tc>
        <w:tc>
          <w:tcPr>
            <w:tcW w:w="537" w:type="pct"/>
            <w:noWrap w:val="0"/>
            <w:vAlign w:val="center"/>
          </w:tcPr>
          <w:p w14:paraId="444C4D85">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豆浆（自制）</w:t>
            </w:r>
          </w:p>
        </w:tc>
        <w:tc>
          <w:tcPr>
            <w:tcW w:w="1524" w:type="pct"/>
            <w:noWrap w:val="0"/>
            <w:vAlign w:val="center"/>
          </w:tcPr>
          <w:p w14:paraId="1D7C9DBA">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安赛蜜、尿酶试验（仅限豆浆检测）</w:t>
            </w:r>
          </w:p>
        </w:tc>
        <w:tc>
          <w:tcPr>
            <w:tcW w:w="283" w:type="pct"/>
            <w:noWrap w:val="0"/>
            <w:vAlign w:val="center"/>
          </w:tcPr>
          <w:p w14:paraId="56D8EE7C">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1</w:t>
            </w:r>
          </w:p>
        </w:tc>
        <w:tc>
          <w:tcPr>
            <w:tcW w:w="336" w:type="pct"/>
            <w:noWrap w:val="0"/>
            <w:vAlign w:val="center"/>
          </w:tcPr>
          <w:p w14:paraId="730336AC">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2A647F09">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27B1589E">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493FE1CA">
            <w:pPr>
              <w:spacing w:line="240" w:lineRule="auto"/>
              <w:ind w:firstLine="0" w:firstLineChars="0"/>
              <w:jc w:val="center"/>
              <w:rPr>
                <w:rFonts w:hint="eastAsia" w:ascii="宋体" w:hAnsi="宋体" w:eastAsia="宋体" w:cs="宋体"/>
                <w:b/>
                <w:sz w:val="21"/>
                <w:szCs w:val="21"/>
              </w:rPr>
            </w:pPr>
          </w:p>
        </w:tc>
      </w:tr>
      <w:tr w14:paraId="0E5BF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02" w:type="pct"/>
            <w:vMerge w:val="continue"/>
            <w:noWrap w:val="0"/>
            <w:vAlign w:val="center"/>
          </w:tcPr>
          <w:p w14:paraId="3C3E9D59">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51304D5A">
            <w:pPr>
              <w:spacing w:line="240" w:lineRule="auto"/>
              <w:ind w:firstLine="0" w:firstLineChars="0"/>
              <w:jc w:val="center"/>
              <w:textAlignment w:val="center"/>
              <w:rPr>
                <w:rFonts w:hint="eastAsia" w:ascii="宋体" w:hAnsi="宋体" w:eastAsia="宋体" w:cs="宋体"/>
                <w:kern w:val="0"/>
                <w:sz w:val="21"/>
                <w:szCs w:val="21"/>
              </w:rPr>
            </w:pPr>
          </w:p>
        </w:tc>
        <w:tc>
          <w:tcPr>
            <w:tcW w:w="355" w:type="pct"/>
            <w:vMerge w:val="continue"/>
            <w:noWrap w:val="0"/>
            <w:vAlign w:val="center"/>
          </w:tcPr>
          <w:p w14:paraId="1F99EA14">
            <w:pPr>
              <w:spacing w:line="240" w:lineRule="auto"/>
              <w:ind w:firstLine="0" w:firstLineChars="0"/>
              <w:jc w:val="center"/>
              <w:textAlignment w:val="center"/>
              <w:rPr>
                <w:rFonts w:hint="eastAsia" w:ascii="宋体" w:hAnsi="宋体" w:eastAsia="宋体" w:cs="宋体"/>
                <w:sz w:val="21"/>
                <w:szCs w:val="21"/>
              </w:rPr>
            </w:pPr>
          </w:p>
        </w:tc>
        <w:tc>
          <w:tcPr>
            <w:tcW w:w="312" w:type="pct"/>
            <w:vMerge w:val="continue"/>
            <w:noWrap w:val="0"/>
            <w:vAlign w:val="center"/>
          </w:tcPr>
          <w:p w14:paraId="595CFB85">
            <w:pPr>
              <w:spacing w:line="240" w:lineRule="auto"/>
              <w:ind w:firstLine="0" w:firstLineChars="0"/>
              <w:jc w:val="center"/>
              <w:textAlignment w:val="center"/>
              <w:rPr>
                <w:rFonts w:hint="eastAsia" w:ascii="宋体" w:hAnsi="宋体" w:eastAsia="宋体" w:cs="宋体"/>
                <w:sz w:val="21"/>
                <w:szCs w:val="21"/>
              </w:rPr>
            </w:pPr>
          </w:p>
        </w:tc>
        <w:tc>
          <w:tcPr>
            <w:tcW w:w="537" w:type="pct"/>
            <w:noWrap w:val="0"/>
            <w:vAlign w:val="center"/>
          </w:tcPr>
          <w:p w14:paraId="3A546FC7">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其他饮料（自制）</w:t>
            </w:r>
          </w:p>
        </w:tc>
        <w:tc>
          <w:tcPr>
            <w:tcW w:w="1524" w:type="pct"/>
            <w:noWrap w:val="0"/>
            <w:vAlign w:val="center"/>
          </w:tcPr>
          <w:p w14:paraId="483EF242">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色素（视色泽而定）、甜蜜素（以环己基氨基磺酸计）、安赛蜜、糖精钠</w:t>
            </w:r>
          </w:p>
        </w:tc>
        <w:tc>
          <w:tcPr>
            <w:tcW w:w="283" w:type="pct"/>
            <w:noWrap w:val="0"/>
            <w:vAlign w:val="center"/>
          </w:tcPr>
          <w:p w14:paraId="30F74D94">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10</w:t>
            </w:r>
          </w:p>
        </w:tc>
        <w:tc>
          <w:tcPr>
            <w:tcW w:w="336" w:type="pct"/>
            <w:noWrap w:val="0"/>
            <w:vAlign w:val="center"/>
          </w:tcPr>
          <w:p w14:paraId="39095885">
            <w:pPr>
              <w:spacing w:line="240" w:lineRule="auto"/>
              <w:ind w:firstLine="0" w:firstLineChars="0"/>
              <w:jc w:val="center"/>
              <w:rPr>
                <w:rFonts w:hint="eastAsia" w:ascii="宋体" w:hAnsi="宋体" w:eastAsia="宋体" w:cs="宋体"/>
                <w:b/>
                <w:sz w:val="21"/>
                <w:szCs w:val="21"/>
              </w:rPr>
            </w:pPr>
          </w:p>
        </w:tc>
        <w:tc>
          <w:tcPr>
            <w:tcW w:w="262" w:type="pct"/>
            <w:noWrap w:val="0"/>
            <w:vAlign w:val="center"/>
          </w:tcPr>
          <w:p w14:paraId="6B0CC2C2">
            <w:pPr>
              <w:spacing w:line="240" w:lineRule="auto"/>
              <w:ind w:firstLine="0" w:firstLineChars="0"/>
              <w:jc w:val="center"/>
              <w:rPr>
                <w:rFonts w:hint="eastAsia" w:ascii="宋体" w:hAnsi="宋体" w:eastAsia="宋体" w:cs="宋体"/>
                <w:b/>
                <w:sz w:val="21"/>
                <w:szCs w:val="21"/>
              </w:rPr>
            </w:pPr>
          </w:p>
        </w:tc>
        <w:tc>
          <w:tcPr>
            <w:tcW w:w="401" w:type="pct"/>
            <w:noWrap w:val="0"/>
            <w:vAlign w:val="center"/>
          </w:tcPr>
          <w:p w14:paraId="418F3861">
            <w:pPr>
              <w:spacing w:line="240" w:lineRule="auto"/>
              <w:ind w:firstLine="0" w:firstLineChars="0"/>
              <w:jc w:val="center"/>
              <w:rPr>
                <w:rFonts w:hint="eastAsia" w:ascii="宋体" w:hAnsi="宋体" w:eastAsia="宋体" w:cs="宋体"/>
                <w:b/>
                <w:sz w:val="21"/>
                <w:szCs w:val="21"/>
              </w:rPr>
            </w:pPr>
          </w:p>
        </w:tc>
        <w:tc>
          <w:tcPr>
            <w:tcW w:w="457" w:type="pct"/>
            <w:noWrap w:val="0"/>
            <w:vAlign w:val="center"/>
          </w:tcPr>
          <w:p w14:paraId="2C9F4777">
            <w:pPr>
              <w:spacing w:line="240" w:lineRule="auto"/>
              <w:ind w:firstLine="0" w:firstLineChars="0"/>
              <w:jc w:val="center"/>
              <w:rPr>
                <w:rFonts w:hint="eastAsia" w:ascii="宋体" w:hAnsi="宋体" w:eastAsia="宋体" w:cs="宋体"/>
                <w:b/>
                <w:sz w:val="21"/>
                <w:szCs w:val="21"/>
              </w:rPr>
            </w:pPr>
          </w:p>
        </w:tc>
      </w:tr>
      <w:tr w14:paraId="711F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202" w:type="pct"/>
            <w:vMerge w:val="continue"/>
            <w:noWrap w:val="0"/>
            <w:vAlign w:val="center"/>
          </w:tcPr>
          <w:p w14:paraId="6E3DD3C8">
            <w:pPr>
              <w:spacing w:line="240" w:lineRule="auto"/>
              <w:ind w:firstLine="0" w:firstLineChars="0"/>
              <w:jc w:val="center"/>
              <w:rPr>
                <w:rFonts w:hint="eastAsia" w:ascii="宋体" w:hAnsi="宋体" w:eastAsia="宋体" w:cs="宋体"/>
                <w:b/>
                <w:sz w:val="21"/>
                <w:szCs w:val="21"/>
              </w:rPr>
            </w:pPr>
          </w:p>
        </w:tc>
        <w:tc>
          <w:tcPr>
            <w:tcW w:w="328" w:type="pct"/>
            <w:vMerge w:val="continue"/>
            <w:noWrap w:val="0"/>
            <w:vAlign w:val="center"/>
          </w:tcPr>
          <w:p w14:paraId="582B0826">
            <w:pPr>
              <w:spacing w:line="240" w:lineRule="auto"/>
              <w:ind w:firstLine="0" w:firstLineChars="0"/>
              <w:jc w:val="center"/>
              <w:textAlignment w:val="center"/>
              <w:rPr>
                <w:rFonts w:hint="eastAsia" w:ascii="宋体" w:hAnsi="宋体" w:eastAsia="宋体" w:cs="宋体"/>
                <w:kern w:val="0"/>
                <w:sz w:val="21"/>
                <w:szCs w:val="21"/>
              </w:rPr>
            </w:pPr>
          </w:p>
        </w:tc>
        <w:tc>
          <w:tcPr>
            <w:tcW w:w="355" w:type="pct"/>
            <w:noWrap w:val="0"/>
            <w:vAlign w:val="center"/>
          </w:tcPr>
          <w:p w14:paraId="6D0C0272">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餐饮具</w:t>
            </w:r>
          </w:p>
        </w:tc>
        <w:tc>
          <w:tcPr>
            <w:tcW w:w="312" w:type="pct"/>
            <w:noWrap w:val="0"/>
            <w:vAlign w:val="center"/>
          </w:tcPr>
          <w:p w14:paraId="5CA5C8AE">
            <w:pPr>
              <w:spacing w:line="240" w:lineRule="auto"/>
              <w:ind w:firstLine="0" w:firstLineChars="0"/>
              <w:jc w:val="center"/>
              <w:textAlignment w:val="center"/>
              <w:rPr>
                <w:rFonts w:hint="eastAsia" w:ascii="宋体" w:hAnsi="宋体" w:eastAsia="宋体" w:cs="宋体"/>
                <w:sz w:val="21"/>
                <w:szCs w:val="21"/>
              </w:rPr>
            </w:pPr>
            <w:r>
              <w:rPr>
                <w:rFonts w:hint="eastAsia" w:ascii="宋体" w:hAnsi="宋体" w:eastAsia="宋体" w:cs="宋体"/>
                <w:sz w:val="21"/>
                <w:szCs w:val="21"/>
              </w:rPr>
              <w:t>复用餐饮具</w:t>
            </w:r>
          </w:p>
        </w:tc>
        <w:tc>
          <w:tcPr>
            <w:tcW w:w="537" w:type="pct"/>
            <w:noWrap w:val="0"/>
            <w:vAlign w:val="center"/>
          </w:tcPr>
          <w:p w14:paraId="2A9C9BE2">
            <w:pPr>
              <w:spacing w:line="24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复用餐饮具（餐馆自行消毒）、复用餐饮具（集中清洗消毒服务单位消毒）、操作台</w:t>
            </w:r>
          </w:p>
        </w:tc>
        <w:tc>
          <w:tcPr>
            <w:tcW w:w="1524" w:type="pct"/>
            <w:noWrap w:val="0"/>
            <w:vAlign w:val="center"/>
          </w:tcPr>
          <w:p w14:paraId="574DC957">
            <w:pPr>
              <w:spacing w:line="240" w:lineRule="auto"/>
              <w:ind w:firstLine="0" w:firstLineChars="0"/>
              <w:jc w:val="left"/>
              <w:textAlignment w:val="center"/>
              <w:rPr>
                <w:rFonts w:hint="eastAsia" w:ascii="宋体" w:hAnsi="宋体" w:eastAsia="宋体" w:cs="宋体"/>
                <w:sz w:val="21"/>
                <w:szCs w:val="21"/>
              </w:rPr>
            </w:pPr>
            <w:r>
              <w:rPr>
                <w:rFonts w:hint="eastAsia" w:ascii="宋体" w:hAnsi="宋体" w:eastAsia="宋体" w:cs="宋体"/>
                <w:sz w:val="21"/>
                <w:szCs w:val="21"/>
              </w:rPr>
              <w:t>大肠菌群、阴离子合成洗涤剂（以十二烷基苯磺酸钠）</w:t>
            </w:r>
          </w:p>
        </w:tc>
        <w:tc>
          <w:tcPr>
            <w:tcW w:w="283" w:type="pct"/>
            <w:noWrap w:val="0"/>
            <w:vAlign w:val="center"/>
          </w:tcPr>
          <w:p w14:paraId="106C26E5">
            <w:pPr>
              <w:spacing w:line="240" w:lineRule="auto"/>
              <w:ind w:firstLine="0" w:firstLineChars="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18</w:t>
            </w:r>
          </w:p>
        </w:tc>
        <w:tc>
          <w:tcPr>
            <w:tcW w:w="336" w:type="pct"/>
            <w:noWrap w:val="0"/>
            <w:vAlign w:val="center"/>
          </w:tcPr>
          <w:p w14:paraId="4493BDF9">
            <w:pPr>
              <w:spacing w:line="240" w:lineRule="auto"/>
              <w:ind w:firstLine="0" w:firstLineChars="0"/>
              <w:jc w:val="center"/>
              <w:rPr>
                <w:rFonts w:hint="eastAsia" w:ascii="宋体" w:hAnsi="宋体" w:eastAsia="宋体" w:cs="宋体"/>
                <w:b/>
                <w:sz w:val="21"/>
                <w:szCs w:val="21"/>
                <w:lang w:val="en-US" w:eastAsia="zh-CN"/>
              </w:rPr>
            </w:pPr>
          </w:p>
        </w:tc>
        <w:tc>
          <w:tcPr>
            <w:tcW w:w="262" w:type="pct"/>
            <w:noWrap w:val="0"/>
            <w:vAlign w:val="center"/>
          </w:tcPr>
          <w:p w14:paraId="229E5673">
            <w:pPr>
              <w:spacing w:line="240" w:lineRule="auto"/>
              <w:ind w:firstLine="0" w:firstLineChars="0"/>
              <w:jc w:val="center"/>
              <w:rPr>
                <w:rFonts w:hint="eastAsia" w:ascii="宋体" w:hAnsi="宋体" w:eastAsia="宋体" w:cs="宋体"/>
                <w:b/>
                <w:sz w:val="21"/>
                <w:szCs w:val="21"/>
                <w:lang w:val="en-US" w:eastAsia="zh-CN"/>
              </w:rPr>
            </w:pPr>
          </w:p>
        </w:tc>
        <w:tc>
          <w:tcPr>
            <w:tcW w:w="401" w:type="pct"/>
            <w:noWrap w:val="0"/>
            <w:vAlign w:val="center"/>
          </w:tcPr>
          <w:p w14:paraId="4B7ECEFF">
            <w:pPr>
              <w:spacing w:line="240" w:lineRule="auto"/>
              <w:ind w:firstLine="0" w:firstLineChars="0"/>
              <w:jc w:val="center"/>
              <w:rPr>
                <w:rFonts w:hint="eastAsia" w:ascii="宋体" w:hAnsi="宋体" w:eastAsia="宋体" w:cs="宋体"/>
                <w:b/>
                <w:sz w:val="21"/>
                <w:szCs w:val="21"/>
                <w:lang w:val="en-US" w:eastAsia="zh-CN"/>
              </w:rPr>
            </w:pPr>
          </w:p>
        </w:tc>
        <w:tc>
          <w:tcPr>
            <w:tcW w:w="457" w:type="pct"/>
            <w:noWrap w:val="0"/>
            <w:vAlign w:val="center"/>
          </w:tcPr>
          <w:p w14:paraId="141E7E24">
            <w:pPr>
              <w:spacing w:line="240" w:lineRule="auto"/>
              <w:ind w:firstLine="0" w:firstLineChars="0"/>
              <w:jc w:val="center"/>
              <w:rPr>
                <w:rFonts w:hint="eastAsia" w:ascii="宋体" w:hAnsi="宋体" w:eastAsia="宋体" w:cs="宋体"/>
                <w:b/>
                <w:sz w:val="21"/>
                <w:szCs w:val="21"/>
                <w:lang w:val="en-US" w:eastAsia="zh-CN"/>
              </w:rPr>
            </w:pPr>
          </w:p>
        </w:tc>
      </w:tr>
      <w:tr w14:paraId="74AF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000" w:type="pct"/>
            <w:gridSpan w:val="11"/>
            <w:noWrap w:val="0"/>
            <w:vAlign w:val="center"/>
          </w:tcPr>
          <w:p w14:paraId="3EA5B828">
            <w:pPr>
              <w:spacing w:line="240" w:lineRule="auto"/>
              <w:ind w:firstLine="0" w:firstLineChars="0"/>
              <w:jc w:val="center"/>
              <w:rPr>
                <w:rFonts w:hint="eastAsia" w:ascii="宋体" w:hAnsi="宋体" w:eastAsia="宋体" w:cs="宋体"/>
                <w:b/>
                <w:sz w:val="21"/>
                <w:szCs w:val="21"/>
              </w:rPr>
            </w:pPr>
            <w:r>
              <w:rPr>
                <w:rFonts w:hint="eastAsia" w:ascii="宋体" w:hAnsi="宋体" w:eastAsia="宋体" w:cs="宋体"/>
                <w:b/>
                <w:sz w:val="21"/>
                <w:szCs w:val="21"/>
              </w:rPr>
              <w:t>202</w:t>
            </w:r>
            <w:r>
              <w:rPr>
                <w:rFonts w:hint="eastAsia" w:ascii="宋体" w:hAnsi="宋体" w:eastAsia="宋体" w:cs="宋体"/>
                <w:b/>
                <w:sz w:val="21"/>
                <w:szCs w:val="21"/>
                <w:lang w:val="en-US" w:eastAsia="zh-CN"/>
              </w:rPr>
              <w:t>6</w:t>
            </w:r>
            <w:r>
              <w:rPr>
                <w:rFonts w:hint="eastAsia" w:ascii="宋体" w:hAnsi="宋体" w:eastAsia="宋体" w:cs="宋体"/>
                <w:b/>
                <w:sz w:val="21"/>
                <w:szCs w:val="21"/>
              </w:rPr>
              <w:t>年食品安全监督抽检方案（食用农产品）</w:t>
            </w:r>
          </w:p>
        </w:tc>
      </w:tr>
    </w:tbl>
    <w:tbl>
      <w:tblPr>
        <w:tblStyle w:val="46"/>
        <w:tblW w:w="53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952"/>
        <w:gridCol w:w="995"/>
        <w:gridCol w:w="916"/>
        <w:gridCol w:w="1501"/>
        <w:gridCol w:w="4341"/>
        <w:gridCol w:w="803"/>
        <w:gridCol w:w="927"/>
        <w:gridCol w:w="746"/>
        <w:gridCol w:w="1193"/>
        <w:gridCol w:w="1238"/>
      </w:tblGrid>
      <w:tr w14:paraId="23CE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 w:type="pct"/>
            <w:noWrap w:val="0"/>
            <w:vAlign w:val="center"/>
          </w:tcPr>
          <w:p w14:paraId="7868686C">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序</w:t>
            </w:r>
          </w:p>
          <w:p w14:paraId="255EFA67">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号</w:t>
            </w:r>
          </w:p>
        </w:tc>
        <w:tc>
          <w:tcPr>
            <w:tcW w:w="336" w:type="pct"/>
            <w:noWrap w:val="0"/>
            <w:vAlign w:val="center"/>
          </w:tcPr>
          <w:p w14:paraId="091FEAAE">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食品大类（一级）</w:t>
            </w:r>
          </w:p>
        </w:tc>
        <w:tc>
          <w:tcPr>
            <w:tcW w:w="352" w:type="pct"/>
            <w:noWrap w:val="0"/>
            <w:vAlign w:val="center"/>
          </w:tcPr>
          <w:p w14:paraId="058B6D65">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食品亚类（二级）</w:t>
            </w:r>
          </w:p>
        </w:tc>
        <w:tc>
          <w:tcPr>
            <w:tcW w:w="324" w:type="pct"/>
            <w:noWrap w:val="0"/>
            <w:vAlign w:val="center"/>
          </w:tcPr>
          <w:p w14:paraId="295FB96D">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食品系类</w:t>
            </w:r>
          </w:p>
          <w:p w14:paraId="12584CE2">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（三级）</w:t>
            </w:r>
          </w:p>
        </w:tc>
        <w:tc>
          <w:tcPr>
            <w:tcW w:w="531" w:type="pct"/>
            <w:noWrap w:val="0"/>
            <w:vAlign w:val="center"/>
          </w:tcPr>
          <w:p w14:paraId="60120F9C">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食品系类（四类）及抽检范围</w:t>
            </w:r>
          </w:p>
        </w:tc>
        <w:tc>
          <w:tcPr>
            <w:tcW w:w="1536" w:type="pct"/>
            <w:noWrap w:val="0"/>
            <w:vAlign w:val="center"/>
          </w:tcPr>
          <w:p w14:paraId="18976935">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检测项目</w:t>
            </w:r>
          </w:p>
        </w:tc>
        <w:tc>
          <w:tcPr>
            <w:tcW w:w="284" w:type="pct"/>
            <w:noWrap w:val="0"/>
            <w:vAlign w:val="center"/>
          </w:tcPr>
          <w:p w14:paraId="46824594">
            <w:pPr>
              <w:spacing w:line="240" w:lineRule="auto"/>
              <w:ind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抽检总量</w:t>
            </w:r>
          </w:p>
        </w:tc>
        <w:tc>
          <w:tcPr>
            <w:tcW w:w="328" w:type="pct"/>
            <w:noWrap w:val="0"/>
            <w:vAlign w:val="center"/>
          </w:tcPr>
          <w:p w14:paraId="3F863E5B">
            <w:pPr>
              <w:widowControl/>
              <w:spacing w:line="360" w:lineRule="auto"/>
              <w:ind w:left="0" w:leftChars="0" w:firstLine="0" w:firstLineChars="0"/>
              <w:jc w:val="center"/>
              <w:rPr>
                <w:rFonts w:hint="eastAsia" w:ascii="宋体" w:hAnsi="宋体" w:eastAsia="宋体" w:cs="宋体"/>
                <w:b/>
                <w:bCs/>
                <w:sz w:val="21"/>
                <w:szCs w:val="21"/>
              </w:rPr>
            </w:pPr>
            <w:r>
              <w:rPr>
                <w:rFonts w:hint="eastAsia" w:ascii="宋体" w:hAnsi="宋体" w:eastAsia="宋体" w:cs="宋体"/>
                <w:b/>
                <w:bCs/>
                <w:color w:val="auto"/>
                <w:kern w:val="0"/>
                <w:sz w:val="24"/>
                <w:szCs w:val="24"/>
                <w:highlight w:val="none"/>
                <w:lang w:val="en-US" w:eastAsia="zh-CN"/>
              </w:rPr>
              <w:t>单价</w:t>
            </w:r>
          </w:p>
        </w:tc>
        <w:tc>
          <w:tcPr>
            <w:tcW w:w="264" w:type="pct"/>
            <w:noWrap w:val="0"/>
            <w:vAlign w:val="center"/>
          </w:tcPr>
          <w:p w14:paraId="7E66AD14">
            <w:pPr>
              <w:widowControl/>
              <w:spacing w:line="360" w:lineRule="auto"/>
              <w:ind w:left="0" w:leftChars="0" w:firstLine="0" w:firstLineChars="0"/>
              <w:jc w:val="center"/>
              <w:rPr>
                <w:rFonts w:hint="eastAsia" w:ascii="宋体" w:hAnsi="宋体" w:eastAsia="宋体" w:cs="宋体"/>
                <w:b/>
                <w:bCs/>
                <w:sz w:val="21"/>
                <w:szCs w:val="21"/>
              </w:rPr>
            </w:pPr>
            <w:r>
              <w:rPr>
                <w:rFonts w:hint="eastAsia" w:ascii="宋体" w:hAnsi="宋体" w:eastAsia="宋体" w:cs="宋体"/>
                <w:b/>
                <w:bCs/>
                <w:color w:val="auto"/>
                <w:kern w:val="0"/>
                <w:sz w:val="24"/>
                <w:szCs w:val="24"/>
                <w:highlight w:val="none"/>
                <w:lang w:val="en-US" w:eastAsia="zh-CN"/>
              </w:rPr>
              <w:t>小计</w:t>
            </w:r>
          </w:p>
        </w:tc>
        <w:tc>
          <w:tcPr>
            <w:tcW w:w="422" w:type="pct"/>
            <w:noWrap w:val="0"/>
            <w:vAlign w:val="center"/>
          </w:tcPr>
          <w:p w14:paraId="260EFCE1">
            <w:pPr>
              <w:widowControl/>
              <w:spacing w:line="360" w:lineRule="auto"/>
              <w:ind w:left="0" w:leftChars="0" w:firstLine="0" w:firstLineChars="0"/>
              <w:jc w:val="center"/>
              <w:rPr>
                <w:rFonts w:hint="eastAsia" w:ascii="宋体" w:hAnsi="宋体" w:eastAsia="宋体" w:cs="宋体"/>
                <w:b/>
                <w:bCs/>
                <w:sz w:val="21"/>
                <w:szCs w:val="21"/>
              </w:rPr>
            </w:pPr>
            <w:r>
              <w:rPr>
                <w:rFonts w:hint="eastAsia" w:ascii="宋体" w:hAnsi="宋体" w:eastAsia="宋体" w:cs="宋体"/>
                <w:b/>
                <w:bCs/>
                <w:color w:val="auto"/>
                <w:kern w:val="0"/>
                <w:sz w:val="24"/>
                <w:szCs w:val="24"/>
                <w:highlight w:val="none"/>
                <w:lang w:val="en-US" w:eastAsia="zh-CN"/>
              </w:rPr>
              <w:t>是否通过认证</w:t>
            </w:r>
          </w:p>
        </w:tc>
        <w:tc>
          <w:tcPr>
            <w:tcW w:w="437" w:type="pct"/>
            <w:noWrap w:val="0"/>
            <w:vAlign w:val="center"/>
          </w:tcPr>
          <w:p w14:paraId="4E9B6593">
            <w:pPr>
              <w:widowControl/>
              <w:spacing w:line="360" w:lineRule="auto"/>
              <w:ind w:left="0" w:leftChars="0" w:firstLine="0" w:firstLineChars="0"/>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备注</w:t>
            </w:r>
          </w:p>
        </w:tc>
      </w:tr>
      <w:tr w14:paraId="5049E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83" w:type="pct"/>
            <w:vMerge w:val="restart"/>
            <w:noWrap w:val="0"/>
            <w:vAlign w:val="center"/>
          </w:tcPr>
          <w:p w14:paraId="600BA116">
            <w:pPr>
              <w:spacing w:line="240" w:lineRule="auto"/>
              <w:ind w:firstLine="0" w:firstLineChars="0"/>
              <w:jc w:val="center"/>
              <w:rPr>
                <w:rFonts w:hint="eastAsia" w:ascii="宋体" w:hAnsi="宋体" w:eastAsia="宋体" w:cs="宋体"/>
                <w:b/>
                <w:bCs/>
                <w:sz w:val="24"/>
              </w:rPr>
            </w:pPr>
            <w:r>
              <w:rPr>
                <w:rFonts w:hint="eastAsia" w:ascii="宋体" w:hAnsi="宋体" w:eastAsia="宋体" w:cs="宋体"/>
                <w:b/>
                <w:bCs/>
                <w:sz w:val="24"/>
              </w:rPr>
              <w:t>1</w:t>
            </w:r>
          </w:p>
        </w:tc>
        <w:tc>
          <w:tcPr>
            <w:tcW w:w="336" w:type="pct"/>
            <w:vMerge w:val="restart"/>
            <w:noWrap w:val="0"/>
            <w:vAlign w:val="center"/>
          </w:tcPr>
          <w:p w14:paraId="23E183E1">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食用农产品</w:t>
            </w:r>
          </w:p>
        </w:tc>
        <w:tc>
          <w:tcPr>
            <w:tcW w:w="352" w:type="pct"/>
            <w:vMerge w:val="restart"/>
            <w:noWrap w:val="0"/>
            <w:vAlign w:val="center"/>
          </w:tcPr>
          <w:p w14:paraId="5E770EB8">
            <w:pPr>
              <w:spacing w:line="240" w:lineRule="auto"/>
              <w:ind w:firstLine="0" w:firstLineChars="0"/>
              <w:jc w:val="center"/>
              <w:rPr>
                <w:rFonts w:hint="eastAsia" w:ascii="宋体" w:hAnsi="宋体" w:eastAsia="宋体" w:cs="宋体"/>
                <w:kern w:val="0"/>
                <w:sz w:val="18"/>
                <w:szCs w:val="18"/>
              </w:rPr>
            </w:pPr>
          </w:p>
          <w:p w14:paraId="6D3EBE89">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畜禽肉及副产品</w:t>
            </w:r>
          </w:p>
        </w:tc>
        <w:tc>
          <w:tcPr>
            <w:tcW w:w="324" w:type="pct"/>
            <w:vMerge w:val="restart"/>
            <w:noWrap w:val="0"/>
            <w:vAlign w:val="center"/>
          </w:tcPr>
          <w:p w14:paraId="483B96D6">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畜肉</w:t>
            </w:r>
          </w:p>
        </w:tc>
        <w:tc>
          <w:tcPr>
            <w:tcW w:w="531" w:type="pct"/>
            <w:noWrap w:val="0"/>
            <w:vAlign w:val="center"/>
          </w:tcPr>
          <w:p w14:paraId="3A6E6AFB">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猪肉</w:t>
            </w:r>
          </w:p>
        </w:tc>
        <w:tc>
          <w:tcPr>
            <w:tcW w:w="1536" w:type="pct"/>
            <w:noWrap w:val="0"/>
            <w:vAlign w:val="center"/>
          </w:tcPr>
          <w:p w14:paraId="7A86B576">
            <w:pPr>
              <w:spacing w:line="240" w:lineRule="auto"/>
              <w:ind w:firstLine="0" w:firstLineChars="0"/>
              <w:textAlignment w:val="center"/>
              <w:rPr>
                <w:rFonts w:hint="eastAsia" w:ascii="宋体" w:hAnsi="宋体" w:eastAsia="宋体" w:cs="宋体"/>
                <w:kern w:val="0"/>
                <w:sz w:val="18"/>
                <w:szCs w:val="18"/>
              </w:rPr>
            </w:pPr>
            <w:r>
              <w:rPr>
                <w:rFonts w:hint="eastAsia" w:ascii="宋体" w:hAnsi="宋体" w:eastAsia="宋体" w:cs="宋体"/>
                <w:kern w:val="0"/>
                <w:sz w:val="18"/>
                <w:szCs w:val="18"/>
              </w:rPr>
              <w:t>恩诺沙星、</w:t>
            </w:r>
            <w:r>
              <w:rPr>
                <w:rFonts w:hint="eastAsia" w:ascii="宋体" w:hAnsi="宋体" w:eastAsia="宋体" w:cs="宋体"/>
                <w:kern w:val="0"/>
                <w:sz w:val="18"/>
                <w:szCs w:val="18"/>
                <w:lang w:eastAsia="zh-CN"/>
              </w:rPr>
              <w:t>氟苯尼考、</w:t>
            </w:r>
            <w:r>
              <w:rPr>
                <w:rFonts w:hint="eastAsia" w:ascii="宋体" w:hAnsi="宋体" w:eastAsia="宋体" w:cs="宋体"/>
                <w:kern w:val="0"/>
                <w:sz w:val="18"/>
                <w:szCs w:val="18"/>
              </w:rPr>
              <w:t>磺胺类（总量）、</w:t>
            </w:r>
            <w:r>
              <w:rPr>
                <w:rFonts w:hint="eastAsia" w:ascii="宋体" w:hAnsi="宋体" w:eastAsia="宋体" w:cs="宋体"/>
                <w:kern w:val="0"/>
                <w:sz w:val="18"/>
                <w:szCs w:val="18"/>
                <w:lang w:eastAsia="zh-CN"/>
              </w:rPr>
              <w:t>氯霉素、沙丁胺醇、多西环素、水分</w:t>
            </w:r>
          </w:p>
        </w:tc>
        <w:tc>
          <w:tcPr>
            <w:tcW w:w="284" w:type="pct"/>
            <w:noWrap w:val="0"/>
            <w:vAlign w:val="center"/>
          </w:tcPr>
          <w:p w14:paraId="18F634CC">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3</w:t>
            </w:r>
          </w:p>
        </w:tc>
        <w:tc>
          <w:tcPr>
            <w:tcW w:w="328" w:type="pct"/>
            <w:noWrap w:val="0"/>
            <w:vAlign w:val="center"/>
          </w:tcPr>
          <w:p w14:paraId="1BC7045D">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52E72CDE">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664DB456">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66EDCA7D">
            <w:pPr>
              <w:spacing w:line="240" w:lineRule="auto"/>
              <w:ind w:firstLine="0" w:firstLineChars="0"/>
              <w:jc w:val="center"/>
              <w:rPr>
                <w:rFonts w:hint="eastAsia" w:ascii="宋体" w:hAnsi="宋体" w:eastAsia="宋体" w:cs="宋体"/>
                <w:b/>
                <w:bCs/>
                <w:sz w:val="18"/>
                <w:szCs w:val="18"/>
                <w:lang w:val="en-US" w:eastAsia="zh-CN"/>
              </w:rPr>
            </w:pPr>
          </w:p>
        </w:tc>
      </w:tr>
      <w:tr w14:paraId="0038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83" w:type="pct"/>
            <w:vMerge w:val="continue"/>
            <w:noWrap w:val="0"/>
            <w:vAlign w:val="center"/>
          </w:tcPr>
          <w:p w14:paraId="701363B2">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33870819">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41C92974">
            <w:pPr>
              <w:spacing w:line="240" w:lineRule="auto"/>
              <w:ind w:firstLine="0" w:firstLineChars="0"/>
              <w:jc w:val="center"/>
              <w:rPr>
                <w:rFonts w:hint="eastAsia" w:ascii="宋体" w:hAnsi="宋体" w:eastAsia="宋体" w:cs="宋体"/>
                <w:kern w:val="0"/>
                <w:sz w:val="18"/>
                <w:szCs w:val="18"/>
              </w:rPr>
            </w:pPr>
          </w:p>
        </w:tc>
        <w:tc>
          <w:tcPr>
            <w:tcW w:w="324" w:type="pct"/>
            <w:vMerge w:val="continue"/>
            <w:noWrap w:val="0"/>
            <w:vAlign w:val="center"/>
          </w:tcPr>
          <w:p w14:paraId="31C42D46">
            <w:pPr>
              <w:spacing w:line="240" w:lineRule="auto"/>
              <w:ind w:firstLine="0" w:firstLineChars="0"/>
              <w:jc w:val="center"/>
              <w:rPr>
                <w:rFonts w:hint="eastAsia" w:ascii="宋体" w:hAnsi="宋体" w:eastAsia="宋体" w:cs="宋体"/>
                <w:kern w:val="0"/>
                <w:sz w:val="18"/>
                <w:szCs w:val="18"/>
              </w:rPr>
            </w:pPr>
          </w:p>
        </w:tc>
        <w:tc>
          <w:tcPr>
            <w:tcW w:w="531" w:type="pct"/>
            <w:noWrap w:val="0"/>
            <w:vAlign w:val="center"/>
          </w:tcPr>
          <w:p w14:paraId="1FEF64E8">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牛肉</w:t>
            </w:r>
          </w:p>
        </w:tc>
        <w:tc>
          <w:tcPr>
            <w:tcW w:w="1536" w:type="pct"/>
            <w:noWrap w:val="0"/>
            <w:vAlign w:val="center"/>
          </w:tcPr>
          <w:p w14:paraId="3E919EC6">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地塞米松、恩诺沙星、磺胺类（总量）、</w:t>
            </w:r>
            <w:r>
              <w:rPr>
                <w:rFonts w:hint="eastAsia" w:ascii="宋体" w:hAnsi="宋体" w:eastAsia="宋体" w:cs="宋体"/>
                <w:kern w:val="0"/>
                <w:sz w:val="18"/>
                <w:szCs w:val="18"/>
                <w:lang w:eastAsia="zh-CN"/>
              </w:rPr>
              <w:t>克伦特罗、氯霉素、氟苯尼考、水分</w:t>
            </w:r>
          </w:p>
        </w:tc>
        <w:tc>
          <w:tcPr>
            <w:tcW w:w="284" w:type="pct"/>
            <w:noWrap w:val="0"/>
            <w:vAlign w:val="center"/>
          </w:tcPr>
          <w:p w14:paraId="42C6F886">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3</w:t>
            </w:r>
          </w:p>
        </w:tc>
        <w:tc>
          <w:tcPr>
            <w:tcW w:w="328" w:type="pct"/>
            <w:noWrap w:val="0"/>
            <w:vAlign w:val="center"/>
          </w:tcPr>
          <w:p w14:paraId="67C360E0">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61AC9CDA">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4B4B32ED">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5AEC9698">
            <w:pPr>
              <w:spacing w:line="240" w:lineRule="auto"/>
              <w:ind w:firstLine="0" w:firstLineChars="0"/>
              <w:jc w:val="center"/>
              <w:rPr>
                <w:rFonts w:hint="eastAsia" w:ascii="宋体" w:hAnsi="宋体" w:eastAsia="宋体" w:cs="宋体"/>
                <w:b/>
                <w:bCs/>
                <w:sz w:val="18"/>
                <w:szCs w:val="18"/>
                <w:lang w:val="en-US" w:eastAsia="zh-CN"/>
              </w:rPr>
            </w:pPr>
          </w:p>
        </w:tc>
      </w:tr>
      <w:tr w14:paraId="6CF6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3" w:type="pct"/>
            <w:vMerge w:val="continue"/>
            <w:noWrap w:val="0"/>
            <w:vAlign w:val="center"/>
          </w:tcPr>
          <w:p w14:paraId="6FB2C045">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48D92D16">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22E0CF20">
            <w:pPr>
              <w:spacing w:line="240" w:lineRule="auto"/>
              <w:ind w:firstLine="0" w:firstLineChars="0"/>
              <w:jc w:val="center"/>
              <w:rPr>
                <w:rFonts w:hint="eastAsia" w:ascii="宋体" w:hAnsi="宋体" w:eastAsia="宋体" w:cs="宋体"/>
                <w:kern w:val="0"/>
                <w:sz w:val="18"/>
                <w:szCs w:val="18"/>
              </w:rPr>
            </w:pPr>
          </w:p>
        </w:tc>
        <w:tc>
          <w:tcPr>
            <w:tcW w:w="324" w:type="pct"/>
            <w:vMerge w:val="continue"/>
            <w:noWrap w:val="0"/>
            <w:vAlign w:val="center"/>
          </w:tcPr>
          <w:p w14:paraId="62EA2DBC">
            <w:pPr>
              <w:spacing w:line="240" w:lineRule="auto"/>
              <w:ind w:firstLine="0" w:firstLineChars="0"/>
              <w:jc w:val="center"/>
              <w:rPr>
                <w:rFonts w:hint="eastAsia" w:ascii="宋体" w:hAnsi="宋体" w:eastAsia="宋体" w:cs="宋体"/>
                <w:kern w:val="0"/>
                <w:sz w:val="18"/>
                <w:szCs w:val="18"/>
              </w:rPr>
            </w:pPr>
          </w:p>
        </w:tc>
        <w:tc>
          <w:tcPr>
            <w:tcW w:w="531" w:type="pct"/>
            <w:noWrap w:val="0"/>
            <w:vAlign w:val="center"/>
          </w:tcPr>
          <w:p w14:paraId="684277DC">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羊肉</w:t>
            </w:r>
          </w:p>
        </w:tc>
        <w:tc>
          <w:tcPr>
            <w:tcW w:w="1536" w:type="pct"/>
            <w:noWrap w:val="0"/>
            <w:vAlign w:val="center"/>
          </w:tcPr>
          <w:p w14:paraId="2AB02DC7">
            <w:pPr>
              <w:spacing w:line="240" w:lineRule="auto"/>
              <w:ind w:firstLine="0" w:firstLineChars="0"/>
              <w:textAlignment w:val="center"/>
              <w:rPr>
                <w:rFonts w:hint="eastAsia" w:ascii="宋体" w:hAnsi="宋体" w:eastAsia="宋体" w:cs="宋体"/>
                <w:kern w:val="0"/>
                <w:sz w:val="18"/>
                <w:szCs w:val="18"/>
              </w:rPr>
            </w:pPr>
            <w:r>
              <w:rPr>
                <w:rFonts w:hint="eastAsia" w:ascii="宋体" w:hAnsi="宋体" w:eastAsia="宋体" w:cs="宋体"/>
                <w:kern w:val="0"/>
                <w:sz w:val="18"/>
                <w:szCs w:val="18"/>
              </w:rPr>
              <w:t>恩诺沙星、磺胺类（总量）、</w:t>
            </w:r>
            <w:r>
              <w:rPr>
                <w:rFonts w:hint="eastAsia" w:ascii="宋体" w:hAnsi="宋体" w:eastAsia="宋体" w:cs="宋体"/>
                <w:kern w:val="0"/>
                <w:sz w:val="18"/>
                <w:szCs w:val="18"/>
                <w:lang w:eastAsia="zh-CN"/>
              </w:rPr>
              <w:t>克伦特罗、氯霉素、水分</w:t>
            </w:r>
          </w:p>
        </w:tc>
        <w:tc>
          <w:tcPr>
            <w:tcW w:w="284" w:type="pct"/>
            <w:noWrap w:val="0"/>
            <w:vAlign w:val="center"/>
          </w:tcPr>
          <w:p w14:paraId="1588DE8C">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3</w:t>
            </w:r>
          </w:p>
        </w:tc>
        <w:tc>
          <w:tcPr>
            <w:tcW w:w="328" w:type="pct"/>
            <w:noWrap w:val="0"/>
            <w:vAlign w:val="center"/>
          </w:tcPr>
          <w:p w14:paraId="616A0B2A">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5B6B48A3">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568C11B4">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1524A2E0">
            <w:pPr>
              <w:spacing w:line="240" w:lineRule="auto"/>
              <w:ind w:firstLine="0" w:firstLineChars="0"/>
              <w:jc w:val="center"/>
              <w:rPr>
                <w:rFonts w:hint="eastAsia" w:ascii="宋体" w:hAnsi="宋体" w:eastAsia="宋体" w:cs="宋体"/>
                <w:b/>
                <w:bCs/>
                <w:sz w:val="18"/>
                <w:szCs w:val="18"/>
                <w:lang w:val="en-US" w:eastAsia="zh-CN"/>
              </w:rPr>
            </w:pPr>
          </w:p>
        </w:tc>
      </w:tr>
      <w:tr w14:paraId="293E2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83" w:type="pct"/>
            <w:vMerge w:val="continue"/>
            <w:noWrap w:val="0"/>
            <w:vAlign w:val="center"/>
          </w:tcPr>
          <w:p w14:paraId="2CB2A44B">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3394C22F">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2DC2FE32">
            <w:pPr>
              <w:spacing w:line="240" w:lineRule="auto"/>
              <w:ind w:firstLine="0" w:firstLineChars="0"/>
              <w:jc w:val="center"/>
              <w:rPr>
                <w:rFonts w:hint="eastAsia" w:ascii="宋体" w:hAnsi="宋体" w:eastAsia="宋体" w:cs="宋体"/>
                <w:kern w:val="0"/>
                <w:sz w:val="18"/>
                <w:szCs w:val="18"/>
              </w:rPr>
            </w:pPr>
          </w:p>
        </w:tc>
        <w:tc>
          <w:tcPr>
            <w:tcW w:w="324" w:type="pct"/>
            <w:noWrap w:val="0"/>
            <w:vAlign w:val="center"/>
          </w:tcPr>
          <w:p w14:paraId="276FF965">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畜副产品</w:t>
            </w:r>
          </w:p>
        </w:tc>
        <w:tc>
          <w:tcPr>
            <w:tcW w:w="531" w:type="pct"/>
            <w:noWrap w:val="0"/>
            <w:vAlign w:val="center"/>
          </w:tcPr>
          <w:p w14:paraId="6983E267">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猪肝</w:t>
            </w:r>
          </w:p>
        </w:tc>
        <w:tc>
          <w:tcPr>
            <w:tcW w:w="1536" w:type="pct"/>
            <w:noWrap w:val="0"/>
            <w:vAlign w:val="center"/>
          </w:tcPr>
          <w:p w14:paraId="63B00698">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恩诺沙星、磺胺类（总量）、</w:t>
            </w:r>
            <w:r>
              <w:rPr>
                <w:rFonts w:hint="eastAsia" w:ascii="宋体" w:hAnsi="宋体" w:eastAsia="宋体" w:cs="宋体"/>
                <w:kern w:val="0"/>
                <w:sz w:val="18"/>
                <w:szCs w:val="18"/>
                <w:lang w:eastAsia="zh-CN"/>
              </w:rPr>
              <w:t>甲氧苄啶</w:t>
            </w:r>
          </w:p>
        </w:tc>
        <w:tc>
          <w:tcPr>
            <w:tcW w:w="284" w:type="pct"/>
            <w:noWrap w:val="0"/>
            <w:vAlign w:val="center"/>
          </w:tcPr>
          <w:p w14:paraId="2F9CB9C3">
            <w:pPr>
              <w:spacing w:line="240" w:lineRule="auto"/>
              <w:ind w:firstLine="0" w:firstLineChars="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2</w:t>
            </w:r>
          </w:p>
        </w:tc>
        <w:tc>
          <w:tcPr>
            <w:tcW w:w="328" w:type="pct"/>
            <w:noWrap w:val="0"/>
            <w:vAlign w:val="center"/>
          </w:tcPr>
          <w:p w14:paraId="633A4DBE">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27D0AB91">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5D766FD9">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59465F0F">
            <w:pPr>
              <w:spacing w:line="240" w:lineRule="auto"/>
              <w:ind w:firstLine="0" w:firstLineChars="0"/>
              <w:jc w:val="center"/>
              <w:rPr>
                <w:rFonts w:hint="eastAsia" w:ascii="宋体" w:hAnsi="宋体" w:eastAsia="宋体" w:cs="宋体"/>
                <w:b/>
                <w:bCs/>
                <w:sz w:val="18"/>
                <w:szCs w:val="18"/>
                <w:lang w:val="en-US" w:eastAsia="zh-CN"/>
              </w:rPr>
            </w:pPr>
          </w:p>
        </w:tc>
      </w:tr>
      <w:tr w14:paraId="1A91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83" w:type="pct"/>
            <w:vMerge w:val="continue"/>
            <w:noWrap w:val="0"/>
            <w:vAlign w:val="center"/>
          </w:tcPr>
          <w:p w14:paraId="4EE3C5D8">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2900C790">
            <w:pPr>
              <w:spacing w:line="240" w:lineRule="auto"/>
              <w:ind w:firstLine="0" w:firstLineChars="0"/>
              <w:jc w:val="center"/>
              <w:rPr>
                <w:rFonts w:hint="eastAsia" w:ascii="宋体" w:hAnsi="宋体" w:eastAsia="宋体" w:cs="宋体"/>
                <w:b/>
                <w:bCs/>
                <w:sz w:val="18"/>
                <w:szCs w:val="18"/>
              </w:rPr>
            </w:pPr>
          </w:p>
        </w:tc>
        <w:tc>
          <w:tcPr>
            <w:tcW w:w="352" w:type="pct"/>
            <w:vMerge w:val="restart"/>
            <w:noWrap w:val="0"/>
            <w:vAlign w:val="center"/>
          </w:tcPr>
          <w:p w14:paraId="0B3E2F7B">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蔬菜</w:t>
            </w:r>
          </w:p>
          <w:p w14:paraId="6279DBC2">
            <w:pPr>
              <w:spacing w:line="240" w:lineRule="auto"/>
              <w:ind w:firstLine="0" w:firstLineChars="0"/>
              <w:jc w:val="center"/>
              <w:rPr>
                <w:rFonts w:hint="eastAsia" w:ascii="宋体" w:hAnsi="宋体" w:eastAsia="宋体" w:cs="宋体"/>
                <w:kern w:val="0"/>
                <w:sz w:val="18"/>
                <w:szCs w:val="18"/>
              </w:rPr>
            </w:pPr>
          </w:p>
        </w:tc>
        <w:tc>
          <w:tcPr>
            <w:tcW w:w="324" w:type="pct"/>
            <w:vMerge w:val="restart"/>
            <w:noWrap w:val="0"/>
            <w:vAlign w:val="center"/>
          </w:tcPr>
          <w:p w14:paraId="254E96F0">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lang w:eastAsia="zh-CN"/>
              </w:rPr>
              <w:t>豆</w:t>
            </w:r>
            <w:r>
              <w:rPr>
                <w:rFonts w:hint="eastAsia" w:ascii="宋体" w:hAnsi="宋体" w:eastAsia="宋体" w:cs="宋体"/>
                <w:kern w:val="0"/>
                <w:sz w:val="18"/>
                <w:szCs w:val="18"/>
              </w:rPr>
              <w:t>类蔬菜</w:t>
            </w:r>
          </w:p>
        </w:tc>
        <w:tc>
          <w:tcPr>
            <w:tcW w:w="531" w:type="pct"/>
            <w:noWrap w:val="0"/>
            <w:vAlign w:val="center"/>
          </w:tcPr>
          <w:p w14:paraId="0244BB87">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菜豆</w:t>
            </w:r>
          </w:p>
        </w:tc>
        <w:tc>
          <w:tcPr>
            <w:tcW w:w="1536" w:type="pct"/>
            <w:noWrap w:val="0"/>
            <w:vAlign w:val="center"/>
          </w:tcPr>
          <w:p w14:paraId="735DD207">
            <w:pPr>
              <w:widowControl/>
              <w:spacing w:line="240" w:lineRule="auto"/>
              <w:ind w:firstLine="0" w:firstLineChars="0"/>
              <w:jc w:val="left"/>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噻虫胺、乙酰甲胺磷、甲胺磷、氧乐果、甲氨基阿维菌素苯甲酸盐</w:t>
            </w:r>
          </w:p>
        </w:tc>
        <w:tc>
          <w:tcPr>
            <w:tcW w:w="284" w:type="pct"/>
            <w:noWrap w:val="0"/>
            <w:vAlign w:val="center"/>
          </w:tcPr>
          <w:p w14:paraId="6F3914ED">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4</w:t>
            </w:r>
          </w:p>
        </w:tc>
        <w:tc>
          <w:tcPr>
            <w:tcW w:w="328" w:type="pct"/>
            <w:noWrap w:val="0"/>
            <w:vAlign w:val="center"/>
          </w:tcPr>
          <w:p w14:paraId="5C545F72">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4888CCEE">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2C61E58B">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5E245524">
            <w:pPr>
              <w:spacing w:line="240" w:lineRule="auto"/>
              <w:ind w:firstLine="0" w:firstLineChars="0"/>
              <w:jc w:val="center"/>
              <w:rPr>
                <w:rFonts w:hint="eastAsia" w:ascii="宋体" w:hAnsi="宋体" w:eastAsia="宋体" w:cs="宋体"/>
                <w:b/>
                <w:bCs/>
                <w:sz w:val="18"/>
                <w:szCs w:val="18"/>
                <w:lang w:val="en-US" w:eastAsia="zh-CN"/>
              </w:rPr>
            </w:pPr>
          </w:p>
        </w:tc>
      </w:tr>
      <w:tr w14:paraId="4BED9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83" w:type="pct"/>
            <w:vMerge w:val="continue"/>
            <w:noWrap w:val="0"/>
            <w:vAlign w:val="center"/>
          </w:tcPr>
          <w:p w14:paraId="4B736492">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2642E01A">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52C88D86">
            <w:pPr>
              <w:spacing w:line="240" w:lineRule="auto"/>
              <w:ind w:firstLine="0" w:firstLineChars="0"/>
              <w:jc w:val="center"/>
              <w:rPr>
                <w:rFonts w:hint="eastAsia" w:ascii="宋体" w:hAnsi="宋体" w:eastAsia="宋体" w:cs="宋体"/>
                <w:kern w:val="0"/>
                <w:sz w:val="18"/>
                <w:szCs w:val="18"/>
              </w:rPr>
            </w:pPr>
          </w:p>
        </w:tc>
        <w:tc>
          <w:tcPr>
            <w:tcW w:w="324" w:type="pct"/>
            <w:vMerge w:val="continue"/>
            <w:noWrap w:val="0"/>
            <w:vAlign w:val="center"/>
          </w:tcPr>
          <w:p w14:paraId="14706D3E">
            <w:pPr>
              <w:spacing w:line="240" w:lineRule="auto"/>
              <w:ind w:firstLine="0" w:firstLineChars="0"/>
              <w:jc w:val="center"/>
              <w:rPr>
                <w:rFonts w:hint="eastAsia" w:ascii="宋体" w:hAnsi="宋体" w:eastAsia="宋体" w:cs="宋体"/>
                <w:kern w:val="0"/>
                <w:sz w:val="18"/>
                <w:szCs w:val="18"/>
              </w:rPr>
            </w:pPr>
          </w:p>
        </w:tc>
        <w:tc>
          <w:tcPr>
            <w:tcW w:w="531" w:type="pct"/>
            <w:noWrap w:val="0"/>
            <w:vAlign w:val="center"/>
          </w:tcPr>
          <w:p w14:paraId="1B9E3D9C">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食荚豌豆</w:t>
            </w:r>
          </w:p>
        </w:tc>
        <w:tc>
          <w:tcPr>
            <w:tcW w:w="1536" w:type="pct"/>
            <w:noWrap w:val="0"/>
            <w:vAlign w:val="center"/>
          </w:tcPr>
          <w:p w14:paraId="70A5D722">
            <w:pPr>
              <w:spacing w:line="240" w:lineRule="auto"/>
              <w:ind w:firstLine="0" w:firstLineChars="0"/>
              <w:jc w:val="left"/>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吡唑醚菌酯、多菌灵、噻虫胺、烯酰吗啉、乙酰甲胺磷、氧乐果</w:t>
            </w:r>
          </w:p>
        </w:tc>
        <w:tc>
          <w:tcPr>
            <w:tcW w:w="284" w:type="pct"/>
            <w:noWrap w:val="0"/>
            <w:vAlign w:val="center"/>
          </w:tcPr>
          <w:p w14:paraId="2678F723">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2</w:t>
            </w:r>
          </w:p>
        </w:tc>
        <w:tc>
          <w:tcPr>
            <w:tcW w:w="328" w:type="pct"/>
            <w:noWrap w:val="0"/>
            <w:vAlign w:val="center"/>
          </w:tcPr>
          <w:p w14:paraId="496B5DCF">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6321F064">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73BE04F7">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73DE179A">
            <w:pPr>
              <w:spacing w:line="240" w:lineRule="auto"/>
              <w:ind w:firstLine="0" w:firstLineChars="0"/>
              <w:jc w:val="center"/>
              <w:rPr>
                <w:rFonts w:hint="eastAsia" w:ascii="宋体" w:hAnsi="宋体" w:eastAsia="宋体" w:cs="宋体"/>
                <w:b/>
                <w:bCs/>
                <w:sz w:val="18"/>
                <w:szCs w:val="18"/>
                <w:lang w:val="en-US" w:eastAsia="zh-CN"/>
              </w:rPr>
            </w:pPr>
          </w:p>
        </w:tc>
      </w:tr>
      <w:tr w14:paraId="6273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83" w:type="pct"/>
            <w:vMerge w:val="continue"/>
            <w:noWrap w:val="0"/>
            <w:vAlign w:val="center"/>
          </w:tcPr>
          <w:p w14:paraId="5E847B88">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0419F0EF">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25158BA2">
            <w:pPr>
              <w:spacing w:line="240" w:lineRule="auto"/>
              <w:ind w:firstLine="0" w:firstLineChars="0"/>
              <w:jc w:val="center"/>
              <w:rPr>
                <w:rFonts w:hint="eastAsia" w:ascii="宋体" w:hAnsi="宋体" w:eastAsia="宋体" w:cs="宋体"/>
                <w:kern w:val="0"/>
                <w:sz w:val="18"/>
                <w:szCs w:val="18"/>
              </w:rPr>
            </w:pPr>
          </w:p>
        </w:tc>
        <w:tc>
          <w:tcPr>
            <w:tcW w:w="324" w:type="pct"/>
            <w:noWrap w:val="0"/>
            <w:vAlign w:val="center"/>
          </w:tcPr>
          <w:p w14:paraId="2E76BF6A">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豆芽</w:t>
            </w:r>
          </w:p>
        </w:tc>
        <w:tc>
          <w:tcPr>
            <w:tcW w:w="531" w:type="pct"/>
            <w:noWrap w:val="0"/>
            <w:vAlign w:val="center"/>
          </w:tcPr>
          <w:p w14:paraId="201E8099">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豆芽</w:t>
            </w:r>
          </w:p>
        </w:tc>
        <w:tc>
          <w:tcPr>
            <w:tcW w:w="1536" w:type="pct"/>
            <w:noWrap w:val="0"/>
            <w:vAlign w:val="center"/>
          </w:tcPr>
          <w:p w14:paraId="0F09D4D1">
            <w:pPr>
              <w:widowControl/>
              <w:spacing w:line="240" w:lineRule="auto"/>
              <w:ind w:firstLine="0" w:firstLineChars="0"/>
              <w:jc w:val="left"/>
              <w:textAlignment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4-氯苯氧乙酸钠（以4-氯苯氧乙酸计）、6-苄基腺嘌呤、亚硫酸盐（以SO</w:t>
            </w:r>
            <w:r>
              <w:rPr>
                <w:rFonts w:hint="eastAsia" w:ascii="宋体" w:hAnsi="宋体" w:eastAsia="宋体" w:cs="宋体"/>
                <w:kern w:val="0"/>
                <w:sz w:val="18"/>
                <w:szCs w:val="18"/>
                <w:vertAlign w:val="subscript"/>
                <w:lang w:val="en-US" w:eastAsia="zh-CN"/>
              </w:rPr>
              <w:t>2</w:t>
            </w:r>
            <w:r>
              <w:rPr>
                <w:rFonts w:hint="eastAsia" w:ascii="宋体" w:hAnsi="宋体" w:eastAsia="宋体" w:cs="宋体"/>
                <w:kern w:val="0"/>
                <w:sz w:val="18"/>
                <w:szCs w:val="18"/>
                <w:lang w:val="en-US" w:eastAsia="zh-CN"/>
              </w:rPr>
              <w:t>计）、总汞（以Hg计）</w:t>
            </w:r>
          </w:p>
        </w:tc>
        <w:tc>
          <w:tcPr>
            <w:tcW w:w="284" w:type="pct"/>
            <w:noWrap w:val="0"/>
            <w:vAlign w:val="center"/>
          </w:tcPr>
          <w:p w14:paraId="06EF4819">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4</w:t>
            </w:r>
          </w:p>
        </w:tc>
        <w:tc>
          <w:tcPr>
            <w:tcW w:w="328" w:type="pct"/>
            <w:noWrap w:val="0"/>
            <w:vAlign w:val="center"/>
          </w:tcPr>
          <w:p w14:paraId="69994BA8">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6654CC4A">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083BAF0D">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0DE5413A">
            <w:pPr>
              <w:spacing w:line="240" w:lineRule="auto"/>
              <w:ind w:firstLine="0" w:firstLineChars="0"/>
              <w:jc w:val="center"/>
              <w:rPr>
                <w:rFonts w:hint="eastAsia" w:ascii="宋体" w:hAnsi="宋体" w:eastAsia="宋体" w:cs="宋体"/>
                <w:b/>
                <w:bCs/>
                <w:sz w:val="18"/>
                <w:szCs w:val="18"/>
                <w:lang w:val="en-US" w:eastAsia="zh-CN"/>
              </w:rPr>
            </w:pPr>
          </w:p>
        </w:tc>
      </w:tr>
      <w:tr w14:paraId="2DF5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83" w:type="pct"/>
            <w:vMerge w:val="continue"/>
            <w:noWrap w:val="0"/>
            <w:vAlign w:val="center"/>
          </w:tcPr>
          <w:p w14:paraId="3BDA3EDF">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43286F82">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5DFB4AF5">
            <w:pPr>
              <w:spacing w:line="240" w:lineRule="auto"/>
              <w:ind w:firstLine="0" w:firstLineChars="0"/>
              <w:jc w:val="center"/>
              <w:rPr>
                <w:rFonts w:hint="eastAsia" w:ascii="宋体" w:hAnsi="宋体" w:eastAsia="宋体" w:cs="宋体"/>
                <w:kern w:val="0"/>
                <w:sz w:val="18"/>
                <w:szCs w:val="18"/>
              </w:rPr>
            </w:pPr>
          </w:p>
        </w:tc>
        <w:tc>
          <w:tcPr>
            <w:tcW w:w="324" w:type="pct"/>
            <w:vMerge w:val="restart"/>
            <w:noWrap w:val="0"/>
            <w:vAlign w:val="center"/>
          </w:tcPr>
          <w:p w14:paraId="7C39200A">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鳞茎类蔬菜</w:t>
            </w:r>
          </w:p>
        </w:tc>
        <w:tc>
          <w:tcPr>
            <w:tcW w:w="531" w:type="pct"/>
            <w:noWrap w:val="0"/>
            <w:vAlign w:val="center"/>
          </w:tcPr>
          <w:p w14:paraId="7A0DF187">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葱</w:t>
            </w:r>
          </w:p>
        </w:tc>
        <w:tc>
          <w:tcPr>
            <w:tcW w:w="1536" w:type="pct"/>
            <w:noWrap w:val="0"/>
            <w:vAlign w:val="center"/>
          </w:tcPr>
          <w:p w14:paraId="2272F513">
            <w:pPr>
              <w:widowControl/>
              <w:spacing w:line="240" w:lineRule="auto"/>
              <w:ind w:firstLine="0" w:firstLineChars="0"/>
              <w:jc w:val="left"/>
              <w:textAlignment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val="en-US" w:eastAsia="zh-CN"/>
              </w:rPr>
              <w:t>噻虫嗪、丙环唑、戊唑醇、</w:t>
            </w: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w:t>
            </w:r>
            <w:r>
              <w:rPr>
                <w:rFonts w:hint="eastAsia" w:ascii="宋体" w:hAnsi="宋体" w:eastAsia="宋体" w:cs="宋体"/>
                <w:kern w:val="0"/>
                <w:sz w:val="18"/>
                <w:szCs w:val="18"/>
              </w:rPr>
              <w:t>毒死蜱、</w:t>
            </w:r>
            <w:r>
              <w:rPr>
                <w:rFonts w:hint="eastAsia" w:ascii="宋体" w:hAnsi="宋体" w:eastAsia="宋体" w:cs="宋体"/>
                <w:kern w:val="0"/>
                <w:sz w:val="18"/>
                <w:szCs w:val="18"/>
                <w:lang w:eastAsia="zh-CN"/>
              </w:rPr>
              <w:t>氯氟氰菊酯和高效氯氟氰菊酯</w:t>
            </w:r>
          </w:p>
        </w:tc>
        <w:tc>
          <w:tcPr>
            <w:tcW w:w="284" w:type="pct"/>
            <w:noWrap w:val="0"/>
            <w:vAlign w:val="center"/>
          </w:tcPr>
          <w:p w14:paraId="3A520878">
            <w:pPr>
              <w:spacing w:line="240" w:lineRule="auto"/>
              <w:ind w:firstLine="0" w:firstLineChars="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5</w:t>
            </w:r>
          </w:p>
        </w:tc>
        <w:tc>
          <w:tcPr>
            <w:tcW w:w="328" w:type="pct"/>
            <w:noWrap w:val="0"/>
            <w:vAlign w:val="center"/>
          </w:tcPr>
          <w:p w14:paraId="457B0FF5">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7122634A">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695FEBBB">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00598FD1">
            <w:pPr>
              <w:spacing w:line="240" w:lineRule="auto"/>
              <w:ind w:firstLine="0" w:firstLineChars="0"/>
              <w:jc w:val="center"/>
              <w:rPr>
                <w:rFonts w:hint="eastAsia" w:ascii="宋体" w:hAnsi="宋体" w:eastAsia="宋体" w:cs="宋体"/>
                <w:b/>
                <w:bCs/>
                <w:sz w:val="18"/>
                <w:szCs w:val="18"/>
                <w:lang w:val="en-US" w:eastAsia="zh-CN"/>
              </w:rPr>
            </w:pPr>
          </w:p>
        </w:tc>
      </w:tr>
      <w:tr w14:paraId="68EE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83" w:type="pct"/>
            <w:vMerge w:val="continue"/>
            <w:noWrap w:val="0"/>
            <w:vAlign w:val="center"/>
          </w:tcPr>
          <w:p w14:paraId="7C21D2F8">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67ECABC0">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254A7BF2">
            <w:pPr>
              <w:spacing w:line="240" w:lineRule="auto"/>
              <w:ind w:firstLine="0" w:firstLineChars="0"/>
              <w:jc w:val="center"/>
              <w:rPr>
                <w:rFonts w:hint="eastAsia" w:ascii="宋体" w:hAnsi="宋体" w:eastAsia="宋体" w:cs="宋体"/>
                <w:kern w:val="0"/>
                <w:sz w:val="18"/>
                <w:szCs w:val="18"/>
              </w:rPr>
            </w:pPr>
          </w:p>
        </w:tc>
        <w:tc>
          <w:tcPr>
            <w:tcW w:w="324" w:type="pct"/>
            <w:vMerge w:val="continue"/>
            <w:noWrap w:val="0"/>
            <w:vAlign w:val="center"/>
          </w:tcPr>
          <w:p w14:paraId="2A15D7EA">
            <w:pPr>
              <w:spacing w:line="240" w:lineRule="auto"/>
              <w:ind w:firstLine="0" w:firstLineChars="0"/>
              <w:jc w:val="center"/>
              <w:rPr>
                <w:rFonts w:hint="eastAsia" w:ascii="宋体" w:hAnsi="宋体" w:eastAsia="宋体" w:cs="宋体"/>
                <w:kern w:val="0"/>
                <w:sz w:val="18"/>
                <w:szCs w:val="18"/>
                <w:lang w:eastAsia="zh-CN"/>
              </w:rPr>
            </w:pPr>
          </w:p>
        </w:tc>
        <w:tc>
          <w:tcPr>
            <w:tcW w:w="531" w:type="pct"/>
            <w:noWrap w:val="0"/>
            <w:vAlign w:val="center"/>
          </w:tcPr>
          <w:p w14:paraId="12A59F19">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韭菜</w:t>
            </w:r>
          </w:p>
        </w:tc>
        <w:tc>
          <w:tcPr>
            <w:tcW w:w="1536" w:type="pct"/>
            <w:noWrap w:val="0"/>
            <w:vAlign w:val="center"/>
          </w:tcPr>
          <w:p w14:paraId="65D57DB1">
            <w:pPr>
              <w:widowControl/>
              <w:spacing w:line="240" w:lineRule="auto"/>
              <w:ind w:firstLine="0" w:firstLineChars="0"/>
              <w:jc w:val="left"/>
              <w:textAlignment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w:t>
            </w:r>
            <w:r>
              <w:rPr>
                <w:rFonts w:hint="eastAsia" w:ascii="宋体" w:hAnsi="宋体" w:eastAsia="宋体" w:cs="宋体"/>
                <w:kern w:val="0"/>
                <w:sz w:val="18"/>
                <w:szCs w:val="18"/>
              </w:rPr>
              <w:t>毒死蜱、</w:t>
            </w:r>
            <w:r>
              <w:rPr>
                <w:rFonts w:hint="eastAsia" w:ascii="宋体" w:hAnsi="宋体" w:eastAsia="宋体" w:cs="宋体"/>
                <w:kern w:val="0"/>
                <w:sz w:val="18"/>
                <w:szCs w:val="18"/>
                <w:lang w:eastAsia="zh-CN"/>
              </w:rPr>
              <w:t>氯氟氰菊酯和高效氯氟氰菊酯、克百威、氧乐果、乙酰甲胺磷</w:t>
            </w:r>
          </w:p>
        </w:tc>
        <w:tc>
          <w:tcPr>
            <w:tcW w:w="284" w:type="pct"/>
            <w:noWrap w:val="0"/>
            <w:vAlign w:val="center"/>
          </w:tcPr>
          <w:p w14:paraId="3C3A6FE0">
            <w:pPr>
              <w:spacing w:line="240" w:lineRule="auto"/>
              <w:ind w:firstLine="0" w:firstLineChars="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3</w:t>
            </w:r>
          </w:p>
        </w:tc>
        <w:tc>
          <w:tcPr>
            <w:tcW w:w="328" w:type="pct"/>
            <w:noWrap w:val="0"/>
            <w:vAlign w:val="center"/>
          </w:tcPr>
          <w:p w14:paraId="16168F8D">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4F1E99CF">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76EAF530">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350C7A67">
            <w:pPr>
              <w:spacing w:line="240" w:lineRule="auto"/>
              <w:ind w:firstLine="0" w:firstLineChars="0"/>
              <w:jc w:val="center"/>
              <w:rPr>
                <w:rFonts w:hint="eastAsia" w:ascii="宋体" w:hAnsi="宋体" w:eastAsia="宋体" w:cs="宋体"/>
                <w:b/>
                <w:bCs/>
                <w:sz w:val="18"/>
                <w:szCs w:val="18"/>
                <w:lang w:val="en-US" w:eastAsia="zh-CN"/>
              </w:rPr>
            </w:pPr>
          </w:p>
        </w:tc>
      </w:tr>
      <w:tr w14:paraId="79E95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83" w:type="pct"/>
            <w:vMerge w:val="continue"/>
            <w:noWrap w:val="0"/>
            <w:vAlign w:val="center"/>
          </w:tcPr>
          <w:p w14:paraId="2B627F0D">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14CE348F">
            <w:pPr>
              <w:spacing w:line="240" w:lineRule="auto"/>
              <w:ind w:firstLine="0" w:firstLineChars="0"/>
              <w:jc w:val="center"/>
              <w:rPr>
                <w:rFonts w:hint="eastAsia" w:ascii="宋体" w:hAnsi="宋体" w:eastAsia="宋体" w:cs="宋体"/>
                <w:kern w:val="0"/>
                <w:sz w:val="18"/>
                <w:szCs w:val="18"/>
              </w:rPr>
            </w:pPr>
          </w:p>
        </w:tc>
        <w:tc>
          <w:tcPr>
            <w:tcW w:w="352" w:type="pct"/>
            <w:vMerge w:val="restart"/>
            <w:noWrap w:val="0"/>
            <w:vAlign w:val="center"/>
          </w:tcPr>
          <w:p w14:paraId="288C6288">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蔬菜</w:t>
            </w:r>
          </w:p>
        </w:tc>
        <w:tc>
          <w:tcPr>
            <w:tcW w:w="324" w:type="pct"/>
            <w:vMerge w:val="restart"/>
            <w:noWrap w:val="0"/>
            <w:vAlign w:val="center"/>
          </w:tcPr>
          <w:p w14:paraId="17593C3B">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叶菜类蔬菜</w:t>
            </w:r>
          </w:p>
        </w:tc>
        <w:tc>
          <w:tcPr>
            <w:tcW w:w="531" w:type="pct"/>
            <w:noWrap w:val="0"/>
            <w:vAlign w:val="center"/>
          </w:tcPr>
          <w:p w14:paraId="601EC7F3">
            <w:pPr>
              <w:spacing w:line="320" w:lineRule="exact"/>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菠菜</w:t>
            </w:r>
          </w:p>
        </w:tc>
        <w:tc>
          <w:tcPr>
            <w:tcW w:w="1536" w:type="pct"/>
            <w:noWrap w:val="0"/>
            <w:vAlign w:val="center"/>
          </w:tcPr>
          <w:p w14:paraId="4EAC5A74">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毒死蜱、</w:t>
            </w:r>
            <w:r>
              <w:rPr>
                <w:rFonts w:hint="eastAsia" w:ascii="宋体" w:hAnsi="宋体" w:eastAsia="宋体" w:cs="宋体"/>
                <w:kern w:val="0"/>
                <w:sz w:val="18"/>
                <w:szCs w:val="18"/>
                <w:lang w:eastAsia="zh-CN"/>
              </w:rPr>
              <w:t>铬（以</w:t>
            </w:r>
            <w:r>
              <w:rPr>
                <w:rFonts w:hint="eastAsia" w:ascii="宋体" w:hAnsi="宋体" w:eastAsia="宋体" w:cs="宋体"/>
                <w:kern w:val="0"/>
                <w:sz w:val="18"/>
                <w:szCs w:val="18"/>
                <w:lang w:val="en-US" w:eastAsia="zh-CN"/>
              </w:rPr>
              <w:t>Cr计</w:t>
            </w: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）、阿维菌素</w:t>
            </w:r>
          </w:p>
        </w:tc>
        <w:tc>
          <w:tcPr>
            <w:tcW w:w="284" w:type="pct"/>
            <w:noWrap w:val="0"/>
            <w:vAlign w:val="center"/>
          </w:tcPr>
          <w:p w14:paraId="5DA7DFAC">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2</w:t>
            </w:r>
          </w:p>
        </w:tc>
        <w:tc>
          <w:tcPr>
            <w:tcW w:w="328" w:type="pct"/>
            <w:noWrap w:val="0"/>
            <w:vAlign w:val="center"/>
          </w:tcPr>
          <w:p w14:paraId="70FC2353">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326E548D">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576BCB97">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7C6E7476">
            <w:pPr>
              <w:spacing w:line="240" w:lineRule="auto"/>
              <w:ind w:firstLine="0" w:firstLineChars="0"/>
              <w:jc w:val="center"/>
              <w:rPr>
                <w:rFonts w:hint="eastAsia" w:ascii="宋体" w:hAnsi="宋体" w:eastAsia="宋体" w:cs="宋体"/>
                <w:b/>
                <w:bCs/>
                <w:sz w:val="18"/>
                <w:szCs w:val="18"/>
                <w:lang w:val="en-US" w:eastAsia="zh-CN"/>
              </w:rPr>
            </w:pPr>
          </w:p>
        </w:tc>
      </w:tr>
      <w:tr w14:paraId="42F4B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83" w:type="pct"/>
            <w:vMerge w:val="continue"/>
            <w:noWrap w:val="0"/>
            <w:vAlign w:val="center"/>
          </w:tcPr>
          <w:p w14:paraId="78A53EBF">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6C9D5003">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5BD7F3DA">
            <w:pPr>
              <w:spacing w:line="240" w:lineRule="auto"/>
              <w:ind w:firstLine="0" w:firstLineChars="0"/>
              <w:jc w:val="center"/>
              <w:rPr>
                <w:rFonts w:hint="eastAsia" w:ascii="宋体" w:hAnsi="宋体" w:eastAsia="宋体" w:cs="宋体"/>
                <w:kern w:val="0"/>
                <w:sz w:val="18"/>
                <w:szCs w:val="18"/>
              </w:rPr>
            </w:pPr>
          </w:p>
        </w:tc>
        <w:tc>
          <w:tcPr>
            <w:tcW w:w="324" w:type="pct"/>
            <w:vMerge w:val="continue"/>
            <w:noWrap w:val="0"/>
            <w:vAlign w:val="center"/>
          </w:tcPr>
          <w:p w14:paraId="341BCA54">
            <w:pPr>
              <w:spacing w:line="240" w:lineRule="auto"/>
              <w:ind w:firstLine="0" w:firstLineChars="0"/>
              <w:jc w:val="center"/>
              <w:rPr>
                <w:rFonts w:hint="eastAsia" w:ascii="宋体" w:hAnsi="宋体" w:eastAsia="宋体" w:cs="宋体"/>
                <w:kern w:val="0"/>
                <w:sz w:val="18"/>
                <w:szCs w:val="18"/>
              </w:rPr>
            </w:pPr>
          </w:p>
        </w:tc>
        <w:tc>
          <w:tcPr>
            <w:tcW w:w="531" w:type="pct"/>
            <w:noWrap w:val="0"/>
            <w:vAlign w:val="center"/>
          </w:tcPr>
          <w:p w14:paraId="49D933A0">
            <w:pPr>
              <w:spacing w:line="320" w:lineRule="exact"/>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芹菜</w:t>
            </w:r>
          </w:p>
        </w:tc>
        <w:tc>
          <w:tcPr>
            <w:tcW w:w="1536" w:type="pct"/>
            <w:noWrap w:val="0"/>
            <w:vAlign w:val="center"/>
          </w:tcPr>
          <w:p w14:paraId="4627FD5A">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噻虫胺、毒死蜱、氧乐果、甲拌磷、噻虫嗪、氯氟氰菊酯和高效氯氟氰菊酯、辛硫磷</w:t>
            </w:r>
          </w:p>
        </w:tc>
        <w:tc>
          <w:tcPr>
            <w:tcW w:w="284" w:type="pct"/>
            <w:noWrap w:val="0"/>
            <w:vAlign w:val="center"/>
          </w:tcPr>
          <w:p w14:paraId="3998B61C">
            <w:pPr>
              <w:spacing w:line="240" w:lineRule="auto"/>
              <w:ind w:firstLine="0" w:firstLineChars="0"/>
              <w:jc w:val="center"/>
              <w:rPr>
                <w:rFonts w:hint="eastAsia" w:ascii="宋体" w:hAnsi="宋体" w:eastAsia="宋体" w:cs="宋体"/>
                <w:b/>
                <w:bCs/>
                <w:sz w:val="18"/>
                <w:szCs w:val="18"/>
                <w:lang w:eastAsia="zh-CN"/>
              </w:rPr>
            </w:pPr>
            <w:r>
              <w:rPr>
                <w:rFonts w:hint="eastAsia" w:ascii="宋体" w:hAnsi="宋体" w:eastAsia="宋体" w:cs="宋体"/>
                <w:b/>
                <w:bCs/>
                <w:sz w:val="18"/>
                <w:szCs w:val="18"/>
                <w:lang w:val="en-US" w:eastAsia="zh-CN"/>
              </w:rPr>
              <w:t>4</w:t>
            </w:r>
          </w:p>
        </w:tc>
        <w:tc>
          <w:tcPr>
            <w:tcW w:w="328" w:type="pct"/>
            <w:noWrap w:val="0"/>
            <w:vAlign w:val="center"/>
          </w:tcPr>
          <w:p w14:paraId="093EF571">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2E6F007A">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361CD152">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63C68B9C">
            <w:pPr>
              <w:spacing w:line="240" w:lineRule="auto"/>
              <w:ind w:firstLine="0" w:firstLineChars="0"/>
              <w:jc w:val="center"/>
              <w:rPr>
                <w:rFonts w:hint="eastAsia" w:ascii="宋体" w:hAnsi="宋体" w:eastAsia="宋体" w:cs="宋体"/>
                <w:b/>
                <w:bCs/>
                <w:sz w:val="18"/>
                <w:szCs w:val="18"/>
                <w:lang w:val="en-US" w:eastAsia="zh-CN"/>
              </w:rPr>
            </w:pPr>
          </w:p>
        </w:tc>
      </w:tr>
      <w:tr w14:paraId="026F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83" w:type="pct"/>
            <w:vMerge w:val="continue"/>
            <w:noWrap w:val="0"/>
            <w:vAlign w:val="center"/>
          </w:tcPr>
          <w:p w14:paraId="222784E7">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38CD968A">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4B71CDD8">
            <w:pPr>
              <w:spacing w:line="240" w:lineRule="auto"/>
              <w:ind w:firstLine="0" w:firstLineChars="0"/>
              <w:jc w:val="center"/>
              <w:rPr>
                <w:rFonts w:hint="eastAsia" w:ascii="宋体" w:hAnsi="宋体" w:eastAsia="宋体" w:cs="宋体"/>
                <w:kern w:val="0"/>
                <w:sz w:val="18"/>
                <w:szCs w:val="18"/>
              </w:rPr>
            </w:pPr>
          </w:p>
        </w:tc>
        <w:tc>
          <w:tcPr>
            <w:tcW w:w="324" w:type="pct"/>
            <w:vMerge w:val="continue"/>
            <w:noWrap w:val="0"/>
            <w:vAlign w:val="center"/>
          </w:tcPr>
          <w:p w14:paraId="2F4DCF01">
            <w:pPr>
              <w:spacing w:line="240" w:lineRule="auto"/>
              <w:ind w:firstLine="0" w:firstLineChars="0"/>
              <w:jc w:val="center"/>
              <w:rPr>
                <w:rFonts w:hint="eastAsia" w:ascii="宋体" w:hAnsi="宋体" w:eastAsia="宋体" w:cs="宋体"/>
                <w:kern w:val="0"/>
                <w:sz w:val="18"/>
                <w:szCs w:val="18"/>
              </w:rPr>
            </w:pPr>
          </w:p>
        </w:tc>
        <w:tc>
          <w:tcPr>
            <w:tcW w:w="531" w:type="pct"/>
            <w:noWrap w:val="0"/>
            <w:vAlign w:val="center"/>
          </w:tcPr>
          <w:p w14:paraId="1353F7FB">
            <w:pPr>
              <w:spacing w:line="320" w:lineRule="exact"/>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油麦菜</w:t>
            </w:r>
          </w:p>
        </w:tc>
        <w:tc>
          <w:tcPr>
            <w:tcW w:w="1536" w:type="pct"/>
            <w:noWrap w:val="0"/>
            <w:vAlign w:val="center"/>
          </w:tcPr>
          <w:p w14:paraId="75DDD3DC">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阿维菌素、甲氨基阿维菌素苯甲酸盐、腈菌唑、毒死蜱</w:t>
            </w:r>
          </w:p>
        </w:tc>
        <w:tc>
          <w:tcPr>
            <w:tcW w:w="284" w:type="pct"/>
            <w:noWrap w:val="0"/>
            <w:vAlign w:val="center"/>
          </w:tcPr>
          <w:p w14:paraId="540893D1">
            <w:pPr>
              <w:spacing w:line="240" w:lineRule="auto"/>
              <w:ind w:firstLine="0" w:firstLineChars="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4</w:t>
            </w:r>
          </w:p>
        </w:tc>
        <w:tc>
          <w:tcPr>
            <w:tcW w:w="328" w:type="pct"/>
            <w:noWrap w:val="0"/>
            <w:vAlign w:val="center"/>
          </w:tcPr>
          <w:p w14:paraId="71588027">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5D1C784D">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101AF25F">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79AAA59A">
            <w:pPr>
              <w:spacing w:line="240" w:lineRule="auto"/>
              <w:ind w:firstLine="0" w:firstLineChars="0"/>
              <w:jc w:val="center"/>
              <w:rPr>
                <w:rFonts w:hint="eastAsia" w:ascii="宋体" w:hAnsi="宋体" w:eastAsia="宋体" w:cs="宋体"/>
                <w:b/>
                <w:bCs/>
                <w:sz w:val="18"/>
                <w:szCs w:val="18"/>
                <w:lang w:val="en-US" w:eastAsia="zh-CN"/>
              </w:rPr>
            </w:pPr>
          </w:p>
        </w:tc>
      </w:tr>
      <w:tr w14:paraId="21C8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183" w:type="pct"/>
            <w:vMerge w:val="continue"/>
            <w:noWrap w:val="0"/>
            <w:vAlign w:val="center"/>
          </w:tcPr>
          <w:p w14:paraId="29451AAE">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4C8243EE">
            <w:pPr>
              <w:spacing w:line="240" w:lineRule="auto"/>
              <w:ind w:firstLine="0" w:firstLineChars="0"/>
              <w:jc w:val="center"/>
              <w:rPr>
                <w:rFonts w:hint="eastAsia" w:ascii="宋体" w:hAnsi="宋体" w:eastAsia="宋体" w:cs="宋体"/>
                <w:b/>
                <w:bCs/>
                <w:sz w:val="18"/>
                <w:szCs w:val="18"/>
              </w:rPr>
            </w:pPr>
          </w:p>
        </w:tc>
        <w:tc>
          <w:tcPr>
            <w:tcW w:w="352" w:type="pct"/>
            <w:vMerge w:val="continue"/>
            <w:noWrap w:val="0"/>
            <w:vAlign w:val="center"/>
          </w:tcPr>
          <w:p w14:paraId="54672768">
            <w:pPr>
              <w:spacing w:line="240" w:lineRule="auto"/>
              <w:ind w:firstLine="0" w:firstLineChars="0"/>
              <w:jc w:val="center"/>
              <w:rPr>
                <w:rFonts w:hint="eastAsia" w:ascii="宋体" w:hAnsi="宋体" w:eastAsia="宋体" w:cs="宋体"/>
                <w:kern w:val="0"/>
                <w:sz w:val="18"/>
                <w:szCs w:val="18"/>
              </w:rPr>
            </w:pPr>
          </w:p>
        </w:tc>
        <w:tc>
          <w:tcPr>
            <w:tcW w:w="324" w:type="pct"/>
            <w:noWrap w:val="0"/>
            <w:vAlign w:val="center"/>
          </w:tcPr>
          <w:p w14:paraId="5B211778">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瓜类蔬菜</w:t>
            </w:r>
          </w:p>
        </w:tc>
        <w:tc>
          <w:tcPr>
            <w:tcW w:w="531" w:type="pct"/>
            <w:noWrap w:val="0"/>
            <w:vAlign w:val="center"/>
          </w:tcPr>
          <w:p w14:paraId="0745DD23">
            <w:pPr>
              <w:spacing w:line="320" w:lineRule="exact"/>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黄瓜</w:t>
            </w:r>
          </w:p>
        </w:tc>
        <w:tc>
          <w:tcPr>
            <w:tcW w:w="1536" w:type="pct"/>
            <w:noWrap w:val="0"/>
            <w:vAlign w:val="center"/>
          </w:tcPr>
          <w:p w14:paraId="30130AD7">
            <w:pPr>
              <w:spacing w:line="240" w:lineRule="auto"/>
              <w:ind w:firstLine="0" w:firstLineChars="0"/>
              <w:textAlignment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噻虫嗪、乙螨唑、阿维菌素、毒死蜱、哒螨灵</w:t>
            </w:r>
          </w:p>
        </w:tc>
        <w:tc>
          <w:tcPr>
            <w:tcW w:w="284" w:type="pct"/>
            <w:noWrap w:val="0"/>
            <w:vAlign w:val="center"/>
          </w:tcPr>
          <w:p w14:paraId="09BAC9EB">
            <w:pPr>
              <w:spacing w:line="240" w:lineRule="auto"/>
              <w:ind w:firstLine="0" w:firstLineChars="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3</w:t>
            </w:r>
          </w:p>
        </w:tc>
        <w:tc>
          <w:tcPr>
            <w:tcW w:w="328" w:type="pct"/>
            <w:noWrap w:val="0"/>
            <w:vAlign w:val="center"/>
          </w:tcPr>
          <w:p w14:paraId="73E42DE9">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746681A5">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27CFD6AE">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18819ACF">
            <w:pPr>
              <w:spacing w:line="240" w:lineRule="auto"/>
              <w:ind w:firstLine="0" w:firstLineChars="0"/>
              <w:jc w:val="center"/>
              <w:rPr>
                <w:rFonts w:hint="eastAsia" w:ascii="宋体" w:hAnsi="宋体" w:eastAsia="宋体" w:cs="宋体"/>
                <w:b/>
                <w:bCs/>
                <w:sz w:val="18"/>
                <w:szCs w:val="18"/>
                <w:lang w:val="en-US" w:eastAsia="zh-CN"/>
              </w:rPr>
            </w:pPr>
          </w:p>
        </w:tc>
      </w:tr>
      <w:tr w14:paraId="64DD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3" w:type="pct"/>
            <w:vMerge w:val="continue"/>
            <w:noWrap w:val="0"/>
            <w:vAlign w:val="center"/>
          </w:tcPr>
          <w:p w14:paraId="632DFC16">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0207B8C3">
            <w:pPr>
              <w:spacing w:line="240" w:lineRule="auto"/>
              <w:ind w:firstLine="0" w:firstLineChars="0"/>
              <w:jc w:val="center"/>
              <w:rPr>
                <w:rFonts w:hint="eastAsia" w:ascii="宋体" w:hAnsi="宋体" w:eastAsia="宋体" w:cs="宋体"/>
                <w:sz w:val="18"/>
                <w:szCs w:val="18"/>
              </w:rPr>
            </w:pPr>
          </w:p>
        </w:tc>
        <w:tc>
          <w:tcPr>
            <w:tcW w:w="352" w:type="pct"/>
            <w:vMerge w:val="restart"/>
            <w:noWrap w:val="0"/>
            <w:vAlign w:val="center"/>
          </w:tcPr>
          <w:p w14:paraId="593B26BE">
            <w:pPr>
              <w:spacing w:line="240" w:lineRule="auto"/>
              <w:ind w:firstLine="0" w:firstLineChars="0"/>
              <w:jc w:val="center"/>
              <w:rPr>
                <w:rFonts w:hint="eastAsia" w:ascii="宋体" w:hAnsi="宋体" w:eastAsia="宋体" w:cs="宋体"/>
                <w:kern w:val="0"/>
                <w:sz w:val="18"/>
                <w:szCs w:val="18"/>
              </w:rPr>
            </w:pPr>
            <w:r>
              <w:rPr>
                <w:rFonts w:hint="eastAsia" w:ascii="宋体" w:hAnsi="宋体" w:eastAsia="宋体" w:cs="宋体"/>
                <w:kern w:val="0"/>
                <w:sz w:val="18"/>
                <w:szCs w:val="18"/>
              </w:rPr>
              <w:t>水产品</w:t>
            </w:r>
          </w:p>
        </w:tc>
        <w:tc>
          <w:tcPr>
            <w:tcW w:w="324" w:type="pct"/>
            <w:noWrap w:val="0"/>
            <w:vAlign w:val="center"/>
          </w:tcPr>
          <w:p w14:paraId="53631622">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贝类</w:t>
            </w:r>
          </w:p>
        </w:tc>
        <w:tc>
          <w:tcPr>
            <w:tcW w:w="531" w:type="pct"/>
            <w:noWrap w:val="0"/>
            <w:vAlign w:val="center"/>
          </w:tcPr>
          <w:p w14:paraId="190F59E1">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贝类</w:t>
            </w:r>
          </w:p>
        </w:tc>
        <w:tc>
          <w:tcPr>
            <w:tcW w:w="1536" w:type="pct"/>
            <w:noWrap w:val="0"/>
            <w:vAlign w:val="center"/>
          </w:tcPr>
          <w:p w14:paraId="28CFF00E">
            <w:pPr>
              <w:spacing w:line="240" w:lineRule="auto"/>
              <w:ind w:firstLine="0" w:firstLineChars="0"/>
              <w:rPr>
                <w:rFonts w:hint="eastAsia" w:ascii="宋体" w:hAnsi="宋体" w:eastAsia="宋体" w:cs="宋体"/>
                <w:kern w:val="0"/>
                <w:sz w:val="18"/>
                <w:szCs w:val="18"/>
              </w:rPr>
            </w:pP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）、氯霉素</w:t>
            </w:r>
          </w:p>
        </w:tc>
        <w:tc>
          <w:tcPr>
            <w:tcW w:w="284" w:type="pct"/>
            <w:noWrap w:val="0"/>
            <w:vAlign w:val="center"/>
          </w:tcPr>
          <w:p w14:paraId="5AA0249A">
            <w:pPr>
              <w:spacing w:line="240" w:lineRule="auto"/>
              <w:ind w:firstLine="0" w:firstLineChars="0"/>
              <w:jc w:val="center"/>
              <w:rPr>
                <w:rFonts w:hint="eastAsia" w:ascii="宋体" w:hAnsi="宋体" w:eastAsia="宋体" w:cs="宋体"/>
                <w:b/>
                <w:bCs/>
                <w:sz w:val="18"/>
                <w:szCs w:val="18"/>
              </w:rPr>
            </w:pPr>
            <w:r>
              <w:rPr>
                <w:rFonts w:hint="eastAsia" w:ascii="宋体" w:hAnsi="宋体" w:eastAsia="宋体" w:cs="宋体"/>
                <w:b/>
                <w:bCs/>
                <w:sz w:val="18"/>
                <w:szCs w:val="18"/>
              </w:rPr>
              <w:t>2</w:t>
            </w:r>
          </w:p>
        </w:tc>
        <w:tc>
          <w:tcPr>
            <w:tcW w:w="328" w:type="pct"/>
            <w:noWrap w:val="0"/>
            <w:vAlign w:val="center"/>
          </w:tcPr>
          <w:p w14:paraId="2D561E64">
            <w:pPr>
              <w:spacing w:line="240" w:lineRule="auto"/>
              <w:ind w:firstLine="0" w:firstLineChars="0"/>
              <w:jc w:val="center"/>
              <w:rPr>
                <w:rFonts w:hint="eastAsia" w:ascii="宋体" w:hAnsi="宋体" w:eastAsia="宋体" w:cs="宋体"/>
                <w:b/>
                <w:bCs/>
                <w:sz w:val="18"/>
                <w:szCs w:val="18"/>
              </w:rPr>
            </w:pPr>
          </w:p>
        </w:tc>
        <w:tc>
          <w:tcPr>
            <w:tcW w:w="264" w:type="pct"/>
            <w:noWrap w:val="0"/>
            <w:vAlign w:val="center"/>
          </w:tcPr>
          <w:p w14:paraId="11B02192">
            <w:pPr>
              <w:spacing w:line="240" w:lineRule="auto"/>
              <w:ind w:firstLine="0" w:firstLineChars="0"/>
              <w:jc w:val="center"/>
              <w:rPr>
                <w:rFonts w:hint="eastAsia" w:ascii="宋体" w:hAnsi="宋体" w:eastAsia="宋体" w:cs="宋体"/>
                <w:b/>
                <w:bCs/>
                <w:sz w:val="18"/>
                <w:szCs w:val="18"/>
              </w:rPr>
            </w:pPr>
          </w:p>
        </w:tc>
        <w:tc>
          <w:tcPr>
            <w:tcW w:w="422" w:type="pct"/>
            <w:noWrap w:val="0"/>
            <w:vAlign w:val="center"/>
          </w:tcPr>
          <w:p w14:paraId="1CD0E95E">
            <w:pPr>
              <w:spacing w:line="240" w:lineRule="auto"/>
              <w:ind w:firstLine="0" w:firstLineChars="0"/>
              <w:jc w:val="center"/>
              <w:rPr>
                <w:rFonts w:hint="eastAsia" w:ascii="宋体" w:hAnsi="宋体" w:eastAsia="宋体" w:cs="宋体"/>
                <w:b/>
                <w:bCs/>
                <w:sz w:val="18"/>
                <w:szCs w:val="18"/>
              </w:rPr>
            </w:pPr>
          </w:p>
        </w:tc>
        <w:tc>
          <w:tcPr>
            <w:tcW w:w="437" w:type="pct"/>
            <w:noWrap w:val="0"/>
            <w:vAlign w:val="center"/>
          </w:tcPr>
          <w:p w14:paraId="47DEE421">
            <w:pPr>
              <w:spacing w:line="240" w:lineRule="auto"/>
              <w:ind w:firstLine="0" w:firstLineChars="0"/>
              <w:jc w:val="center"/>
              <w:rPr>
                <w:rFonts w:hint="eastAsia" w:ascii="宋体" w:hAnsi="宋体" w:eastAsia="宋体" w:cs="宋体"/>
                <w:b/>
                <w:bCs/>
                <w:sz w:val="18"/>
                <w:szCs w:val="18"/>
              </w:rPr>
            </w:pPr>
          </w:p>
        </w:tc>
      </w:tr>
      <w:tr w14:paraId="4C6D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183" w:type="pct"/>
            <w:vMerge w:val="continue"/>
            <w:noWrap w:val="0"/>
            <w:vAlign w:val="center"/>
          </w:tcPr>
          <w:p w14:paraId="1E735D01">
            <w:pPr>
              <w:spacing w:line="240" w:lineRule="auto"/>
              <w:ind w:firstLine="0" w:firstLineChars="0"/>
              <w:jc w:val="center"/>
              <w:rPr>
                <w:rFonts w:hint="eastAsia" w:ascii="宋体" w:hAnsi="宋体" w:eastAsia="宋体" w:cs="宋体"/>
                <w:b/>
                <w:bCs/>
                <w:sz w:val="24"/>
              </w:rPr>
            </w:pPr>
          </w:p>
        </w:tc>
        <w:tc>
          <w:tcPr>
            <w:tcW w:w="336" w:type="pct"/>
            <w:vMerge w:val="continue"/>
            <w:noWrap w:val="0"/>
            <w:vAlign w:val="center"/>
          </w:tcPr>
          <w:p w14:paraId="7B2C1DFB">
            <w:pPr>
              <w:spacing w:line="240" w:lineRule="auto"/>
              <w:ind w:firstLine="0" w:firstLineChars="0"/>
              <w:jc w:val="center"/>
              <w:rPr>
                <w:rFonts w:hint="eastAsia" w:ascii="宋体" w:hAnsi="宋体" w:eastAsia="宋体" w:cs="宋体"/>
                <w:sz w:val="18"/>
                <w:szCs w:val="18"/>
              </w:rPr>
            </w:pPr>
          </w:p>
        </w:tc>
        <w:tc>
          <w:tcPr>
            <w:tcW w:w="352" w:type="pct"/>
            <w:vMerge w:val="continue"/>
            <w:noWrap w:val="0"/>
            <w:vAlign w:val="center"/>
          </w:tcPr>
          <w:p w14:paraId="3D78C5B1">
            <w:pPr>
              <w:spacing w:line="240" w:lineRule="auto"/>
              <w:ind w:firstLine="0" w:firstLineChars="0"/>
              <w:jc w:val="center"/>
              <w:rPr>
                <w:rFonts w:hint="eastAsia" w:ascii="宋体" w:hAnsi="宋体" w:eastAsia="宋体" w:cs="宋体"/>
                <w:kern w:val="0"/>
                <w:sz w:val="18"/>
                <w:szCs w:val="18"/>
              </w:rPr>
            </w:pPr>
          </w:p>
        </w:tc>
        <w:tc>
          <w:tcPr>
            <w:tcW w:w="324" w:type="pct"/>
            <w:noWrap w:val="0"/>
            <w:vAlign w:val="center"/>
          </w:tcPr>
          <w:p w14:paraId="19371146">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海水产品</w:t>
            </w:r>
          </w:p>
        </w:tc>
        <w:tc>
          <w:tcPr>
            <w:tcW w:w="531" w:type="pct"/>
            <w:noWrap w:val="0"/>
            <w:vAlign w:val="center"/>
          </w:tcPr>
          <w:p w14:paraId="2A53DCC4">
            <w:pPr>
              <w:spacing w:line="240" w:lineRule="auto"/>
              <w:ind w:firstLine="0" w:firstLineChars="0"/>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海水虾</w:t>
            </w:r>
          </w:p>
        </w:tc>
        <w:tc>
          <w:tcPr>
            <w:tcW w:w="1536" w:type="pct"/>
            <w:noWrap w:val="0"/>
            <w:vAlign w:val="center"/>
          </w:tcPr>
          <w:p w14:paraId="5284B12E">
            <w:pPr>
              <w:spacing w:line="240" w:lineRule="auto"/>
              <w:ind w:firstLine="0" w:firstLineChars="0"/>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eastAsia="zh-CN"/>
              </w:rPr>
              <w:t>镉（以</w:t>
            </w:r>
            <w:r>
              <w:rPr>
                <w:rFonts w:hint="eastAsia" w:ascii="宋体" w:hAnsi="宋体" w:eastAsia="宋体" w:cs="宋体"/>
                <w:kern w:val="0"/>
                <w:sz w:val="18"/>
                <w:szCs w:val="18"/>
                <w:lang w:val="en-US" w:eastAsia="zh-CN"/>
              </w:rPr>
              <w:t>Cd计</w:t>
            </w:r>
            <w:r>
              <w:rPr>
                <w:rFonts w:hint="eastAsia" w:ascii="宋体" w:hAnsi="宋体" w:eastAsia="宋体" w:cs="宋体"/>
                <w:kern w:val="0"/>
                <w:sz w:val="18"/>
                <w:szCs w:val="18"/>
                <w:lang w:eastAsia="zh-CN"/>
              </w:rPr>
              <w:t>）、恩诺沙星、土霉素</w:t>
            </w:r>
            <w:r>
              <w:rPr>
                <w:rFonts w:hint="eastAsia" w:ascii="宋体" w:hAnsi="宋体" w:eastAsia="宋体" w:cs="宋体"/>
                <w:kern w:val="0"/>
                <w:sz w:val="18"/>
                <w:szCs w:val="18"/>
                <w:lang w:val="en-US" w:eastAsia="zh-CN"/>
              </w:rPr>
              <w:t>/金霉素/四环素（组合含量）、二氧化硫残留物、呋喃唑酮代谢物</w:t>
            </w:r>
          </w:p>
        </w:tc>
        <w:tc>
          <w:tcPr>
            <w:tcW w:w="284" w:type="pct"/>
            <w:noWrap w:val="0"/>
            <w:vAlign w:val="center"/>
          </w:tcPr>
          <w:p w14:paraId="24A223F9">
            <w:pPr>
              <w:spacing w:line="240" w:lineRule="auto"/>
              <w:ind w:firstLine="0" w:firstLineChars="0"/>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2</w:t>
            </w:r>
          </w:p>
        </w:tc>
        <w:tc>
          <w:tcPr>
            <w:tcW w:w="328" w:type="pct"/>
            <w:noWrap w:val="0"/>
            <w:vAlign w:val="center"/>
          </w:tcPr>
          <w:p w14:paraId="42D9B197">
            <w:pPr>
              <w:spacing w:line="240" w:lineRule="auto"/>
              <w:ind w:firstLine="0" w:firstLineChars="0"/>
              <w:jc w:val="center"/>
              <w:rPr>
                <w:rFonts w:hint="eastAsia" w:ascii="宋体" w:hAnsi="宋体" w:eastAsia="宋体" w:cs="宋体"/>
                <w:b/>
                <w:bCs/>
                <w:sz w:val="18"/>
                <w:szCs w:val="18"/>
                <w:lang w:val="en-US" w:eastAsia="zh-CN"/>
              </w:rPr>
            </w:pPr>
          </w:p>
        </w:tc>
        <w:tc>
          <w:tcPr>
            <w:tcW w:w="264" w:type="pct"/>
            <w:noWrap w:val="0"/>
            <w:vAlign w:val="center"/>
          </w:tcPr>
          <w:p w14:paraId="060E1238">
            <w:pPr>
              <w:spacing w:line="240" w:lineRule="auto"/>
              <w:ind w:firstLine="0" w:firstLineChars="0"/>
              <w:jc w:val="center"/>
              <w:rPr>
                <w:rFonts w:hint="eastAsia" w:ascii="宋体" w:hAnsi="宋体" w:eastAsia="宋体" w:cs="宋体"/>
                <w:b/>
                <w:bCs/>
                <w:sz w:val="18"/>
                <w:szCs w:val="18"/>
                <w:lang w:val="en-US" w:eastAsia="zh-CN"/>
              </w:rPr>
            </w:pPr>
          </w:p>
        </w:tc>
        <w:tc>
          <w:tcPr>
            <w:tcW w:w="422" w:type="pct"/>
            <w:noWrap w:val="0"/>
            <w:vAlign w:val="center"/>
          </w:tcPr>
          <w:p w14:paraId="1D7F7956">
            <w:pPr>
              <w:spacing w:line="240" w:lineRule="auto"/>
              <w:ind w:firstLine="0" w:firstLineChars="0"/>
              <w:jc w:val="center"/>
              <w:rPr>
                <w:rFonts w:hint="eastAsia" w:ascii="宋体" w:hAnsi="宋体" w:eastAsia="宋体" w:cs="宋体"/>
                <w:b/>
                <w:bCs/>
                <w:sz w:val="18"/>
                <w:szCs w:val="18"/>
                <w:lang w:val="en-US" w:eastAsia="zh-CN"/>
              </w:rPr>
            </w:pPr>
          </w:p>
        </w:tc>
        <w:tc>
          <w:tcPr>
            <w:tcW w:w="437" w:type="pct"/>
            <w:noWrap w:val="0"/>
            <w:vAlign w:val="center"/>
          </w:tcPr>
          <w:p w14:paraId="58930CE7">
            <w:pPr>
              <w:spacing w:line="240" w:lineRule="auto"/>
              <w:ind w:firstLine="0" w:firstLineChars="0"/>
              <w:jc w:val="center"/>
              <w:rPr>
                <w:rFonts w:hint="eastAsia" w:ascii="宋体" w:hAnsi="宋体" w:eastAsia="宋体" w:cs="宋体"/>
                <w:b/>
                <w:bCs/>
                <w:sz w:val="18"/>
                <w:szCs w:val="18"/>
                <w:lang w:val="en-US" w:eastAsia="zh-CN"/>
              </w:rPr>
            </w:pPr>
          </w:p>
        </w:tc>
      </w:tr>
      <w:tr w14:paraId="0C567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0" w:type="pct"/>
            <w:gridSpan w:val="2"/>
            <w:noWrap w:val="0"/>
            <w:vAlign w:val="center"/>
          </w:tcPr>
          <w:p w14:paraId="62FC2DEC">
            <w:pPr>
              <w:keepNext w:val="0"/>
              <w:keepLines w:val="0"/>
              <w:pageBreakBefore w:val="0"/>
              <w:widowControl w:val="0"/>
              <w:kinsoku w:val="0"/>
              <w:wordWrap w:val="0"/>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18"/>
                <w:szCs w:val="18"/>
              </w:rPr>
            </w:pPr>
            <w:r>
              <w:rPr>
                <w:rFonts w:hint="eastAsia" w:ascii="宋体" w:hAnsi="宋体" w:eastAsia="宋体" w:cs="宋体"/>
                <w:b/>
                <w:bCs w:val="0"/>
                <w:color w:val="auto"/>
                <w:sz w:val="24"/>
                <w:szCs w:val="24"/>
                <w:highlight w:val="none"/>
                <w:lang w:val="en-US" w:eastAsia="zh-CN"/>
              </w:rPr>
              <w:t>合计</w:t>
            </w:r>
          </w:p>
        </w:tc>
        <w:tc>
          <w:tcPr>
            <w:tcW w:w="4479" w:type="pct"/>
            <w:gridSpan w:val="9"/>
            <w:noWrap w:val="0"/>
            <w:vAlign w:val="center"/>
          </w:tcPr>
          <w:p w14:paraId="3A7569CC">
            <w:pPr>
              <w:keepNext w:val="0"/>
              <w:keepLines w:val="0"/>
              <w:pageBreakBefore w:val="0"/>
              <w:widowControl w:val="0"/>
              <w:kinsoku w:val="0"/>
              <w:wordWrap w:val="0"/>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none"/>
                <w:lang w:val="en-US" w:eastAsia="zh-CN"/>
              </w:rPr>
              <w:t>元（大写：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none"/>
                <w:lang w:val="en-US" w:eastAsia="zh-CN"/>
              </w:rPr>
              <w:t>元）</w:t>
            </w:r>
          </w:p>
        </w:tc>
      </w:tr>
    </w:tbl>
    <w:p w14:paraId="673250E5">
      <w:pPr>
        <w:ind w:left="0" w:leftChars="0" w:firstLine="0" w:firstLineChars="0"/>
        <w:rPr>
          <w:rFonts w:hint="eastAsia" w:ascii="宋体" w:hAnsi="宋体" w:eastAsia="宋体" w:cs="宋体"/>
          <w:color w:val="auto"/>
          <w:highlight w:val="none"/>
        </w:rPr>
      </w:pPr>
      <w:r>
        <w:rPr>
          <w:rFonts w:hint="eastAsia" w:ascii="宋体" w:hAnsi="宋体" w:eastAsia="宋体" w:cs="宋体"/>
          <w:b/>
          <w:color w:val="auto"/>
          <w:highlight w:val="none"/>
        </w:rPr>
        <w:t>注：</w:t>
      </w:r>
      <w:r>
        <w:rPr>
          <w:rFonts w:hint="eastAsia" w:ascii="宋体" w:hAnsi="宋体" w:eastAsia="宋体" w:cs="宋体"/>
          <w:color w:val="auto"/>
          <w:highlight w:val="none"/>
        </w:rPr>
        <w:t>1.如果不提供详细</w:t>
      </w:r>
      <w:r>
        <w:rPr>
          <w:rFonts w:hint="eastAsia" w:ascii="宋体" w:hAnsi="宋体" w:eastAsia="宋体" w:cs="宋体"/>
          <w:color w:val="auto"/>
          <w:highlight w:val="none"/>
          <w:lang w:val="en-US" w:eastAsia="zh-CN"/>
        </w:rPr>
        <w:t>报价明细</w:t>
      </w:r>
      <w:r>
        <w:rPr>
          <w:rFonts w:hint="eastAsia" w:ascii="宋体" w:hAnsi="宋体" w:eastAsia="宋体" w:cs="宋体"/>
          <w:color w:val="auto"/>
          <w:highlight w:val="none"/>
        </w:rPr>
        <w:t>将视为没有实质性响应竞争性磋商文件；</w:t>
      </w:r>
    </w:p>
    <w:p w14:paraId="4A919D34">
      <w:pPr>
        <w:keepNext w:val="0"/>
        <w:keepLines w:val="0"/>
        <w:pageBreakBefore w:val="0"/>
        <w:widowControl w:val="0"/>
        <w:kinsoku w:val="0"/>
        <w:wordWrap w:val="0"/>
        <w:overflowPunct/>
        <w:topLinePunct w:val="0"/>
        <w:autoSpaceDE/>
        <w:autoSpaceDN/>
        <w:bidi w:val="0"/>
        <w:adjustRightInd/>
        <w:snapToGrid/>
        <w:ind w:left="0" w:leftChars="0" w:firstLine="456"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spacing w:val="-6"/>
          <w:sz w:val="24"/>
          <w:highlight w:val="none"/>
        </w:rPr>
        <w:t>2.</w:t>
      </w:r>
      <w:r>
        <w:rPr>
          <w:rFonts w:hint="eastAsia" w:ascii="宋体" w:hAnsi="宋体" w:eastAsia="宋体" w:cs="宋体"/>
          <w:color w:val="auto"/>
          <w:spacing w:val="-6"/>
          <w:sz w:val="24"/>
          <w:highlight w:val="none"/>
          <w:lang w:val="en-US" w:eastAsia="zh-CN"/>
        </w:rPr>
        <w:t>报价明细</w:t>
      </w:r>
      <w:r>
        <w:rPr>
          <w:rFonts w:hint="eastAsia" w:ascii="宋体" w:hAnsi="宋体" w:eastAsia="宋体" w:cs="宋体"/>
          <w:color w:val="auto"/>
          <w:spacing w:val="-6"/>
          <w:sz w:val="24"/>
          <w:highlight w:val="none"/>
        </w:rPr>
        <w:t>表列出磋商报价的报价明细</w:t>
      </w:r>
      <w:r>
        <w:rPr>
          <w:rFonts w:hint="eastAsia" w:ascii="宋体" w:hAnsi="宋体" w:eastAsia="宋体" w:cs="宋体"/>
          <w:color w:val="auto"/>
          <w:highlight w:val="none"/>
        </w:rPr>
        <w:t>，合计</w:t>
      </w:r>
      <w:r>
        <w:rPr>
          <w:rFonts w:hint="eastAsia" w:ascii="宋体" w:hAnsi="宋体" w:eastAsia="宋体" w:cs="宋体"/>
          <w:color w:val="auto"/>
          <w:highlight w:val="none"/>
          <w:lang w:val="en-US" w:eastAsia="zh-CN"/>
        </w:rPr>
        <w:t>金额</w:t>
      </w:r>
      <w:r>
        <w:rPr>
          <w:rFonts w:hint="eastAsia" w:ascii="宋体" w:hAnsi="宋体" w:eastAsia="宋体" w:cs="宋体"/>
          <w:color w:val="auto"/>
          <w:highlight w:val="none"/>
        </w:rPr>
        <w:t>应与磋商报价一览表</w:t>
      </w:r>
      <w:r>
        <w:rPr>
          <w:rFonts w:hint="eastAsia" w:ascii="宋体" w:hAnsi="宋体" w:eastAsia="宋体" w:cs="宋体"/>
          <w:color w:val="auto"/>
          <w:highlight w:val="none"/>
          <w:lang w:val="en-US" w:eastAsia="zh-CN"/>
        </w:rPr>
        <w:t>的报价</w:t>
      </w:r>
      <w:r>
        <w:rPr>
          <w:rFonts w:hint="eastAsia" w:ascii="宋体" w:hAnsi="宋体" w:eastAsia="宋体" w:cs="宋体"/>
          <w:color w:val="auto"/>
          <w:highlight w:val="none"/>
        </w:rPr>
        <w:t>一致。</w:t>
      </w:r>
    </w:p>
    <w:p w14:paraId="6D384F23">
      <w:pPr>
        <w:keepNext w:val="0"/>
        <w:keepLines w:val="0"/>
        <w:pageBreakBefore w:val="0"/>
        <w:widowControl w:val="0"/>
        <w:kinsoku w:val="0"/>
        <w:wordWrap w:val="0"/>
        <w:overflowPunct/>
        <w:topLinePunct w:val="0"/>
        <w:autoSpaceDE/>
        <w:autoSpaceDN/>
        <w:bidi w:val="0"/>
        <w:adjustRightInd/>
        <w:snapToGrid/>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3.供应商必须据实填写，不得虚假填写，否则将取消其</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或</w:t>
      </w:r>
      <w:r>
        <w:rPr>
          <w:rFonts w:hint="eastAsia" w:ascii="宋体" w:hAnsi="宋体" w:eastAsia="宋体" w:cs="宋体"/>
          <w:color w:val="auto"/>
          <w:highlight w:val="none"/>
          <w:lang w:val="en-US" w:eastAsia="zh-CN"/>
        </w:rPr>
        <w:t>成交</w:t>
      </w:r>
      <w:r>
        <w:rPr>
          <w:rFonts w:hint="eastAsia" w:ascii="宋体" w:hAnsi="宋体" w:eastAsia="宋体" w:cs="宋体"/>
          <w:color w:val="auto"/>
          <w:highlight w:val="none"/>
        </w:rPr>
        <w:t>资格。</w:t>
      </w:r>
    </w:p>
    <w:p w14:paraId="4897FD07">
      <w:pPr>
        <w:keepNext w:val="0"/>
        <w:keepLines w:val="0"/>
        <w:pageBreakBefore w:val="0"/>
        <w:widowControl w:val="0"/>
        <w:kinsoku w:val="0"/>
        <w:wordWrap w:val="0"/>
        <w:overflowPunct/>
        <w:topLinePunct w:val="0"/>
        <w:autoSpaceDE/>
        <w:autoSpaceDN/>
        <w:bidi w:val="0"/>
        <w:adjustRightInd/>
        <w:snapToGrid/>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4.所报单价包括检验检测费、人工费、服务费、税金等其他一切相关费用。</w:t>
      </w:r>
    </w:p>
    <w:p w14:paraId="00D46E8A">
      <w:pPr>
        <w:keepNext w:val="0"/>
        <w:keepLines w:val="0"/>
        <w:pageBreakBefore w:val="0"/>
        <w:widowControl w:val="0"/>
        <w:kinsoku w:val="0"/>
        <w:wordWrap w:val="0"/>
        <w:overflowPunct/>
        <w:topLinePunct w:val="0"/>
        <w:autoSpaceDE/>
        <w:autoSpaceDN/>
        <w:bidi w:val="0"/>
        <w:adjustRightInd/>
        <w:snapToGrid/>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5.未通过认证的检测项目在应如实注明“未通过认证”</w:t>
      </w:r>
      <w:r>
        <w:rPr>
          <w:rFonts w:hint="eastAsia" w:ascii="宋体" w:hAnsi="宋体" w:eastAsia="宋体" w:cs="宋体"/>
          <w:color w:val="auto"/>
          <w:highlight w:val="none"/>
        </w:rPr>
        <w:t>。</w:t>
      </w:r>
    </w:p>
    <w:p w14:paraId="2AC3D2D5">
      <w:pPr>
        <w:widowControl/>
        <w:ind w:left="0" w:leftChars="0" w:firstLine="0" w:firstLineChars="0"/>
        <w:rPr>
          <w:rFonts w:hint="eastAsia" w:ascii="宋体" w:hAnsi="宋体" w:eastAsia="宋体" w:cs="宋体"/>
          <w:color w:val="auto"/>
          <w:kern w:val="0"/>
          <w:highlight w:val="none"/>
          <w:lang w:val="zh-CN"/>
        </w:rPr>
      </w:pPr>
    </w:p>
    <w:p w14:paraId="67C1A47C">
      <w:pPr>
        <w:widowControl/>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供应商</w:t>
      </w:r>
      <w:r>
        <w:rPr>
          <w:rFonts w:hint="eastAsia" w:ascii="宋体" w:hAnsi="宋体" w:eastAsia="宋体" w:cs="宋体"/>
          <w:color w:val="auto"/>
          <w:kern w:val="0"/>
          <w:highlight w:val="none"/>
        </w:rPr>
        <w:t>全称</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zh-CN"/>
        </w:rPr>
        <w:t>（公章）</w:t>
      </w:r>
    </w:p>
    <w:p w14:paraId="2F9860A2">
      <w:pPr>
        <w:widowControl/>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法定代表人</w:t>
      </w:r>
      <w:r>
        <w:rPr>
          <w:rFonts w:hint="eastAsia" w:ascii="宋体" w:hAnsi="宋体" w:eastAsia="宋体" w:cs="宋体"/>
          <w:color w:val="auto"/>
          <w:kern w:val="0"/>
          <w:highlight w:val="none"/>
        </w:rPr>
        <w:t>或</w:t>
      </w:r>
      <w:r>
        <w:rPr>
          <w:rFonts w:hint="eastAsia" w:ascii="宋体" w:hAnsi="宋体" w:eastAsia="宋体" w:cs="宋体"/>
          <w:color w:val="auto"/>
          <w:kern w:val="0"/>
          <w:highlight w:val="none"/>
          <w:lang w:val="zh-CN"/>
        </w:rPr>
        <w:t>授权代表：</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zh-CN"/>
        </w:rPr>
        <w:t>（签字</w:t>
      </w:r>
      <w:r>
        <w:rPr>
          <w:rFonts w:hint="eastAsia" w:ascii="宋体" w:hAnsi="宋体" w:eastAsia="宋体" w:cs="宋体"/>
          <w:color w:val="auto"/>
          <w:kern w:val="0"/>
          <w:highlight w:val="none"/>
          <w:lang w:val="en-US" w:eastAsia="zh-CN"/>
        </w:rPr>
        <w:t>或盖章</w:t>
      </w:r>
      <w:r>
        <w:rPr>
          <w:rFonts w:hint="eastAsia" w:ascii="宋体" w:hAnsi="宋体" w:eastAsia="宋体" w:cs="宋体"/>
          <w:color w:val="auto"/>
          <w:kern w:val="0"/>
          <w:highlight w:val="none"/>
          <w:lang w:val="zh-CN"/>
        </w:rPr>
        <w:t>）</w:t>
      </w:r>
    </w:p>
    <w:p w14:paraId="52C058E8">
      <w:pPr>
        <w:widowControl/>
        <w:jc w:val="right"/>
        <w:rPr>
          <w:rFonts w:hint="eastAsia" w:ascii="宋体" w:hAnsi="宋体" w:eastAsia="宋体" w:cs="宋体"/>
          <w:color w:val="auto"/>
          <w:kern w:val="0"/>
          <w:highlight w:val="none"/>
          <w:lang w:val="zh-CN"/>
        </w:rPr>
      </w:pPr>
    </w:p>
    <w:p w14:paraId="7C1C7CDD">
      <w:pPr>
        <w:widowControl/>
        <w:jc w:val="center"/>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年       月      日</w:t>
      </w:r>
    </w:p>
    <w:p w14:paraId="49B4C5C5">
      <w:pPr>
        <w:rPr>
          <w:rFonts w:hint="eastAsia" w:ascii="宋体" w:hAnsi="宋体" w:eastAsia="宋体" w:cs="宋体"/>
          <w:b/>
          <w:color w:val="auto"/>
          <w:highlight w:val="none"/>
        </w:rPr>
        <w:sectPr>
          <w:headerReference r:id="rId14" w:type="default"/>
          <w:footerReference r:id="rId16" w:type="default"/>
          <w:headerReference r:id="rId15" w:type="even"/>
          <w:footerReference r:id="rId17" w:type="even"/>
          <w:pgSz w:w="16838" w:h="11906" w:orient="landscape"/>
          <w:pgMar w:top="1587" w:right="1984" w:bottom="1587" w:left="1984" w:header="851" w:footer="992" w:gutter="0"/>
          <w:pgBorders>
            <w:top w:val="none" w:sz="0" w:space="0"/>
            <w:left w:val="none" w:sz="0" w:space="0"/>
            <w:bottom w:val="none" w:sz="0" w:space="0"/>
            <w:right w:val="none" w:sz="0" w:space="0"/>
          </w:pgBorders>
          <w:pgNumType w:fmt="decimal"/>
          <w:cols w:space="720" w:num="1"/>
          <w:docGrid w:type="lines" w:linePitch="319" w:charSpace="0"/>
        </w:sectPr>
      </w:pPr>
    </w:p>
    <w:p w14:paraId="44E02452">
      <w:pPr>
        <w:pStyle w:val="4"/>
        <w:numPr>
          <w:ilvl w:val="0"/>
          <w:numId w:val="0"/>
        </w:numPr>
        <w:jc w:val="center"/>
        <w:rPr>
          <w:rFonts w:hint="eastAsia" w:ascii="宋体" w:hAnsi="宋体" w:eastAsia="宋体" w:cs="宋体"/>
          <w:color w:val="auto"/>
          <w:highlight w:val="none"/>
          <w:lang w:val="zh-CN"/>
        </w:rPr>
      </w:pPr>
      <w:bookmarkStart w:id="122" w:name="_Toc18697_WPSOffice_Level1"/>
      <w:bookmarkStart w:id="123" w:name="_Toc533610816"/>
      <w:bookmarkStart w:id="124" w:name="_Toc533610814"/>
      <w:r>
        <w:rPr>
          <w:rFonts w:hint="eastAsia" w:ascii="宋体" w:hAnsi="宋体" w:eastAsia="宋体" w:cs="宋体"/>
          <w:color w:val="auto"/>
          <w:kern w:val="0"/>
          <w:szCs w:val="20"/>
          <w:highlight w:val="none"/>
          <w:lang w:val="zh-CN"/>
        </w:rPr>
        <w:t xml:space="preserve">第三部分  </w:t>
      </w:r>
      <w:r>
        <w:rPr>
          <w:rFonts w:hint="eastAsia" w:ascii="宋体" w:hAnsi="宋体" w:eastAsia="宋体" w:cs="宋体"/>
          <w:color w:val="auto"/>
        </w:rPr>
        <w:t>商务</w:t>
      </w:r>
      <w:r>
        <w:rPr>
          <w:rFonts w:hint="eastAsia" w:ascii="宋体" w:hAnsi="宋体" w:eastAsia="宋体" w:cs="宋体"/>
          <w:color w:val="auto"/>
          <w:lang w:val="zh-CN"/>
        </w:rPr>
        <w:t>偏差表</w:t>
      </w:r>
    </w:p>
    <w:bookmarkEnd w:id="122"/>
    <w:bookmarkEnd w:id="123"/>
    <w:p w14:paraId="38D67C54">
      <w:pPr>
        <w:widowControl/>
        <w:ind w:left="278" w:leftChars="116" w:firstLine="240" w:firstLineChars="100"/>
        <w:rPr>
          <w:rFonts w:hint="eastAsia" w:ascii="宋体" w:hAnsi="宋体" w:eastAsia="宋体" w:cs="宋体"/>
          <w:color w:val="auto"/>
          <w:kern w:val="0"/>
        </w:rPr>
      </w:pPr>
      <w:bookmarkStart w:id="125" w:name="_Toc1697_WPSOffice_Level1"/>
      <w:bookmarkStart w:id="126" w:name="_Toc11241_WPSOffice_Level1"/>
      <w:bookmarkStart w:id="127" w:name="_Toc32699"/>
      <w:bookmarkStart w:id="128" w:name="_Toc8771_WPSOffice_Level1"/>
      <w:bookmarkStart w:id="129" w:name="_Toc17496_WPSOffice_Level1"/>
      <w:bookmarkStart w:id="130" w:name="_Toc5451_WPSOffice_Level2"/>
      <w:r>
        <w:rPr>
          <w:rFonts w:hint="eastAsia" w:ascii="宋体" w:hAnsi="宋体" w:eastAsia="宋体" w:cs="宋体"/>
          <w:color w:val="auto"/>
          <w:kern w:val="0"/>
          <w:highlight w:val="none"/>
          <w:u w:val="none"/>
          <w:lang w:val="en-US" w:eastAsia="zh-CN"/>
        </w:rPr>
        <w:t>项目编号</w:t>
      </w:r>
      <w:r>
        <w:rPr>
          <w:rFonts w:hint="eastAsia" w:ascii="宋体" w:hAnsi="宋体" w:eastAsia="宋体" w:cs="宋体"/>
          <w:color w:val="auto"/>
          <w:kern w:val="0"/>
        </w:rPr>
        <w:t>：</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第  </w:t>
      </w:r>
      <w:r>
        <w:rPr>
          <w:rFonts w:hint="eastAsia" w:ascii="宋体" w:hAnsi="宋体" w:eastAsia="宋体" w:cs="宋体"/>
          <w:color w:val="auto"/>
          <w:kern w:val="0"/>
          <w:lang w:val="zh-CN"/>
        </w:rPr>
        <w:t>页</w:t>
      </w:r>
      <w:r>
        <w:rPr>
          <w:rFonts w:hint="eastAsia" w:ascii="宋体" w:hAnsi="宋体" w:eastAsia="宋体" w:cs="宋体"/>
          <w:color w:val="auto"/>
          <w:kern w:val="0"/>
        </w:rPr>
        <w:t>，共  页</w:t>
      </w:r>
    </w:p>
    <w:tbl>
      <w:tblPr>
        <w:tblStyle w:val="46"/>
        <w:tblW w:w="8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2231"/>
        <w:gridCol w:w="2191"/>
        <w:gridCol w:w="1592"/>
        <w:gridCol w:w="1372"/>
      </w:tblGrid>
      <w:tr w14:paraId="1A8C1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vAlign w:val="center"/>
          </w:tcPr>
          <w:p w14:paraId="6D763D8E">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序号</w:t>
            </w:r>
          </w:p>
        </w:tc>
        <w:tc>
          <w:tcPr>
            <w:tcW w:w="2231" w:type="dxa"/>
            <w:vAlign w:val="center"/>
          </w:tcPr>
          <w:p w14:paraId="34580F85">
            <w:pPr>
              <w:widowControl/>
              <w:ind w:firstLine="0" w:firstLineChars="0"/>
              <w:jc w:val="center"/>
              <w:rPr>
                <w:rFonts w:hint="eastAsia" w:ascii="宋体" w:hAnsi="宋体" w:eastAsia="宋体" w:cs="宋体"/>
                <w:color w:val="auto"/>
                <w:kern w:val="0"/>
              </w:rPr>
            </w:pPr>
            <w:r>
              <w:rPr>
                <w:rFonts w:hint="eastAsia" w:ascii="宋体" w:hAnsi="宋体" w:eastAsia="宋体" w:cs="宋体"/>
                <w:bCs/>
                <w:color w:val="auto"/>
                <w:szCs w:val="21"/>
              </w:rPr>
              <w:t>磋商文件</w:t>
            </w:r>
          </w:p>
          <w:p w14:paraId="5AAA4025">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要求数据</w:t>
            </w:r>
          </w:p>
        </w:tc>
        <w:tc>
          <w:tcPr>
            <w:tcW w:w="2191" w:type="dxa"/>
            <w:vAlign w:val="center"/>
          </w:tcPr>
          <w:p w14:paraId="4F873CDC">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响应文件</w:t>
            </w:r>
          </w:p>
          <w:p w14:paraId="3119405A">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实际数据</w:t>
            </w:r>
          </w:p>
        </w:tc>
        <w:tc>
          <w:tcPr>
            <w:tcW w:w="1592" w:type="dxa"/>
            <w:vAlign w:val="center"/>
          </w:tcPr>
          <w:p w14:paraId="082B346A">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偏离</w:t>
            </w:r>
          </w:p>
        </w:tc>
        <w:tc>
          <w:tcPr>
            <w:tcW w:w="1372" w:type="dxa"/>
            <w:vAlign w:val="center"/>
          </w:tcPr>
          <w:p w14:paraId="402A4BD3">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说明</w:t>
            </w:r>
          </w:p>
        </w:tc>
      </w:tr>
      <w:tr w14:paraId="5882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262E458E">
            <w:pPr>
              <w:widowControl/>
              <w:ind w:firstLine="480"/>
              <w:rPr>
                <w:rFonts w:hint="eastAsia" w:ascii="宋体" w:hAnsi="宋体" w:eastAsia="宋体" w:cs="宋体"/>
                <w:color w:val="auto"/>
                <w:kern w:val="0"/>
              </w:rPr>
            </w:pPr>
          </w:p>
        </w:tc>
        <w:tc>
          <w:tcPr>
            <w:tcW w:w="2231" w:type="dxa"/>
          </w:tcPr>
          <w:p w14:paraId="3A399C00">
            <w:pPr>
              <w:widowControl/>
              <w:ind w:firstLine="480"/>
              <w:rPr>
                <w:rFonts w:hint="eastAsia" w:ascii="宋体" w:hAnsi="宋体" w:eastAsia="宋体" w:cs="宋体"/>
                <w:color w:val="auto"/>
                <w:kern w:val="0"/>
              </w:rPr>
            </w:pPr>
          </w:p>
        </w:tc>
        <w:tc>
          <w:tcPr>
            <w:tcW w:w="2191" w:type="dxa"/>
          </w:tcPr>
          <w:p w14:paraId="5C76E595">
            <w:pPr>
              <w:widowControl/>
              <w:ind w:firstLine="480"/>
              <w:rPr>
                <w:rFonts w:hint="eastAsia" w:ascii="宋体" w:hAnsi="宋体" w:eastAsia="宋体" w:cs="宋体"/>
                <w:color w:val="auto"/>
                <w:kern w:val="0"/>
              </w:rPr>
            </w:pPr>
          </w:p>
        </w:tc>
        <w:tc>
          <w:tcPr>
            <w:tcW w:w="1592" w:type="dxa"/>
          </w:tcPr>
          <w:p w14:paraId="4F46E504">
            <w:pPr>
              <w:widowControl/>
              <w:ind w:firstLine="480"/>
              <w:rPr>
                <w:rFonts w:hint="eastAsia" w:ascii="宋体" w:hAnsi="宋体" w:eastAsia="宋体" w:cs="宋体"/>
                <w:color w:val="auto"/>
                <w:kern w:val="0"/>
              </w:rPr>
            </w:pPr>
          </w:p>
        </w:tc>
        <w:tc>
          <w:tcPr>
            <w:tcW w:w="1372" w:type="dxa"/>
          </w:tcPr>
          <w:p w14:paraId="07647D8B">
            <w:pPr>
              <w:widowControl/>
              <w:ind w:firstLine="480"/>
              <w:rPr>
                <w:rFonts w:hint="eastAsia" w:ascii="宋体" w:hAnsi="宋体" w:eastAsia="宋体" w:cs="宋体"/>
                <w:color w:val="auto"/>
                <w:kern w:val="0"/>
              </w:rPr>
            </w:pPr>
          </w:p>
        </w:tc>
      </w:tr>
      <w:tr w14:paraId="3B8EC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6863FF75">
            <w:pPr>
              <w:widowControl/>
              <w:ind w:firstLine="480"/>
              <w:rPr>
                <w:rFonts w:hint="eastAsia" w:ascii="宋体" w:hAnsi="宋体" w:eastAsia="宋体" w:cs="宋体"/>
                <w:color w:val="auto"/>
                <w:kern w:val="0"/>
              </w:rPr>
            </w:pPr>
          </w:p>
        </w:tc>
        <w:tc>
          <w:tcPr>
            <w:tcW w:w="2231" w:type="dxa"/>
          </w:tcPr>
          <w:p w14:paraId="7179E796">
            <w:pPr>
              <w:widowControl/>
              <w:ind w:firstLine="480"/>
              <w:rPr>
                <w:rFonts w:hint="eastAsia" w:ascii="宋体" w:hAnsi="宋体" w:eastAsia="宋体" w:cs="宋体"/>
                <w:color w:val="auto"/>
                <w:kern w:val="0"/>
              </w:rPr>
            </w:pPr>
          </w:p>
        </w:tc>
        <w:tc>
          <w:tcPr>
            <w:tcW w:w="2191" w:type="dxa"/>
          </w:tcPr>
          <w:p w14:paraId="6D7355B1">
            <w:pPr>
              <w:widowControl/>
              <w:ind w:firstLine="480"/>
              <w:rPr>
                <w:rFonts w:hint="eastAsia" w:ascii="宋体" w:hAnsi="宋体" w:eastAsia="宋体" w:cs="宋体"/>
                <w:color w:val="auto"/>
                <w:kern w:val="0"/>
              </w:rPr>
            </w:pPr>
          </w:p>
        </w:tc>
        <w:tc>
          <w:tcPr>
            <w:tcW w:w="1592" w:type="dxa"/>
          </w:tcPr>
          <w:p w14:paraId="640D6679">
            <w:pPr>
              <w:widowControl/>
              <w:ind w:firstLine="480"/>
              <w:rPr>
                <w:rFonts w:hint="eastAsia" w:ascii="宋体" w:hAnsi="宋体" w:eastAsia="宋体" w:cs="宋体"/>
                <w:color w:val="auto"/>
                <w:kern w:val="0"/>
              </w:rPr>
            </w:pPr>
          </w:p>
        </w:tc>
        <w:tc>
          <w:tcPr>
            <w:tcW w:w="1372" w:type="dxa"/>
          </w:tcPr>
          <w:p w14:paraId="0E0A80AD">
            <w:pPr>
              <w:widowControl/>
              <w:ind w:firstLine="480"/>
              <w:rPr>
                <w:rFonts w:hint="eastAsia" w:ascii="宋体" w:hAnsi="宋体" w:eastAsia="宋体" w:cs="宋体"/>
                <w:color w:val="auto"/>
                <w:kern w:val="0"/>
              </w:rPr>
            </w:pPr>
          </w:p>
        </w:tc>
      </w:tr>
      <w:tr w14:paraId="7E224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62CDDF1B">
            <w:pPr>
              <w:widowControl/>
              <w:ind w:firstLine="480"/>
              <w:rPr>
                <w:rFonts w:hint="eastAsia" w:ascii="宋体" w:hAnsi="宋体" w:eastAsia="宋体" w:cs="宋体"/>
                <w:color w:val="auto"/>
                <w:kern w:val="0"/>
              </w:rPr>
            </w:pPr>
          </w:p>
        </w:tc>
        <w:tc>
          <w:tcPr>
            <w:tcW w:w="2231" w:type="dxa"/>
          </w:tcPr>
          <w:p w14:paraId="78654E06">
            <w:pPr>
              <w:widowControl/>
              <w:ind w:firstLine="480"/>
              <w:rPr>
                <w:rFonts w:hint="eastAsia" w:ascii="宋体" w:hAnsi="宋体" w:eastAsia="宋体" w:cs="宋体"/>
                <w:color w:val="auto"/>
                <w:kern w:val="0"/>
              </w:rPr>
            </w:pPr>
          </w:p>
        </w:tc>
        <w:tc>
          <w:tcPr>
            <w:tcW w:w="2191" w:type="dxa"/>
          </w:tcPr>
          <w:p w14:paraId="255A2E7D">
            <w:pPr>
              <w:widowControl/>
              <w:ind w:firstLine="480"/>
              <w:rPr>
                <w:rFonts w:hint="eastAsia" w:ascii="宋体" w:hAnsi="宋体" w:eastAsia="宋体" w:cs="宋体"/>
                <w:color w:val="auto"/>
                <w:kern w:val="0"/>
              </w:rPr>
            </w:pPr>
          </w:p>
        </w:tc>
        <w:tc>
          <w:tcPr>
            <w:tcW w:w="1592" w:type="dxa"/>
          </w:tcPr>
          <w:p w14:paraId="3C217131">
            <w:pPr>
              <w:widowControl/>
              <w:ind w:firstLine="480"/>
              <w:rPr>
                <w:rFonts w:hint="eastAsia" w:ascii="宋体" w:hAnsi="宋体" w:eastAsia="宋体" w:cs="宋体"/>
                <w:color w:val="auto"/>
                <w:kern w:val="0"/>
              </w:rPr>
            </w:pPr>
          </w:p>
        </w:tc>
        <w:tc>
          <w:tcPr>
            <w:tcW w:w="1372" w:type="dxa"/>
          </w:tcPr>
          <w:p w14:paraId="17A8F055">
            <w:pPr>
              <w:widowControl/>
              <w:ind w:firstLine="480"/>
              <w:rPr>
                <w:rFonts w:hint="eastAsia" w:ascii="宋体" w:hAnsi="宋体" w:eastAsia="宋体" w:cs="宋体"/>
                <w:color w:val="auto"/>
                <w:kern w:val="0"/>
              </w:rPr>
            </w:pPr>
          </w:p>
        </w:tc>
      </w:tr>
      <w:tr w14:paraId="7B45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29B731A6">
            <w:pPr>
              <w:widowControl/>
              <w:ind w:firstLine="480"/>
              <w:rPr>
                <w:rFonts w:hint="eastAsia" w:ascii="宋体" w:hAnsi="宋体" w:eastAsia="宋体" w:cs="宋体"/>
                <w:color w:val="auto"/>
                <w:kern w:val="0"/>
              </w:rPr>
            </w:pPr>
          </w:p>
        </w:tc>
        <w:tc>
          <w:tcPr>
            <w:tcW w:w="2231" w:type="dxa"/>
          </w:tcPr>
          <w:p w14:paraId="28561E0A">
            <w:pPr>
              <w:widowControl/>
              <w:ind w:firstLine="480"/>
              <w:rPr>
                <w:rFonts w:hint="eastAsia" w:ascii="宋体" w:hAnsi="宋体" w:eastAsia="宋体" w:cs="宋体"/>
                <w:color w:val="auto"/>
                <w:kern w:val="0"/>
              </w:rPr>
            </w:pPr>
          </w:p>
        </w:tc>
        <w:tc>
          <w:tcPr>
            <w:tcW w:w="2191" w:type="dxa"/>
          </w:tcPr>
          <w:p w14:paraId="0D91B318">
            <w:pPr>
              <w:widowControl/>
              <w:ind w:firstLine="480"/>
              <w:rPr>
                <w:rFonts w:hint="eastAsia" w:ascii="宋体" w:hAnsi="宋体" w:eastAsia="宋体" w:cs="宋体"/>
                <w:color w:val="auto"/>
                <w:kern w:val="0"/>
              </w:rPr>
            </w:pPr>
          </w:p>
        </w:tc>
        <w:tc>
          <w:tcPr>
            <w:tcW w:w="1592" w:type="dxa"/>
          </w:tcPr>
          <w:p w14:paraId="35433CBF">
            <w:pPr>
              <w:widowControl/>
              <w:ind w:firstLine="480"/>
              <w:rPr>
                <w:rFonts w:hint="eastAsia" w:ascii="宋体" w:hAnsi="宋体" w:eastAsia="宋体" w:cs="宋体"/>
                <w:color w:val="auto"/>
                <w:kern w:val="0"/>
              </w:rPr>
            </w:pPr>
          </w:p>
        </w:tc>
        <w:tc>
          <w:tcPr>
            <w:tcW w:w="1372" w:type="dxa"/>
          </w:tcPr>
          <w:p w14:paraId="168E8610">
            <w:pPr>
              <w:widowControl/>
              <w:ind w:firstLine="480"/>
              <w:rPr>
                <w:rFonts w:hint="eastAsia" w:ascii="宋体" w:hAnsi="宋体" w:eastAsia="宋体" w:cs="宋体"/>
                <w:color w:val="auto"/>
                <w:kern w:val="0"/>
              </w:rPr>
            </w:pPr>
          </w:p>
        </w:tc>
      </w:tr>
      <w:tr w14:paraId="4D90A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68A46D1E">
            <w:pPr>
              <w:widowControl/>
              <w:ind w:firstLine="480"/>
              <w:rPr>
                <w:rFonts w:hint="eastAsia" w:ascii="宋体" w:hAnsi="宋体" w:eastAsia="宋体" w:cs="宋体"/>
                <w:color w:val="auto"/>
                <w:kern w:val="0"/>
              </w:rPr>
            </w:pPr>
          </w:p>
        </w:tc>
        <w:tc>
          <w:tcPr>
            <w:tcW w:w="2231" w:type="dxa"/>
          </w:tcPr>
          <w:p w14:paraId="1FC62618">
            <w:pPr>
              <w:widowControl/>
              <w:ind w:firstLine="480"/>
              <w:rPr>
                <w:rFonts w:hint="eastAsia" w:ascii="宋体" w:hAnsi="宋体" w:eastAsia="宋体" w:cs="宋体"/>
                <w:color w:val="auto"/>
                <w:kern w:val="0"/>
              </w:rPr>
            </w:pPr>
          </w:p>
        </w:tc>
        <w:tc>
          <w:tcPr>
            <w:tcW w:w="2191" w:type="dxa"/>
          </w:tcPr>
          <w:p w14:paraId="75E5439E">
            <w:pPr>
              <w:widowControl/>
              <w:ind w:firstLine="480"/>
              <w:rPr>
                <w:rFonts w:hint="eastAsia" w:ascii="宋体" w:hAnsi="宋体" w:eastAsia="宋体" w:cs="宋体"/>
                <w:color w:val="auto"/>
                <w:kern w:val="0"/>
              </w:rPr>
            </w:pPr>
          </w:p>
        </w:tc>
        <w:tc>
          <w:tcPr>
            <w:tcW w:w="1592" w:type="dxa"/>
          </w:tcPr>
          <w:p w14:paraId="4B872149">
            <w:pPr>
              <w:widowControl/>
              <w:ind w:firstLine="480"/>
              <w:rPr>
                <w:rFonts w:hint="eastAsia" w:ascii="宋体" w:hAnsi="宋体" w:eastAsia="宋体" w:cs="宋体"/>
                <w:color w:val="auto"/>
                <w:kern w:val="0"/>
              </w:rPr>
            </w:pPr>
          </w:p>
        </w:tc>
        <w:tc>
          <w:tcPr>
            <w:tcW w:w="1372" w:type="dxa"/>
          </w:tcPr>
          <w:p w14:paraId="26EA9DE2">
            <w:pPr>
              <w:widowControl/>
              <w:ind w:firstLine="480"/>
              <w:rPr>
                <w:rFonts w:hint="eastAsia" w:ascii="宋体" w:hAnsi="宋体" w:eastAsia="宋体" w:cs="宋体"/>
                <w:color w:val="auto"/>
                <w:kern w:val="0"/>
              </w:rPr>
            </w:pPr>
          </w:p>
        </w:tc>
      </w:tr>
      <w:tr w14:paraId="3BD2D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7397F0A2">
            <w:pPr>
              <w:widowControl/>
              <w:ind w:firstLine="480"/>
              <w:rPr>
                <w:rFonts w:hint="eastAsia" w:ascii="宋体" w:hAnsi="宋体" w:eastAsia="宋体" w:cs="宋体"/>
                <w:color w:val="auto"/>
                <w:kern w:val="0"/>
              </w:rPr>
            </w:pPr>
          </w:p>
        </w:tc>
        <w:tc>
          <w:tcPr>
            <w:tcW w:w="2231" w:type="dxa"/>
          </w:tcPr>
          <w:p w14:paraId="22756745">
            <w:pPr>
              <w:widowControl/>
              <w:ind w:firstLine="480"/>
              <w:rPr>
                <w:rFonts w:hint="eastAsia" w:ascii="宋体" w:hAnsi="宋体" w:eastAsia="宋体" w:cs="宋体"/>
                <w:color w:val="auto"/>
                <w:kern w:val="0"/>
              </w:rPr>
            </w:pPr>
          </w:p>
        </w:tc>
        <w:tc>
          <w:tcPr>
            <w:tcW w:w="2191" w:type="dxa"/>
          </w:tcPr>
          <w:p w14:paraId="6FFE9E10">
            <w:pPr>
              <w:widowControl/>
              <w:ind w:firstLine="480"/>
              <w:rPr>
                <w:rFonts w:hint="eastAsia" w:ascii="宋体" w:hAnsi="宋体" w:eastAsia="宋体" w:cs="宋体"/>
                <w:color w:val="auto"/>
                <w:kern w:val="0"/>
              </w:rPr>
            </w:pPr>
          </w:p>
        </w:tc>
        <w:tc>
          <w:tcPr>
            <w:tcW w:w="1592" w:type="dxa"/>
          </w:tcPr>
          <w:p w14:paraId="4FD43859">
            <w:pPr>
              <w:widowControl/>
              <w:ind w:firstLine="480"/>
              <w:rPr>
                <w:rFonts w:hint="eastAsia" w:ascii="宋体" w:hAnsi="宋体" w:eastAsia="宋体" w:cs="宋体"/>
                <w:color w:val="auto"/>
                <w:kern w:val="0"/>
              </w:rPr>
            </w:pPr>
          </w:p>
        </w:tc>
        <w:tc>
          <w:tcPr>
            <w:tcW w:w="1372" w:type="dxa"/>
          </w:tcPr>
          <w:p w14:paraId="4BE6B632">
            <w:pPr>
              <w:widowControl/>
              <w:ind w:firstLine="480"/>
              <w:rPr>
                <w:rFonts w:hint="eastAsia" w:ascii="宋体" w:hAnsi="宋体" w:eastAsia="宋体" w:cs="宋体"/>
                <w:color w:val="auto"/>
                <w:kern w:val="0"/>
              </w:rPr>
            </w:pPr>
          </w:p>
        </w:tc>
      </w:tr>
      <w:tr w14:paraId="4E14A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674E9638">
            <w:pPr>
              <w:widowControl/>
              <w:ind w:firstLine="480"/>
              <w:rPr>
                <w:rFonts w:hint="eastAsia" w:ascii="宋体" w:hAnsi="宋体" w:eastAsia="宋体" w:cs="宋体"/>
                <w:color w:val="auto"/>
                <w:kern w:val="0"/>
              </w:rPr>
            </w:pPr>
          </w:p>
        </w:tc>
        <w:tc>
          <w:tcPr>
            <w:tcW w:w="2231" w:type="dxa"/>
          </w:tcPr>
          <w:p w14:paraId="50A5CE1E">
            <w:pPr>
              <w:widowControl/>
              <w:ind w:firstLine="480"/>
              <w:rPr>
                <w:rFonts w:hint="eastAsia" w:ascii="宋体" w:hAnsi="宋体" w:eastAsia="宋体" w:cs="宋体"/>
                <w:color w:val="auto"/>
                <w:kern w:val="0"/>
              </w:rPr>
            </w:pPr>
          </w:p>
        </w:tc>
        <w:tc>
          <w:tcPr>
            <w:tcW w:w="2191" w:type="dxa"/>
          </w:tcPr>
          <w:p w14:paraId="6C4276B4">
            <w:pPr>
              <w:widowControl/>
              <w:ind w:firstLine="480"/>
              <w:rPr>
                <w:rFonts w:hint="eastAsia" w:ascii="宋体" w:hAnsi="宋体" w:eastAsia="宋体" w:cs="宋体"/>
                <w:color w:val="auto"/>
                <w:kern w:val="0"/>
              </w:rPr>
            </w:pPr>
          </w:p>
        </w:tc>
        <w:tc>
          <w:tcPr>
            <w:tcW w:w="1592" w:type="dxa"/>
          </w:tcPr>
          <w:p w14:paraId="1C52CAD2">
            <w:pPr>
              <w:widowControl/>
              <w:ind w:firstLine="480"/>
              <w:rPr>
                <w:rFonts w:hint="eastAsia" w:ascii="宋体" w:hAnsi="宋体" w:eastAsia="宋体" w:cs="宋体"/>
                <w:color w:val="auto"/>
                <w:kern w:val="0"/>
              </w:rPr>
            </w:pPr>
          </w:p>
        </w:tc>
        <w:tc>
          <w:tcPr>
            <w:tcW w:w="1372" w:type="dxa"/>
          </w:tcPr>
          <w:p w14:paraId="7F201AAD">
            <w:pPr>
              <w:widowControl/>
              <w:ind w:firstLine="480"/>
              <w:rPr>
                <w:rFonts w:hint="eastAsia" w:ascii="宋体" w:hAnsi="宋体" w:eastAsia="宋体" w:cs="宋体"/>
                <w:color w:val="auto"/>
                <w:kern w:val="0"/>
              </w:rPr>
            </w:pPr>
          </w:p>
        </w:tc>
      </w:tr>
      <w:tr w14:paraId="7508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2AC1FF68">
            <w:pPr>
              <w:widowControl/>
              <w:ind w:firstLine="480"/>
              <w:rPr>
                <w:rFonts w:hint="eastAsia" w:ascii="宋体" w:hAnsi="宋体" w:eastAsia="宋体" w:cs="宋体"/>
                <w:color w:val="auto"/>
                <w:kern w:val="0"/>
              </w:rPr>
            </w:pPr>
            <w:r>
              <w:rPr>
                <w:rFonts w:hint="eastAsia" w:ascii="宋体" w:hAnsi="宋体" w:eastAsia="宋体" w:cs="宋体"/>
                <w:color w:val="auto"/>
                <w:kern w:val="0"/>
              </w:rPr>
              <w:t>...</w:t>
            </w:r>
          </w:p>
        </w:tc>
        <w:tc>
          <w:tcPr>
            <w:tcW w:w="2231" w:type="dxa"/>
          </w:tcPr>
          <w:p w14:paraId="6C1D922E">
            <w:pPr>
              <w:widowControl/>
              <w:ind w:firstLine="480"/>
              <w:rPr>
                <w:rFonts w:hint="eastAsia" w:ascii="宋体" w:hAnsi="宋体" w:eastAsia="宋体" w:cs="宋体"/>
                <w:color w:val="auto"/>
                <w:kern w:val="0"/>
              </w:rPr>
            </w:pPr>
          </w:p>
        </w:tc>
        <w:tc>
          <w:tcPr>
            <w:tcW w:w="2191" w:type="dxa"/>
          </w:tcPr>
          <w:p w14:paraId="473DF142">
            <w:pPr>
              <w:widowControl/>
              <w:ind w:firstLine="480"/>
              <w:rPr>
                <w:rFonts w:hint="eastAsia" w:ascii="宋体" w:hAnsi="宋体" w:eastAsia="宋体" w:cs="宋体"/>
                <w:color w:val="auto"/>
                <w:kern w:val="0"/>
              </w:rPr>
            </w:pPr>
          </w:p>
        </w:tc>
        <w:tc>
          <w:tcPr>
            <w:tcW w:w="1592" w:type="dxa"/>
          </w:tcPr>
          <w:p w14:paraId="17F2062D">
            <w:pPr>
              <w:widowControl/>
              <w:ind w:firstLine="480"/>
              <w:rPr>
                <w:rFonts w:hint="eastAsia" w:ascii="宋体" w:hAnsi="宋体" w:eastAsia="宋体" w:cs="宋体"/>
                <w:color w:val="auto"/>
                <w:kern w:val="0"/>
              </w:rPr>
            </w:pPr>
          </w:p>
        </w:tc>
        <w:tc>
          <w:tcPr>
            <w:tcW w:w="1372" w:type="dxa"/>
          </w:tcPr>
          <w:p w14:paraId="3D41FFDD">
            <w:pPr>
              <w:widowControl/>
              <w:ind w:firstLine="480"/>
              <w:rPr>
                <w:rFonts w:hint="eastAsia" w:ascii="宋体" w:hAnsi="宋体" w:eastAsia="宋体" w:cs="宋体"/>
                <w:color w:val="auto"/>
                <w:kern w:val="0"/>
              </w:rPr>
            </w:pPr>
          </w:p>
        </w:tc>
      </w:tr>
    </w:tbl>
    <w:p w14:paraId="3BC93DB7">
      <w:pPr>
        <w:adjustRightInd w:val="0"/>
        <w:snapToGrid w:val="0"/>
        <w:ind w:firstLine="600" w:firstLineChars="250"/>
        <w:rPr>
          <w:rFonts w:hint="eastAsia" w:ascii="宋体" w:hAnsi="宋体" w:eastAsia="宋体" w:cs="宋体"/>
          <w:bCs/>
          <w:color w:val="auto"/>
          <w:sz w:val="21"/>
          <w:szCs w:val="21"/>
        </w:rPr>
      </w:pPr>
      <w:r>
        <w:rPr>
          <w:rFonts w:hint="eastAsia" w:ascii="宋体" w:hAnsi="宋体" w:eastAsia="宋体" w:cs="宋体"/>
          <w:bCs/>
          <w:color w:val="auto"/>
          <w:szCs w:val="21"/>
        </w:rPr>
        <w:t>说明：</w:t>
      </w:r>
    </w:p>
    <w:p w14:paraId="7522A66E">
      <w:pPr>
        <w:adjustRightInd w:val="0"/>
        <w:snapToGrid w:val="0"/>
        <w:ind w:firstLine="600" w:firstLineChars="250"/>
        <w:rPr>
          <w:rFonts w:hint="eastAsia" w:ascii="宋体" w:hAnsi="宋体" w:eastAsia="宋体" w:cs="宋体"/>
          <w:bCs/>
          <w:color w:val="auto"/>
          <w:szCs w:val="21"/>
        </w:rPr>
      </w:pPr>
      <w:r>
        <w:rPr>
          <w:rFonts w:hint="eastAsia" w:ascii="宋体" w:hAnsi="宋体" w:eastAsia="宋体" w:cs="宋体"/>
          <w:bCs/>
          <w:color w:val="auto"/>
          <w:szCs w:val="21"/>
        </w:rPr>
        <w:t>1.本表需填写响应文件中与竞争性磋商文件要求中商务条款的偏离内容，商务部分不允许有负偏离。响应文件中商务响应与竞争性磋商文件要求完全一致的，不用在此表中逐一列出，此表空白视为完全响应，无偏离。</w:t>
      </w:r>
    </w:p>
    <w:p w14:paraId="00D503EC">
      <w:pPr>
        <w:adjustRightInd w:val="0"/>
        <w:snapToGrid w:val="0"/>
        <w:ind w:firstLine="600" w:firstLineChars="250"/>
        <w:rPr>
          <w:rFonts w:hint="eastAsia" w:ascii="宋体" w:hAnsi="宋体" w:eastAsia="宋体" w:cs="宋体"/>
          <w:bCs/>
          <w:color w:val="auto"/>
          <w:szCs w:val="21"/>
        </w:rPr>
      </w:pPr>
      <w:r>
        <w:rPr>
          <w:rFonts w:hint="eastAsia" w:ascii="宋体" w:hAnsi="宋体" w:eastAsia="宋体" w:cs="宋体"/>
          <w:bCs/>
          <w:color w:val="auto"/>
          <w:szCs w:val="21"/>
        </w:rPr>
        <w:t>2.供应商必须据实填写，不得虚假响应，否则将取消其磋商或成交资格，并按有关规定进</w:t>
      </w:r>
      <w:r>
        <w:rPr>
          <w:rFonts w:hint="eastAsia" w:ascii="宋体" w:hAnsi="宋体" w:eastAsia="宋体" w:cs="宋体"/>
          <w:bCs/>
          <w:color w:val="auto"/>
          <w:szCs w:val="21"/>
          <w:lang w:val="en-US" w:eastAsia="zh-CN"/>
        </w:rPr>
        <w:t>行</w:t>
      </w:r>
      <w:r>
        <w:rPr>
          <w:rFonts w:hint="eastAsia" w:ascii="宋体" w:hAnsi="宋体" w:eastAsia="宋体" w:cs="宋体"/>
          <w:bCs/>
          <w:color w:val="auto"/>
          <w:szCs w:val="21"/>
        </w:rPr>
        <w:t>处罚。</w:t>
      </w:r>
    </w:p>
    <w:p w14:paraId="4368F4C9">
      <w:pPr>
        <w:widowControl/>
        <w:ind w:firstLine="480"/>
        <w:rPr>
          <w:rFonts w:hint="eastAsia" w:ascii="宋体" w:hAnsi="宋体" w:eastAsia="宋体" w:cs="宋体"/>
          <w:color w:val="auto"/>
          <w:kern w:val="0"/>
          <w:lang w:val="zh-CN"/>
        </w:rPr>
      </w:pPr>
    </w:p>
    <w:p w14:paraId="3C01D69B">
      <w:pPr>
        <w:pStyle w:val="17"/>
        <w:ind w:firstLine="560"/>
        <w:rPr>
          <w:rFonts w:hint="eastAsia" w:ascii="宋体" w:hAnsi="宋体" w:eastAsia="宋体" w:cs="宋体"/>
          <w:color w:val="auto"/>
          <w:lang w:val="zh-CN"/>
        </w:rPr>
      </w:pPr>
    </w:p>
    <w:p w14:paraId="342BC46A">
      <w:pPr>
        <w:widowControl/>
        <w:ind w:firstLine="480"/>
        <w:rPr>
          <w:rFonts w:hint="eastAsia" w:ascii="宋体" w:hAnsi="宋体" w:eastAsia="宋体" w:cs="宋体"/>
          <w:color w:val="auto"/>
          <w:kern w:val="0"/>
        </w:rPr>
      </w:pPr>
      <w:r>
        <w:rPr>
          <w:rFonts w:hint="eastAsia" w:ascii="宋体" w:hAnsi="宋体" w:eastAsia="宋体" w:cs="宋体"/>
          <w:color w:val="auto"/>
          <w:kern w:val="0"/>
          <w:lang w:val="zh-CN"/>
        </w:rPr>
        <w:t>供应商</w:t>
      </w:r>
      <w:r>
        <w:rPr>
          <w:rFonts w:hint="eastAsia" w:ascii="宋体" w:hAnsi="宋体" w:eastAsia="宋体" w:cs="宋体"/>
          <w:color w:val="auto"/>
          <w:kern w:val="0"/>
        </w:rPr>
        <w:t>全称</w:t>
      </w:r>
      <w:r>
        <w:rPr>
          <w:rFonts w:hint="eastAsia" w:ascii="宋体" w:hAnsi="宋体" w:eastAsia="宋体" w:cs="宋体"/>
          <w:color w:val="auto"/>
          <w:kern w:val="0"/>
          <w:lang w:val="zh-CN"/>
        </w:rPr>
        <w:t>：</w:t>
      </w:r>
      <w:r>
        <w:rPr>
          <w:rFonts w:hint="eastAsia" w:ascii="宋体" w:hAnsi="宋体" w:eastAsia="宋体" w:cs="宋体"/>
          <w:color w:val="auto"/>
          <w:kern w:val="0"/>
          <w:u w:val="single"/>
        </w:rPr>
        <w:t xml:space="preserve">                           </w:t>
      </w:r>
      <w:r>
        <w:rPr>
          <w:rFonts w:hint="eastAsia" w:ascii="宋体" w:hAnsi="宋体" w:eastAsia="宋体" w:cs="宋体"/>
          <w:color w:val="auto"/>
          <w:kern w:val="0"/>
          <w:lang w:val="zh-CN"/>
        </w:rPr>
        <w:t>（公章）</w:t>
      </w:r>
    </w:p>
    <w:p w14:paraId="00866C83">
      <w:pPr>
        <w:widowControl/>
        <w:ind w:firstLine="480"/>
        <w:rPr>
          <w:rFonts w:hint="eastAsia" w:ascii="宋体" w:hAnsi="宋体" w:eastAsia="宋体" w:cs="宋体"/>
          <w:color w:val="auto"/>
          <w:kern w:val="0"/>
        </w:rPr>
      </w:pPr>
    </w:p>
    <w:p w14:paraId="7A5C2D1D">
      <w:pPr>
        <w:widowControl/>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法定代表人</w:t>
      </w:r>
      <w:r>
        <w:rPr>
          <w:rFonts w:hint="eastAsia" w:ascii="宋体" w:hAnsi="宋体" w:eastAsia="宋体" w:cs="宋体"/>
          <w:color w:val="auto"/>
          <w:kern w:val="0"/>
        </w:rPr>
        <w:t>或</w:t>
      </w:r>
      <w:r>
        <w:rPr>
          <w:rFonts w:hint="eastAsia" w:ascii="宋体" w:hAnsi="宋体" w:eastAsia="宋体" w:cs="宋体"/>
          <w:color w:val="auto"/>
          <w:kern w:val="0"/>
          <w:lang w:val="zh-CN"/>
        </w:rPr>
        <w:t>授权代表：</w:t>
      </w:r>
      <w:r>
        <w:rPr>
          <w:rFonts w:hint="eastAsia" w:ascii="宋体" w:hAnsi="宋体" w:eastAsia="宋体" w:cs="宋体"/>
          <w:color w:val="auto"/>
          <w:kern w:val="0"/>
          <w:u w:val="single"/>
        </w:rPr>
        <w:t xml:space="preserve">                 </w:t>
      </w:r>
      <w:r>
        <w:rPr>
          <w:rFonts w:hint="eastAsia" w:ascii="宋体" w:hAnsi="宋体" w:eastAsia="宋体" w:cs="宋体"/>
          <w:color w:val="auto"/>
          <w:kern w:val="0"/>
          <w:lang w:val="zh-CN"/>
        </w:rPr>
        <w:t>（签字</w:t>
      </w:r>
      <w:r>
        <w:rPr>
          <w:rFonts w:hint="eastAsia" w:ascii="宋体" w:hAnsi="宋体" w:eastAsia="宋体" w:cs="宋体"/>
          <w:color w:val="auto"/>
          <w:kern w:val="0"/>
          <w:lang w:val="en-US" w:eastAsia="zh-CN"/>
        </w:rPr>
        <w:t>或盖章</w:t>
      </w:r>
      <w:r>
        <w:rPr>
          <w:rFonts w:hint="eastAsia" w:ascii="宋体" w:hAnsi="宋体" w:eastAsia="宋体" w:cs="宋体"/>
          <w:color w:val="auto"/>
          <w:kern w:val="0"/>
          <w:lang w:val="zh-CN"/>
        </w:rPr>
        <w:t>）</w:t>
      </w:r>
    </w:p>
    <w:p w14:paraId="09023EF2">
      <w:pPr>
        <w:widowControl/>
        <w:ind w:firstLine="480"/>
        <w:rPr>
          <w:rFonts w:hint="eastAsia" w:ascii="宋体" w:hAnsi="宋体" w:eastAsia="宋体" w:cs="宋体"/>
          <w:color w:val="auto"/>
          <w:kern w:val="0"/>
        </w:rPr>
      </w:pPr>
    </w:p>
    <w:p w14:paraId="72B2B68D">
      <w:pPr>
        <w:pStyle w:val="4"/>
        <w:numPr>
          <w:ilvl w:val="1"/>
          <w:numId w:val="0"/>
        </w:numPr>
        <w:ind w:left="410" w:leftChars="0" w:hanging="410" w:hangingChars="171"/>
        <w:jc w:val="center"/>
        <w:rPr>
          <w:rFonts w:hint="eastAsia" w:ascii="宋体" w:hAnsi="宋体" w:eastAsia="宋体" w:cs="宋体"/>
          <w:b w:val="0"/>
          <w:color w:val="auto"/>
          <w:kern w:val="0"/>
          <w:sz w:val="24"/>
          <w:szCs w:val="24"/>
          <w:lang w:val="zh-CN" w:eastAsia="zh-CN" w:bidi="ar-SA"/>
        </w:rPr>
      </w:pPr>
      <w:r>
        <w:rPr>
          <w:rFonts w:hint="eastAsia" w:ascii="宋体" w:hAnsi="宋体" w:eastAsia="宋体" w:cs="宋体"/>
          <w:b w:val="0"/>
          <w:color w:val="auto"/>
          <w:kern w:val="0"/>
          <w:sz w:val="24"/>
          <w:lang w:val="zh-CN"/>
        </w:rPr>
        <w:t>年       月      日</w:t>
      </w:r>
    </w:p>
    <w:p w14:paraId="55D9B764">
      <w:pPr>
        <w:rPr>
          <w:rFonts w:hint="eastAsia" w:ascii="宋体" w:hAnsi="宋体" w:eastAsia="宋体" w:cs="宋体"/>
          <w:b w:val="0"/>
          <w:color w:val="auto"/>
          <w:kern w:val="0"/>
          <w:sz w:val="24"/>
          <w:szCs w:val="24"/>
          <w:lang w:val="zh-CN" w:eastAsia="zh-CN" w:bidi="ar-SA"/>
        </w:rPr>
      </w:pPr>
      <w:r>
        <w:rPr>
          <w:rFonts w:hint="eastAsia" w:ascii="宋体" w:hAnsi="宋体" w:eastAsia="宋体" w:cs="宋体"/>
          <w:b w:val="0"/>
          <w:color w:val="auto"/>
          <w:kern w:val="0"/>
          <w:sz w:val="24"/>
          <w:szCs w:val="24"/>
          <w:lang w:val="zh-CN" w:eastAsia="zh-CN" w:bidi="ar-SA"/>
        </w:rPr>
        <w:br w:type="page"/>
      </w:r>
    </w:p>
    <w:p w14:paraId="64304A02">
      <w:pPr>
        <w:widowControl/>
        <w:ind w:firstLine="0" w:firstLineChars="0"/>
        <w:jc w:val="center"/>
        <w:rPr>
          <w:rFonts w:hint="eastAsia" w:ascii="宋体" w:hAnsi="宋体" w:eastAsia="宋体" w:cs="宋体"/>
          <w:b/>
          <w:color w:val="auto"/>
          <w:sz w:val="28"/>
        </w:rPr>
      </w:pPr>
    </w:p>
    <w:p w14:paraId="57D0F78A">
      <w:pPr>
        <w:widowControl/>
        <w:ind w:firstLine="0" w:firstLineChars="0"/>
        <w:jc w:val="center"/>
        <w:rPr>
          <w:rFonts w:hint="eastAsia" w:ascii="宋体" w:hAnsi="宋体" w:eastAsia="宋体" w:cs="宋体"/>
          <w:b/>
          <w:color w:val="auto"/>
          <w:sz w:val="28"/>
          <w:lang w:val="zh-CN"/>
        </w:rPr>
      </w:pPr>
      <w:r>
        <w:rPr>
          <w:rFonts w:hint="eastAsia" w:ascii="宋体" w:hAnsi="宋体" w:eastAsia="宋体" w:cs="宋体"/>
          <w:b/>
          <w:color w:val="auto"/>
          <w:sz w:val="28"/>
        </w:rPr>
        <w:t>技术</w:t>
      </w:r>
      <w:r>
        <w:rPr>
          <w:rFonts w:hint="eastAsia" w:ascii="宋体" w:hAnsi="宋体" w:eastAsia="宋体" w:cs="宋体"/>
          <w:b/>
          <w:color w:val="auto"/>
          <w:sz w:val="28"/>
          <w:lang w:val="zh-CN"/>
        </w:rPr>
        <w:t>偏差表</w:t>
      </w:r>
    </w:p>
    <w:p w14:paraId="3760610D">
      <w:pPr>
        <w:pStyle w:val="17"/>
        <w:ind w:firstLine="560"/>
        <w:rPr>
          <w:rFonts w:hint="eastAsia" w:ascii="宋体" w:hAnsi="宋体" w:eastAsia="宋体" w:cs="宋体"/>
          <w:color w:val="auto"/>
          <w:lang w:val="zh-CN"/>
        </w:rPr>
      </w:pPr>
    </w:p>
    <w:p w14:paraId="6B68A532">
      <w:pPr>
        <w:widowControl/>
        <w:ind w:firstLine="480"/>
        <w:rPr>
          <w:rFonts w:hint="eastAsia" w:ascii="宋体" w:hAnsi="宋体" w:eastAsia="宋体" w:cs="宋体"/>
          <w:color w:val="auto"/>
          <w:kern w:val="0"/>
        </w:rPr>
      </w:pPr>
      <w:r>
        <w:rPr>
          <w:rFonts w:hint="eastAsia" w:ascii="宋体" w:hAnsi="宋体" w:eastAsia="宋体" w:cs="宋体"/>
          <w:color w:val="auto"/>
          <w:kern w:val="0"/>
          <w:highlight w:val="none"/>
          <w:u w:val="none"/>
          <w:lang w:val="en-US" w:eastAsia="zh-CN"/>
        </w:rPr>
        <w:t>项目编号</w:t>
      </w:r>
      <w:r>
        <w:rPr>
          <w:rFonts w:hint="eastAsia" w:ascii="宋体" w:hAnsi="宋体" w:eastAsia="宋体" w:cs="宋体"/>
          <w:color w:val="auto"/>
          <w:kern w:val="0"/>
        </w:rPr>
        <w:t>：</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第  </w:t>
      </w:r>
      <w:r>
        <w:rPr>
          <w:rFonts w:hint="eastAsia" w:ascii="宋体" w:hAnsi="宋体" w:eastAsia="宋体" w:cs="宋体"/>
          <w:color w:val="auto"/>
          <w:kern w:val="0"/>
          <w:lang w:val="zh-CN"/>
        </w:rPr>
        <w:t>页</w:t>
      </w:r>
      <w:r>
        <w:rPr>
          <w:rFonts w:hint="eastAsia" w:ascii="宋体" w:hAnsi="宋体" w:eastAsia="宋体" w:cs="宋体"/>
          <w:color w:val="auto"/>
          <w:kern w:val="0"/>
        </w:rPr>
        <w:t>，共  页</w:t>
      </w:r>
    </w:p>
    <w:tbl>
      <w:tblPr>
        <w:tblStyle w:val="46"/>
        <w:tblW w:w="8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0"/>
        <w:gridCol w:w="2231"/>
        <w:gridCol w:w="2191"/>
        <w:gridCol w:w="1592"/>
        <w:gridCol w:w="1372"/>
      </w:tblGrid>
      <w:tr w14:paraId="2E26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vAlign w:val="center"/>
          </w:tcPr>
          <w:p w14:paraId="734A8074">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序号</w:t>
            </w:r>
          </w:p>
        </w:tc>
        <w:tc>
          <w:tcPr>
            <w:tcW w:w="2231" w:type="dxa"/>
            <w:vAlign w:val="center"/>
          </w:tcPr>
          <w:p w14:paraId="37EDBCAA">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磋商文件</w:t>
            </w:r>
          </w:p>
          <w:p w14:paraId="05E09B15">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要求数据</w:t>
            </w:r>
          </w:p>
        </w:tc>
        <w:tc>
          <w:tcPr>
            <w:tcW w:w="2191" w:type="dxa"/>
            <w:vAlign w:val="center"/>
          </w:tcPr>
          <w:p w14:paraId="25F72990">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响应文件</w:t>
            </w:r>
          </w:p>
          <w:p w14:paraId="069ED199">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实际数据</w:t>
            </w:r>
          </w:p>
        </w:tc>
        <w:tc>
          <w:tcPr>
            <w:tcW w:w="1592" w:type="dxa"/>
            <w:vAlign w:val="center"/>
          </w:tcPr>
          <w:p w14:paraId="4C327353">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偏离</w:t>
            </w:r>
          </w:p>
        </w:tc>
        <w:tc>
          <w:tcPr>
            <w:tcW w:w="1372" w:type="dxa"/>
            <w:vAlign w:val="center"/>
          </w:tcPr>
          <w:p w14:paraId="11EF571E">
            <w:pPr>
              <w:widowControl/>
              <w:ind w:firstLine="0" w:firstLineChars="0"/>
              <w:jc w:val="center"/>
              <w:rPr>
                <w:rFonts w:hint="eastAsia" w:ascii="宋体" w:hAnsi="宋体" w:eastAsia="宋体" w:cs="宋体"/>
                <w:color w:val="auto"/>
                <w:kern w:val="0"/>
              </w:rPr>
            </w:pPr>
            <w:r>
              <w:rPr>
                <w:rFonts w:hint="eastAsia" w:ascii="宋体" w:hAnsi="宋体" w:eastAsia="宋体" w:cs="宋体"/>
                <w:color w:val="auto"/>
                <w:kern w:val="0"/>
              </w:rPr>
              <w:t>说明</w:t>
            </w:r>
          </w:p>
        </w:tc>
      </w:tr>
      <w:tr w14:paraId="6CF7C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0ED7F7DE">
            <w:pPr>
              <w:widowControl/>
              <w:ind w:firstLine="480"/>
              <w:rPr>
                <w:rFonts w:hint="eastAsia" w:ascii="宋体" w:hAnsi="宋体" w:eastAsia="宋体" w:cs="宋体"/>
                <w:color w:val="auto"/>
                <w:kern w:val="0"/>
              </w:rPr>
            </w:pPr>
          </w:p>
        </w:tc>
        <w:tc>
          <w:tcPr>
            <w:tcW w:w="2231" w:type="dxa"/>
          </w:tcPr>
          <w:p w14:paraId="18B5FFA1">
            <w:pPr>
              <w:widowControl/>
              <w:ind w:firstLine="480"/>
              <w:rPr>
                <w:rFonts w:hint="eastAsia" w:ascii="宋体" w:hAnsi="宋体" w:eastAsia="宋体" w:cs="宋体"/>
                <w:color w:val="auto"/>
                <w:kern w:val="0"/>
              </w:rPr>
            </w:pPr>
          </w:p>
        </w:tc>
        <w:tc>
          <w:tcPr>
            <w:tcW w:w="2191" w:type="dxa"/>
          </w:tcPr>
          <w:p w14:paraId="64349870">
            <w:pPr>
              <w:widowControl/>
              <w:ind w:firstLine="480"/>
              <w:rPr>
                <w:rFonts w:hint="eastAsia" w:ascii="宋体" w:hAnsi="宋体" w:eastAsia="宋体" w:cs="宋体"/>
                <w:color w:val="auto"/>
                <w:kern w:val="0"/>
              </w:rPr>
            </w:pPr>
          </w:p>
        </w:tc>
        <w:tc>
          <w:tcPr>
            <w:tcW w:w="1592" w:type="dxa"/>
          </w:tcPr>
          <w:p w14:paraId="56DFEF9D">
            <w:pPr>
              <w:widowControl/>
              <w:ind w:firstLine="480"/>
              <w:rPr>
                <w:rFonts w:hint="eastAsia" w:ascii="宋体" w:hAnsi="宋体" w:eastAsia="宋体" w:cs="宋体"/>
                <w:color w:val="auto"/>
                <w:kern w:val="0"/>
              </w:rPr>
            </w:pPr>
          </w:p>
        </w:tc>
        <w:tc>
          <w:tcPr>
            <w:tcW w:w="1372" w:type="dxa"/>
          </w:tcPr>
          <w:p w14:paraId="2A6533C4">
            <w:pPr>
              <w:widowControl/>
              <w:ind w:firstLine="480"/>
              <w:rPr>
                <w:rFonts w:hint="eastAsia" w:ascii="宋体" w:hAnsi="宋体" w:eastAsia="宋体" w:cs="宋体"/>
                <w:color w:val="auto"/>
                <w:kern w:val="0"/>
              </w:rPr>
            </w:pPr>
          </w:p>
        </w:tc>
      </w:tr>
      <w:tr w14:paraId="04407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4DCBDC96">
            <w:pPr>
              <w:widowControl/>
              <w:ind w:firstLine="480"/>
              <w:rPr>
                <w:rFonts w:hint="eastAsia" w:ascii="宋体" w:hAnsi="宋体" w:eastAsia="宋体" w:cs="宋体"/>
                <w:color w:val="auto"/>
                <w:kern w:val="0"/>
              </w:rPr>
            </w:pPr>
          </w:p>
        </w:tc>
        <w:tc>
          <w:tcPr>
            <w:tcW w:w="2231" w:type="dxa"/>
          </w:tcPr>
          <w:p w14:paraId="726E15B5">
            <w:pPr>
              <w:widowControl/>
              <w:ind w:firstLine="480"/>
              <w:rPr>
                <w:rFonts w:hint="eastAsia" w:ascii="宋体" w:hAnsi="宋体" w:eastAsia="宋体" w:cs="宋体"/>
                <w:color w:val="auto"/>
                <w:kern w:val="0"/>
              </w:rPr>
            </w:pPr>
          </w:p>
        </w:tc>
        <w:tc>
          <w:tcPr>
            <w:tcW w:w="2191" w:type="dxa"/>
          </w:tcPr>
          <w:p w14:paraId="357D3256">
            <w:pPr>
              <w:widowControl/>
              <w:ind w:firstLine="480"/>
              <w:rPr>
                <w:rFonts w:hint="eastAsia" w:ascii="宋体" w:hAnsi="宋体" w:eastAsia="宋体" w:cs="宋体"/>
                <w:color w:val="auto"/>
                <w:kern w:val="0"/>
              </w:rPr>
            </w:pPr>
          </w:p>
        </w:tc>
        <w:tc>
          <w:tcPr>
            <w:tcW w:w="1592" w:type="dxa"/>
          </w:tcPr>
          <w:p w14:paraId="7BF721B9">
            <w:pPr>
              <w:widowControl/>
              <w:ind w:firstLine="480"/>
              <w:rPr>
                <w:rFonts w:hint="eastAsia" w:ascii="宋体" w:hAnsi="宋体" w:eastAsia="宋体" w:cs="宋体"/>
                <w:color w:val="auto"/>
                <w:kern w:val="0"/>
              </w:rPr>
            </w:pPr>
          </w:p>
        </w:tc>
        <w:tc>
          <w:tcPr>
            <w:tcW w:w="1372" w:type="dxa"/>
          </w:tcPr>
          <w:p w14:paraId="720DAC38">
            <w:pPr>
              <w:widowControl/>
              <w:ind w:firstLine="480"/>
              <w:rPr>
                <w:rFonts w:hint="eastAsia" w:ascii="宋体" w:hAnsi="宋体" w:eastAsia="宋体" w:cs="宋体"/>
                <w:color w:val="auto"/>
                <w:kern w:val="0"/>
              </w:rPr>
            </w:pPr>
          </w:p>
        </w:tc>
      </w:tr>
      <w:tr w14:paraId="27F9E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77B2899A">
            <w:pPr>
              <w:widowControl/>
              <w:ind w:firstLine="480"/>
              <w:rPr>
                <w:rFonts w:hint="eastAsia" w:ascii="宋体" w:hAnsi="宋体" w:eastAsia="宋体" w:cs="宋体"/>
                <w:color w:val="auto"/>
                <w:kern w:val="0"/>
              </w:rPr>
            </w:pPr>
          </w:p>
        </w:tc>
        <w:tc>
          <w:tcPr>
            <w:tcW w:w="2231" w:type="dxa"/>
          </w:tcPr>
          <w:p w14:paraId="332662FF">
            <w:pPr>
              <w:widowControl/>
              <w:ind w:firstLine="480"/>
              <w:rPr>
                <w:rFonts w:hint="eastAsia" w:ascii="宋体" w:hAnsi="宋体" w:eastAsia="宋体" w:cs="宋体"/>
                <w:color w:val="auto"/>
                <w:kern w:val="0"/>
              </w:rPr>
            </w:pPr>
          </w:p>
        </w:tc>
        <w:tc>
          <w:tcPr>
            <w:tcW w:w="2191" w:type="dxa"/>
          </w:tcPr>
          <w:p w14:paraId="1BA80359">
            <w:pPr>
              <w:widowControl/>
              <w:ind w:firstLine="480"/>
              <w:rPr>
                <w:rFonts w:hint="eastAsia" w:ascii="宋体" w:hAnsi="宋体" w:eastAsia="宋体" w:cs="宋体"/>
                <w:color w:val="auto"/>
                <w:kern w:val="0"/>
              </w:rPr>
            </w:pPr>
          </w:p>
        </w:tc>
        <w:tc>
          <w:tcPr>
            <w:tcW w:w="1592" w:type="dxa"/>
          </w:tcPr>
          <w:p w14:paraId="16142C98">
            <w:pPr>
              <w:widowControl/>
              <w:ind w:firstLine="480"/>
              <w:rPr>
                <w:rFonts w:hint="eastAsia" w:ascii="宋体" w:hAnsi="宋体" w:eastAsia="宋体" w:cs="宋体"/>
                <w:color w:val="auto"/>
                <w:kern w:val="0"/>
              </w:rPr>
            </w:pPr>
          </w:p>
        </w:tc>
        <w:tc>
          <w:tcPr>
            <w:tcW w:w="1372" w:type="dxa"/>
          </w:tcPr>
          <w:p w14:paraId="0E85178C">
            <w:pPr>
              <w:widowControl/>
              <w:ind w:firstLine="480"/>
              <w:rPr>
                <w:rFonts w:hint="eastAsia" w:ascii="宋体" w:hAnsi="宋体" w:eastAsia="宋体" w:cs="宋体"/>
                <w:color w:val="auto"/>
                <w:kern w:val="0"/>
              </w:rPr>
            </w:pPr>
          </w:p>
        </w:tc>
      </w:tr>
      <w:tr w14:paraId="6BA96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570C3E38">
            <w:pPr>
              <w:widowControl/>
              <w:ind w:firstLine="480"/>
              <w:rPr>
                <w:rFonts w:hint="eastAsia" w:ascii="宋体" w:hAnsi="宋体" w:eastAsia="宋体" w:cs="宋体"/>
                <w:color w:val="auto"/>
                <w:kern w:val="0"/>
              </w:rPr>
            </w:pPr>
          </w:p>
        </w:tc>
        <w:tc>
          <w:tcPr>
            <w:tcW w:w="2231" w:type="dxa"/>
          </w:tcPr>
          <w:p w14:paraId="513820ED">
            <w:pPr>
              <w:widowControl/>
              <w:ind w:firstLine="480"/>
              <w:rPr>
                <w:rFonts w:hint="eastAsia" w:ascii="宋体" w:hAnsi="宋体" w:eastAsia="宋体" w:cs="宋体"/>
                <w:color w:val="auto"/>
                <w:kern w:val="0"/>
              </w:rPr>
            </w:pPr>
          </w:p>
        </w:tc>
        <w:tc>
          <w:tcPr>
            <w:tcW w:w="2191" w:type="dxa"/>
          </w:tcPr>
          <w:p w14:paraId="5A5C865A">
            <w:pPr>
              <w:widowControl/>
              <w:ind w:firstLine="480"/>
              <w:rPr>
                <w:rFonts w:hint="eastAsia" w:ascii="宋体" w:hAnsi="宋体" w:eastAsia="宋体" w:cs="宋体"/>
                <w:color w:val="auto"/>
                <w:kern w:val="0"/>
              </w:rPr>
            </w:pPr>
          </w:p>
        </w:tc>
        <w:tc>
          <w:tcPr>
            <w:tcW w:w="1592" w:type="dxa"/>
          </w:tcPr>
          <w:p w14:paraId="41570D7B">
            <w:pPr>
              <w:widowControl/>
              <w:ind w:firstLine="480"/>
              <w:rPr>
                <w:rFonts w:hint="eastAsia" w:ascii="宋体" w:hAnsi="宋体" w:eastAsia="宋体" w:cs="宋体"/>
                <w:color w:val="auto"/>
                <w:kern w:val="0"/>
              </w:rPr>
            </w:pPr>
          </w:p>
        </w:tc>
        <w:tc>
          <w:tcPr>
            <w:tcW w:w="1372" w:type="dxa"/>
          </w:tcPr>
          <w:p w14:paraId="5848991A">
            <w:pPr>
              <w:widowControl/>
              <w:ind w:firstLine="480"/>
              <w:rPr>
                <w:rFonts w:hint="eastAsia" w:ascii="宋体" w:hAnsi="宋体" w:eastAsia="宋体" w:cs="宋体"/>
                <w:color w:val="auto"/>
                <w:kern w:val="0"/>
              </w:rPr>
            </w:pPr>
          </w:p>
        </w:tc>
      </w:tr>
      <w:tr w14:paraId="672D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04C7C6FF">
            <w:pPr>
              <w:widowControl/>
              <w:ind w:firstLine="480"/>
              <w:rPr>
                <w:rFonts w:hint="eastAsia" w:ascii="宋体" w:hAnsi="宋体" w:eastAsia="宋体" w:cs="宋体"/>
                <w:color w:val="auto"/>
                <w:kern w:val="0"/>
              </w:rPr>
            </w:pPr>
          </w:p>
        </w:tc>
        <w:tc>
          <w:tcPr>
            <w:tcW w:w="2231" w:type="dxa"/>
          </w:tcPr>
          <w:p w14:paraId="68E43349">
            <w:pPr>
              <w:widowControl/>
              <w:ind w:firstLine="480"/>
              <w:rPr>
                <w:rFonts w:hint="eastAsia" w:ascii="宋体" w:hAnsi="宋体" w:eastAsia="宋体" w:cs="宋体"/>
                <w:color w:val="auto"/>
                <w:kern w:val="0"/>
              </w:rPr>
            </w:pPr>
          </w:p>
        </w:tc>
        <w:tc>
          <w:tcPr>
            <w:tcW w:w="2191" w:type="dxa"/>
          </w:tcPr>
          <w:p w14:paraId="7C4022D8">
            <w:pPr>
              <w:widowControl/>
              <w:ind w:firstLine="480"/>
              <w:rPr>
                <w:rFonts w:hint="eastAsia" w:ascii="宋体" w:hAnsi="宋体" w:eastAsia="宋体" w:cs="宋体"/>
                <w:color w:val="auto"/>
                <w:kern w:val="0"/>
              </w:rPr>
            </w:pPr>
          </w:p>
        </w:tc>
        <w:tc>
          <w:tcPr>
            <w:tcW w:w="1592" w:type="dxa"/>
          </w:tcPr>
          <w:p w14:paraId="0BC5F5CF">
            <w:pPr>
              <w:widowControl/>
              <w:ind w:firstLine="480"/>
              <w:rPr>
                <w:rFonts w:hint="eastAsia" w:ascii="宋体" w:hAnsi="宋体" w:eastAsia="宋体" w:cs="宋体"/>
                <w:color w:val="auto"/>
                <w:kern w:val="0"/>
              </w:rPr>
            </w:pPr>
          </w:p>
        </w:tc>
        <w:tc>
          <w:tcPr>
            <w:tcW w:w="1372" w:type="dxa"/>
          </w:tcPr>
          <w:p w14:paraId="3461CC82">
            <w:pPr>
              <w:widowControl/>
              <w:ind w:firstLine="480"/>
              <w:rPr>
                <w:rFonts w:hint="eastAsia" w:ascii="宋体" w:hAnsi="宋体" w:eastAsia="宋体" w:cs="宋体"/>
                <w:color w:val="auto"/>
                <w:kern w:val="0"/>
              </w:rPr>
            </w:pPr>
          </w:p>
        </w:tc>
      </w:tr>
      <w:tr w14:paraId="0968B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6220301C">
            <w:pPr>
              <w:widowControl/>
              <w:ind w:firstLine="480"/>
              <w:rPr>
                <w:rFonts w:hint="eastAsia" w:ascii="宋体" w:hAnsi="宋体" w:eastAsia="宋体" w:cs="宋体"/>
                <w:color w:val="auto"/>
                <w:kern w:val="0"/>
              </w:rPr>
            </w:pPr>
          </w:p>
        </w:tc>
        <w:tc>
          <w:tcPr>
            <w:tcW w:w="2231" w:type="dxa"/>
          </w:tcPr>
          <w:p w14:paraId="40BD50CD">
            <w:pPr>
              <w:widowControl/>
              <w:ind w:firstLine="480"/>
              <w:rPr>
                <w:rFonts w:hint="eastAsia" w:ascii="宋体" w:hAnsi="宋体" w:eastAsia="宋体" w:cs="宋体"/>
                <w:color w:val="auto"/>
                <w:kern w:val="0"/>
              </w:rPr>
            </w:pPr>
          </w:p>
        </w:tc>
        <w:tc>
          <w:tcPr>
            <w:tcW w:w="2191" w:type="dxa"/>
          </w:tcPr>
          <w:p w14:paraId="58BEA8F2">
            <w:pPr>
              <w:widowControl/>
              <w:ind w:firstLine="480"/>
              <w:rPr>
                <w:rFonts w:hint="eastAsia" w:ascii="宋体" w:hAnsi="宋体" w:eastAsia="宋体" w:cs="宋体"/>
                <w:color w:val="auto"/>
                <w:kern w:val="0"/>
              </w:rPr>
            </w:pPr>
          </w:p>
        </w:tc>
        <w:tc>
          <w:tcPr>
            <w:tcW w:w="1592" w:type="dxa"/>
          </w:tcPr>
          <w:p w14:paraId="451AC09E">
            <w:pPr>
              <w:widowControl/>
              <w:ind w:firstLine="480"/>
              <w:rPr>
                <w:rFonts w:hint="eastAsia" w:ascii="宋体" w:hAnsi="宋体" w:eastAsia="宋体" w:cs="宋体"/>
                <w:color w:val="auto"/>
                <w:kern w:val="0"/>
              </w:rPr>
            </w:pPr>
          </w:p>
        </w:tc>
        <w:tc>
          <w:tcPr>
            <w:tcW w:w="1372" w:type="dxa"/>
          </w:tcPr>
          <w:p w14:paraId="194E1D8B">
            <w:pPr>
              <w:widowControl/>
              <w:ind w:firstLine="480"/>
              <w:rPr>
                <w:rFonts w:hint="eastAsia" w:ascii="宋体" w:hAnsi="宋体" w:eastAsia="宋体" w:cs="宋体"/>
                <w:color w:val="auto"/>
                <w:kern w:val="0"/>
              </w:rPr>
            </w:pPr>
          </w:p>
        </w:tc>
      </w:tr>
      <w:tr w14:paraId="7DE1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37A7A3DA">
            <w:pPr>
              <w:widowControl/>
              <w:ind w:firstLine="480"/>
              <w:rPr>
                <w:rFonts w:hint="eastAsia" w:ascii="宋体" w:hAnsi="宋体" w:eastAsia="宋体" w:cs="宋体"/>
                <w:color w:val="auto"/>
                <w:kern w:val="0"/>
              </w:rPr>
            </w:pPr>
          </w:p>
        </w:tc>
        <w:tc>
          <w:tcPr>
            <w:tcW w:w="2231" w:type="dxa"/>
          </w:tcPr>
          <w:p w14:paraId="392D29E9">
            <w:pPr>
              <w:widowControl/>
              <w:ind w:firstLine="480"/>
              <w:rPr>
                <w:rFonts w:hint="eastAsia" w:ascii="宋体" w:hAnsi="宋体" w:eastAsia="宋体" w:cs="宋体"/>
                <w:color w:val="auto"/>
                <w:kern w:val="0"/>
              </w:rPr>
            </w:pPr>
          </w:p>
        </w:tc>
        <w:tc>
          <w:tcPr>
            <w:tcW w:w="2191" w:type="dxa"/>
          </w:tcPr>
          <w:p w14:paraId="3C682E71">
            <w:pPr>
              <w:widowControl/>
              <w:ind w:firstLine="480"/>
              <w:rPr>
                <w:rFonts w:hint="eastAsia" w:ascii="宋体" w:hAnsi="宋体" w:eastAsia="宋体" w:cs="宋体"/>
                <w:color w:val="auto"/>
                <w:kern w:val="0"/>
              </w:rPr>
            </w:pPr>
          </w:p>
        </w:tc>
        <w:tc>
          <w:tcPr>
            <w:tcW w:w="1592" w:type="dxa"/>
          </w:tcPr>
          <w:p w14:paraId="49F2803F">
            <w:pPr>
              <w:widowControl/>
              <w:ind w:firstLine="480"/>
              <w:rPr>
                <w:rFonts w:hint="eastAsia" w:ascii="宋体" w:hAnsi="宋体" w:eastAsia="宋体" w:cs="宋体"/>
                <w:color w:val="auto"/>
                <w:kern w:val="0"/>
              </w:rPr>
            </w:pPr>
          </w:p>
        </w:tc>
        <w:tc>
          <w:tcPr>
            <w:tcW w:w="1372" w:type="dxa"/>
          </w:tcPr>
          <w:p w14:paraId="00C15CDF">
            <w:pPr>
              <w:widowControl/>
              <w:ind w:firstLine="480"/>
              <w:rPr>
                <w:rFonts w:hint="eastAsia" w:ascii="宋体" w:hAnsi="宋体" w:eastAsia="宋体" w:cs="宋体"/>
                <w:color w:val="auto"/>
                <w:kern w:val="0"/>
              </w:rPr>
            </w:pPr>
          </w:p>
        </w:tc>
      </w:tr>
      <w:tr w14:paraId="5D1BE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14E67855">
            <w:pPr>
              <w:widowControl/>
              <w:ind w:firstLine="480"/>
              <w:rPr>
                <w:rFonts w:hint="eastAsia" w:ascii="宋体" w:hAnsi="宋体" w:eastAsia="宋体" w:cs="宋体"/>
                <w:color w:val="auto"/>
                <w:kern w:val="0"/>
              </w:rPr>
            </w:pPr>
          </w:p>
        </w:tc>
        <w:tc>
          <w:tcPr>
            <w:tcW w:w="2231" w:type="dxa"/>
          </w:tcPr>
          <w:p w14:paraId="4C541D62">
            <w:pPr>
              <w:widowControl/>
              <w:ind w:firstLine="480"/>
              <w:rPr>
                <w:rFonts w:hint="eastAsia" w:ascii="宋体" w:hAnsi="宋体" w:eastAsia="宋体" w:cs="宋体"/>
                <w:color w:val="auto"/>
                <w:kern w:val="0"/>
              </w:rPr>
            </w:pPr>
          </w:p>
        </w:tc>
        <w:tc>
          <w:tcPr>
            <w:tcW w:w="2191" w:type="dxa"/>
          </w:tcPr>
          <w:p w14:paraId="3E9D1DE5">
            <w:pPr>
              <w:widowControl/>
              <w:ind w:firstLine="480"/>
              <w:rPr>
                <w:rFonts w:hint="eastAsia" w:ascii="宋体" w:hAnsi="宋体" w:eastAsia="宋体" w:cs="宋体"/>
                <w:color w:val="auto"/>
                <w:kern w:val="0"/>
              </w:rPr>
            </w:pPr>
          </w:p>
        </w:tc>
        <w:tc>
          <w:tcPr>
            <w:tcW w:w="1592" w:type="dxa"/>
          </w:tcPr>
          <w:p w14:paraId="0FFF7302">
            <w:pPr>
              <w:widowControl/>
              <w:ind w:firstLine="480"/>
              <w:rPr>
                <w:rFonts w:hint="eastAsia" w:ascii="宋体" w:hAnsi="宋体" w:eastAsia="宋体" w:cs="宋体"/>
                <w:color w:val="auto"/>
                <w:kern w:val="0"/>
              </w:rPr>
            </w:pPr>
          </w:p>
        </w:tc>
        <w:tc>
          <w:tcPr>
            <w:tcW w:w="1372" w:type="dxa"/>
          </w:tcPr>
          <w:p w14:paraId="094F228E">
            <w:pPr>
              <w:widowControl/>
              <w:ind w:firstLine="480"/>
              <w:rPr>
                <w:rFonts w:hint="eastAsia" w:ascii="宋体" w:hAnsi="宋体" w:eastAsia="宋体" w:cs="宋体"/>
                <w:color w:val="auto"/>
                <w:kern w:val="0"/>
              </w:rPr>
            </w:pPr>
          </w:p>
        </w:tc>
      </w:tr>
      <w:tr w14:paraId="7034F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500989D0">
            <w:pPr>
              <w:widowControl/>
              <w:ind w:firstLine="480"/>
              <w:rPr>
                <w:rFonts w:hint="eastAsia" w:ascii="宋体" w:hAnsi="宋体" w:eastAsia="宋体" w:cs="宋体"/>
                <w:color w:val="auto"/>
                <w:kern w:val="0"/>
              </w:rPr>
            </w:pPr>
          </w:p>
        </w:tc>
        <w:tc>
          <w:tcPr>
            <w:tcW w:w="2231" w:type="dxa"/>
          </w:tcPr>
          <w:p w14:paraId="05A6ADA1">
            <w:pPr>
              <w:widowControl/>
              <w:ind w:firstLine="480"/>
              <w:rPr>
                <w:rFonts w:hint="eastAsia" w:ascii="宋体" w:hAnsi="宋体" w:eastAsia="宋体" w:cs="宋体"/>
                <w:color w:val="auto"/>
                <w:kern w:val="0"/>
              </w:rPr>
            </w:pPr>
          </w:p>
        </w:tc>
        <w:tc>
          <w:tcPr>
            <w:tcW w:w="2191" w:type="dxa"/>
          </w:tcPr>
          <w:p w14:paraId="628A173C">
            <w:pPr>
              <w:widowControl/>
              <w:ind w:firstLine="480"/>
              <w:rPr>
                <w:rFonts w:hint="eastAsia" w:ascii="宋体" w:hAnsi="宋体" w:eastAsia="宋体" w:cs="宋体"/>
                <w:color w:val="auto"/>
                <w:kern w:val="0"/>
              </w:rPr>
            </w:pPr>
          </w:p>
        </w:tc>
        <w:tc>
          <w:tcPr>
            <w:tcW w:w="1592" w:type="dxa"/>
          </w:tcPr>
          <w:p w14:paraId="4B49AE31">
            <w:pPr>
              <w:widowControl/>
              <w:ind w:firstLine="480"/>
              <w:rPr>
                <w:rFonts w:hint="eastAsia" w:ascii="宋体" w:hAnsi="宋体" w:eastAsia="宋体" w:cs="宋体"/>
                <w:color w:val="auto"/>
                <w:kern w:val="0"/>
              </w:rPr>
            </w:pPr>
          </w:p>
        </w:tc>
        <w:tc>
          <w:tcPr>
            <w:tcW w:w="1372" w:type="dxa"/>
          </w:tcPr>
          <w:p w14:paraId="488F1AC5">
            <w:pPr>
              <w:widowControl/>
              <w:ind w:firstLine="480"/>
              <w:rPr>
                <w:rFonts w:hint="eastAsia" w:ascii="宋体" w:hAnsi="宋体" w:eastAsia="宋体" w:cs="宋体"/>
                <w:color w:val="auto"/>
                <w:kern w:val="0"/>
              </w:rPr>
            </w:pPr>
          </w:p>
        </w:tc>
      </w:tr>
      <w:tr w14:paraId="0499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dxa"/>
          </w:tcPr>
          <w:p w14:paraId="3F131B7C">
            <w:pPr>
              <w:widowControl/>
              <w:ind w:firstLine="480"/>
              <w:rPr>
                <w:rFonts w:hint="eastAsia" w:ascii="宋体" w:hAnsi="宋体" w:eastAsia="宋体" w:cs="宋体"/>
                <w:color w:val="auto"/>
                <w:kern w:val="0"/>
              </w:rPr>
            </w:pPr>
            <w:r>
              <w:rPr>
                <w:rFonts w:hint="eastAsia" w:ascii="宋体" w:hAnsi="宋体" w:eastAsia="宋体" w:cs="宋体"/>
                <w:color w:val="auto"/>
                <w:kern w:val="0"/>
              </w:rPr>
              <w:t>...</w:t>
            </w:r>
          </w:p>
        </w:tc>
        <w:tc>
          <w:tcPr>
            <w:tcW w:w="2231" w:type="dxa"/>
          </w:tcPr>
          <w:p w14:paraId="455B87DF">
            <w:pPr>
              <w:widowControl/>
              <w:ind w:firstLine="480"/>
              <w:rPr>
                <w:rFonts w:hint="eastAsia" w:ascii="宋体" w:hAnsi="宋体" w:eastAsia="宋体" w:cs="宋体"/>
                <w:color w:val="auto"/>
                <w:kern w:val="0"/>
              </w:rPr>
            </w:pPr>
          </w:p>
        </w:tc>
        <w:tc>
          <w:tcPr>
            <w:tcW w:w="2191" w:type="dxa"/>
          </w:tcPr>
          <w:p w14:paraId="65654D0B">
            <w:pPr>
              <w:widowControl/>
              <w:ind w:firstLine="480"/>
              <w:rPr>
                <w:rFonts w:hint="eastAsia" w:ascii="宋体" w:hAnsi="宋体" w:eastAsia="宋体" w:cs="宋体"/>
                <w:color w:val="auto"/>
                <w:kern w:val="0"/>
              </w:rPr>
            </w:pPr>
          </w:p>
        </w:tc>
        <w:tc>
          <w:tcPr>
            <w:tcW w:w="1592" w:type="dxa"/>
          </w:tcPr>
          <w:p w14:paraId="73F2889E">
            <w:pPr>
              <w:widowControl/>
              <w:ind w:firstLine="480"/>
              <w:rPr>
                <w:rFonts w:hint="eastAsia" w:ascii="宋体" w:hAnsi="宋体" w:eastAsia="宋体" w:cs="宋体"/>
                <w:color w:val="auto"/>
                <w:kern w:val="0"/>
              </w:rPr>
            </w:pPr>
          </w:p>
        </w:tc>
        <w:tc>
          <w:tcPr>
            <w:tcW w:w="1372" w:type="dxa"/>
          </w:tcPr>
          <w:p w14:paraId="2D4A10F7">
            <w:pPr>
              <w:widowControl/>
              <w:ind w:firstLine="480"/>
              <w:rPr>
                <w:rFonts w:hint="eastAsia" w:ascii="宋体" w:hAnsi="宋体" w:eastAsia="宋体" w:cs="宋体"/>
                <w:color w:val="auto"/>
                <w:kern w:val="0"/>
              </w:rPr>
            </w:pPr>
          </w:p>
        </w:tc>
      </w:tr>
    </w:tbl>
    <w:p w14:paraId="6CDA7CD5">
      <w:pPr>
        <w:widowControl/>
        <w:ind w:firstLine="480"/>
        <w:rPr>
          <w:rFonts w:hint="eastAsia" w:ascii="宋体" w:hAnsi="宋体" w:eastAsia="宋体" w:cs="宋体"/>
          <w:color w:val="auto"/>
          <w:kern w:val="0"/>
        </w:rPr>
      </w:pPr>
      <w:r>
        <w:rPr>
          <w:rFonts w:hint="eastAsia" w:ascii="宋体" w:hAnsi="宋体" w:eastAsia="宋体" w:cs="宋体"/>
          <w:color w:val="auto"/>
          <w:kern w:val="0"/>
        </w:rPr>
        <w:t>说明：</w:t>
      </w:r>
    </w:p>
    <w:p w14:paraId="369F757F">
      <w:pPr>
        <w:widowControl/>
        <w:ind w:firstLine="480"/>
        <w:rPr>
          <w:rFonts w:hint="eastAsia" w:ascii="宋体" w:hAnsi="宋体" w:eastAsia="宋体" w:cs="宋体"/>
          <w:color w:val="auto"/>
          <w:kern w:val="0"/>
        </w:rPr>
      </w:pPr>
      <w:r>
        <w:rPr>
          <w:rFonts w:hint="eastAsia" w:ascii="宋体" w:hAnsi="宋体" w:eastAsia="宋体" w:cs="宋体"/>
          <w:color w:val="auto"/>
          <w:kern w:val="0"/>
        </w:rPr>
        <w:t>1、本表需填写响应文件中与竞争性磋商文件要求中技术条款有偏离（包括正偏离和负偏离）的内容，响应文件中技术响应与竞争性磋商文件要求完全一致的，不用在此表中逐一列出，此表空白视为完全响应，无偏离。</w:t>
      </w:r>
    </w:p>
    <w:p w14:paraId="7A6B02FC">
      <w:pPr>
        <w:widowControl/>
        <w:ind w:firstLine="480"/>
        <w:rPr>
          <w:rFonts w:hint="eastAsia" w:ascii="宋体" w:hAnsi="宋体" w:eastAsia="宋体" w:cs="宋体"/>
          <w:color w:val="auto"/>
          <w:kern w:val="0"/>
        </w:rPr>
      </w:pPr>
      <w:r>
        <w:rPr>
          <w:rFonts w:hint="eastAsia" w:ascii="宋体" w:hAnsi="宋体" w:eastAsia="宋体" w:cs="宋体"/>
          <w:color w:val="auto"/>
          <w:kern w:val="0"/>
        </w:rPr>
        <w:t>2、本表中技术指标有偏离部分，须在“说明”列标注其在响应文件的具体页码，并在响应文件证明资料中做显著标注。</w:t>
      </w:r>
    </w:p>
    <w:p w14:paraId="10927361">
      <w:pPr>
        <w:widowControl/>
        <w:ind w:firstLine="480"/>
        <w:rPr>
          <w:rFonts w:hint="eastAsia" w:ascii="宋体" w:hAnsi="宋体" w:eastAsia="宋体" w:cs="宋体"/>
          <w:bCs/>
          <w:color w:val="auto"/>
          <w:szCs w:val="21"/>
        </w:rPr>
      </w:pPr>
      <w:r>
        <w:rPr>
          <w:rFonts w:hint="eastAsia" w:ascii="宋体" w:hAnsi="宋体" w:eastAsia="宋体" w:cs="宋体"/>
          <w:color w:val="auto"/>
          <w:kern w:val="0"/>
        </w:rPr>
        <w:t>3、</w:t>
      </w:r>
      <w:r>
        <w:rPr>
          <w:rFonts w:hint="eastAsia" w:ascii="宋体" w:hAnsi="宋体" w:eastAsia="宋体" w:cs="宋体"/>
          <w:bCs/>
          <w:color w:val="auto"/>
          <w:szCs w:val="21"/>
        </w:rPr>
        <w:t>供应商必须据实填写，不得虚假响应，否则将取消其磋商或成交资格，并按有关规定进</w:t>
      </w:r>
      <w:r>
        <w:rPr>
          <w:rFonts w:hint="eastAsia" w:ascii="宋体" w:hAnsi="宋体" w:eastAsia="宋体" w:cs="宋体"/>
          <w:bCs/>
          <w:color w:val="auto"/>
          <w:szCs w:val="21"/>
          <w:lang w:val="en-US" w:eastAsia="zh-CN"/>
        </w:rPr>
        <w:t>行</w:t>
      </w:r>
      <w:r>
        <w:rPr>
          <w:rFonts w:hint="eastAsia" w:ascii="宋体" w:hAnsi="宋体" w:eastAsia="宋体" w:cs="宋体"/>
          <w:bCs/>
          <w:color w:val="auto"/>
          <w:szCs w:val="21"/>
        </w:rPr>
        <w:t xml:space="preserve">处罚。 </w:t>
      </w:r>
    </w:p>
    <w:p w14:paraId="6E5F28B2">
      <w:pPr>
        <w:widowControl/>
        <w:ind w:firstLine="480"/>
        <w:rPr>
          <w:rFonts w:hint="eastAsia" w:ascii="宋体" w:hAnsi="宋体" w:eastAsia="宋体" w:cs="宋体"/>
          <w:color w:val="auto"/>
          <w:kern w:val="0"/>
          <w:sz w:val="24"/>
          <w:szCs w:val="24"/>
          <w:lang w:val="zh-CN"/>
        </w:rPr>
      </w:pPr>
    </w:p>
    <w:p w14:paraId="4C636588">
      <w:pPr>
        <w:widowControl/>
        <w:ind w:firstLine="480"/>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zh-CN"/>
        </w:rPr>
        <w:t>供应商</w:t>
      </w:r>
      <w:r>
        <w:rPr>
          <w:rFonts w:hint="eastAsia" w:ascii="宋体" w:hAnsi="宋体" w:eastAsia="宋体" w:cs="宋体"/>
          <w:color w:val="auto"/>
          <w:kern w:val="0"/>
          <w:sz w:val="24"/>
          <w:szCs w:val="24"/>
        </w:rPr>
        <w:t>全称</w:t>
      </w:r>
      <w:r>
        <w:rPr>
          <w:rFonts w:hint="eastAsia" w:ascii="宋体" w:hAnsi="宋体" w:eastAsia="宋体" w:cs="宋体"/>
          <w:color w:val="auto"/>
          <w:kern w:val="0"/>
          <w:sz w:val="24"/>
          <w:szCs w:val="24"/>
          <w:lang w:val="zh-CN"/>
        </w:rPr>
        <w:t>：</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lang w:val="zh-CN"/>
        </w:rPr>
        <w:t>（公章）</w:t>
      </w:r>
    </w:p>
    <w:p w14:paraId="31767A48">
      <w:pPr>
        <w:widowControl/>
        <w:ind w:firstLine="480"/>
        <w:rPr>
          <w:rFonts w:hint="eastAsia" w:ascii="宋体" w:hAnsi="宋体" w:eastAsia="宋体" w:cs="宋体"/>
          <w:color w:val="auto"/>
          <w:kern w:val="0"/>
          <w:sz w:val="24"/>
          <w:szCs w:val="24"/>
        </w:rPr>
      </w:pPr>
    </w:p>
    <w:p w14:paraId="76842DAF">
      <w:pPr>
        <w:pStyle w:val="17"/>
        <w:rPr>
          <w:rFonts w:hint="eastAsia" w:ascii="宋体" w:hAnsi="宋体" w:eastAsia="宋体" w:cs="宋体"/>
          <w:color w:val="auto"/>
          <w:sz w:val="24"/>
          <w:szCs w:val="24"/>
          <w:lang w:val="zh-CN"/>
        </w:rPr>
      </w:pPr>
      <w:r>
        <w:rPr>
          <w:rFonts w:hint="eastAsia" w:ascii="宋体" w:hAnsi="宋体" w:eastAsia="宋体" w:cs="宋体"/>
          <w:color w:val="auto"/>
          <w:kern w:val="0"/>
          <w:sz w:val="24"/>
          <w:szCs w:val="24"/>
          <w:lang w:val="zh-CN"/>
        </w:rPr>
        <w:t>法定代表人</w:t>
      </w:r>
      <w:r>
        <w:rPr>
          <w:rFonts w:hint="eastAsia" w:ascii="宋体" w:hAnsi="宋体" w:eastAsia="宋体" w:cs="宋体"/>
          <w:color w:val="auto"/>
          <w:kern w:val="0"/>
          <w:sz w:val="24"/>
          <w:szCs w:val="24"/>
        </w:rPr>
        <w:t>或</w:t>
      </w:r>
      <w:r>
        <w:rPr>
          <w:rFonts w:hint="eastAsia" w:ascii="宋体" w:hAnsi="宋体" w:eastAsia="宋体" w:cs="宋体"/>
          <w:color w:val="auto"/>
          <w:kern w:val="0"/>
          <w:sz w:val="24"/>
          <w:szCs w:val="24"/>
          <w:lang w:val="zh-CN"/>
        </w:rPr>
        <w:t>授权代表：</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lang w:val="zh-CN"/>
        </w:rPr>
        <w:t>（签字</w:t>
      </w:r>
      <w:r>
        <w:rPr>
          <w:rFonts w:hint="eastAsia" w:ascii="宋体" w:hAnsi="宋体" w:eastAsia="宋体" w:cs="宋体"/>
          <w:color w:val="auto"/>
          <w:kern w:val="0"/>
          <w:sz w:val="24"/>
          <w:szCs w:val="24"/>
          <w:lang w:val="en-US" w:eastAsia="zh-CN"/>
        </w:rPr>
        <w:t>或盖章</w:t>
      </w:r>
      <w:r>
        <w:rPr>
          <w:rFonts w:hint="eastAsia" w:ascii="宋体" w:hAnsi="宋体" w:eastAsia="宋体" w:cs="宋体"/>
          <w:color w:val="auto"/>
          <w:kern w:val="0"/>
          <w:sz w:val="24"/>
          <w:szCs w:val="24"/>
          <w:lang w:val="zh-CN"/>
        </w:rPr>
        <w:t>）</w:t>
      </w:r>
    </w:p>
    <w:p w14:paraId="4A1A8734">
      <w:pPr>
        <w:widowControl/>
        <w:ind w:firstLine="6000" w:firstLineChars="2500"/>
        <w:rPr>
          <w:rFonts w:hint="eastAsia" w:ascii="宋体" w:hAnsi="宋体" w:eastAsia="宋体" w:cs="宋体"/>
          <w:color w:val="auto"/>
          <w:kern w:val="0"/>
          <w:highlight w:val="none"/>
          <w:lang w:val="zh-CN"/>
        </w:rPr>
      </w:pPr>
      <w:r>
        <w:rPr>
          <w:rFonts w:hint="eastAsia" w:ascii="宋体" w:hAnsi="宋体" w:eastAsia="宋体" w:cs="宋体"/>
          <w:b w:val="0"/>
          <w:color w:val="auto"/>
          <w:kern w:val="0"/>
          <w:sz w:val="24"/>
          <w:szCs w:val="24"/>
          <w:lang w:val="zh-CN" w:eastAsia="zh-CN" w:bidi="ar-SA"/>
        </w:rPr>
        <w:t>年       月      日</w:t>
      </w:r>
    </w:p>
    <w:p w14:paraId="0CFE355F">
      <w:pPr>
        <w:tabs>
          <w:tab w:val="left" w:pos="482"/>
        </w:tabs>
        <w:bidi w:val="0"/>
        <w:jc w:val="left"/>
        <w:rPr>
          <w:rFonts w:hint="eastAsia" w:ascii="宋体" w:hAnsi="宋体" w:eastAsia="宋体" w:cs="宋体"/>
          <w:color w:val="auto"/>
          <w:highlight w:val="none"/>
          <w:lang w:val="zh-CN" w:eastAsia="zh-CN"/>
        </w:rPr>
        <w:sectPr>
          <w:headerReference r:id="rId18" w:type="default"/>
          <w:footerReference r:id="rId19" w:type="default"/>
          <w:pgSz w:w="11907" w:h="16840"/>
          <w:pgMar w:top="936" w:right="1259" w:bottom="1418" w:left="1287" w:header="851" w:footer="992" w:gutter="0"/>
          <w:pgBorders>
            <w:top w:val="none" w:sz="0" w:space="0"/>
            <w:left w:val="none" w:sz="0" w:space="0"/>
            <w:bottom w:val="none" w:sz="0" w:space="0"/>
            <w:right w:val="none" w:sz="0" w:space="0"/>
          </w:pgBorders>
          <w:pgNumType w:fmt="decimal"/>
          <w:cols w:space="720" w:num="1"/>
          <w:docGrid w:linePitch="312" w:charSpace="0"/>
        </w:sectPr>
      </w:pPr>
    </w:p>
    <w:p w14:paraId="425E51AB">
      <w:pPr>
        <w:pStyle w:val="4"/>
        <w:numPr>
          <w:ilvl w:val="0"/>
          <w:numId w:val="0"/>
        </w:numPr>
        <w:ind w:left="478" w:hanging="481" w:hangingChars="171"/>
        <w:jc w:val="center"/>
        <w:rPr>
          <w:rFonts w:hint="eastAsia" w:ascii="宋体" w:hAnsi="宋体" w:eastAsia="宋体" w:cs="宋体"/>
          <w:color w:val="auto"/>
          <w:kern w:val="0"/>
          <w:szCs w:val="20"/>
          <w:highlight w:val="none"/>
          <w:lang w:val="zh-CN" w:eastAsia="zh-CN"/>
        </w:rPr>
      </w:pPr>
      <w:r>
        <w:rPr>
          <w:rFonts w:hint="eastAsia" w:ascii="宋体" w:hAnsi="宋体" w:eastAsia="宋体" w:cs="宋体"/>
          <w:color w:val="auto"/>
          <w:kern w:val="0"/>
          <w:szCs w:val="20"/>
          <w:highlight w:val="none"/>
          <w:lang w:val="en-US" w:eastAsia="zh-CN"/>
        </w:rPr>
        <w:t xml:space="preserve">第四部分  </w:t>
      </w:r>
      <w:r>
        <w:rPr>
          <w:rFonts w:hint="eastAsia" w:ascii="宋体" w:hAnsi="宋体" w:eastAsia="宋体" w:cs="宋体"/>
          <w:color w:val="auto"/>
          <w:kern w:val="0"/>
          <w:szCs w:val="20"/>
          <w:highlight w:val="none"/>
          <w:lang w:val="zh-CN" w:eastAsia="zh-CN"/>
        </w:rPr>
        <w:t>供应商承诺书</w:t>
      </w:r>
      <w:bookmarkEnd w:id="125"/>
      <w:bookmarkEnd w:id="126"/>
      <w:bookmarkEnd w:id="127"/>
      <w:bookmarkEnd w:id="128"/>
      <w:bookmarkEnd w:id="129"/>
    </w:p>
    <w:p w14:paraId="66B5AC2C">
      <w:pPr>
        <w:widowControl/>
        <w:rPr>
          <w:rFonts w:hint="eastAsia" w:ascii="宋体" w:hAnsi="宋体" w:eastAsia="宋体" w:cs="宋体"/>
          <w:b/>
          <w:bCs/>
          <w:color w:val="auto"/>
          <w:kern w:val="0"/>
          <w:highlight w:val="none"/>
        </w:rPr>
      </w:pPr>
    </w:p>
    <w:p w14:paraId="623290E4">
      <w:pPr>
        <w:widowControl/>
        <w:ind w:firstLine="0" w:firstLineChars="0"/>
        <w:outlineLvl w:val="0"/>
        <w:rPr>
          <w:rFonts w:hint="eastAsia" w:ascii="宋体" w:hAnsi="宋体" w:eastAsia="宋体" w:cs="宋体"/>
          <w:b/>
          <w:bCs/>
          <w:color w:val="auto"/>
          <w:kern w:val="0"/>
          <w:sz w:val="28"/>
          <w:szCs w:val="28"/>
          <w:highlight w:val="none"/>
        </w:rPr>
      </w:pPr>
      <w:bookmarkStart w:id="131" w:name="_Toc8155_WPSOffice_Level1"/>
      <w:bookmarkStart w:id="132" w:name="_Toc19222"/>
      <w:bookmarkStart w:id="133" w:name="_Toc23907"/>
      <w:bookmarkStart w:id="134" w:name="_Toc26074_WPSOffice_Level1"/>
      <w:bookmarkStart w:id="135" w:name="_Toc25285_WPSOffice_Level1"/>
      <w:bookmarkStart w:id="136" w:name="_Toc15915_WPSOffice_Level1"/>
      <w:bookmarkStart w:id="137" w:name="_Toc26135_WPSOffice_Level1"/>
      <w:bookmarkStart w:id="138" w:name="_Toc10289_WPSOffice_Level1"/>
      <w:r>
        <w:rPr>
          <w:rFonts w:hint="eastAsia" w:ascii="宋体" w:hAnsi="宋体" w:eastAsia="宋体" w:cs="宋体"/>
          <w:b/>
          <w:bCs/>
          <w:color w:val="auto"/>
          <w:kern w:val="0"/>
          <w:sz w:val="28"/>
          <w:szCs w:val="28"/>
        </w:rPr>
        <w:t>陕西四方衡裕项目管理有限公司</w:t>
      </w:r>
      <w:r>
        <w:rPr>
          <w:rFonts w:hint="eastAsia" w:ascii="宋体" w:hAnsi="宋体" w:eastAsia="宋体" w:cs="宋体"/>
          <w:b/>
          <w:bCs/>
          <w:color w:val="auto"/>
          <w:kern w:val="0"/>
          <w:sz w:val="28"/>
          <w:szCs w:val="28"/>
          <w:highlight w:val="none"/>
        </w:rPr>
        <w:t>：</w:t>
      </w:r>
      <w:bookmarkEnd w:id="131"/>
      <w:bookmarkEnd w:id="132"/>
      <w:bookmarkEnd w:id="133"/>
      <w:bookmarkEnd w:id="134"/>
      <w:bookmarkEnd w:id="135"/>
      <w:bookmarkEnd w:id="136"/>
      <w:bookmarkEnd w:id="137"/>
      <w:bookmarkEnd w:id="138"/>
    </w:p>
    <w:p w14:paraId="335F299F">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作为参加贵单位组织的</w:t>
      </w:r>
      <w:r>
        <w:rPr>
          <w:rFonts w:hint="eastAsia" w:ascii="宋体" w:hAnsi="宋体" w:eastAsia="宋体" w:cs="宋体"/>
          <w:color w:val="auto"/>
          <w:kern w:val="0"/>
          <w:highlight w:val="none"/>
          <w:u w:val="single"/>
          <w:lang w:val="zh-CN"/>
        </w:rPr>
        <w:t>（</w:t>
      </w:r>
      <w:r>
        <w:rPr>
          <w:rFonts w:hint="eastAsia" w:ascii="宋体" w:hAnsi="宋体" w:eastAsia="宋体" w:cs="宋体"/>
          <w:color w:val="auto"/>
          <w:kern w:val="0"/>
          <w:highlight w:val="none"/>
          <w:u w:val="single"/>
        </w:rPr>
        <w:t>采购</w:t>
      </w:r>
      <w:r>
        <w:rPr>
          <w:rFonts w:hint="eastAsia" w:ascii="宋体" w:hAnsi="宋体" w:eastAsia="宋体" w:cs="宋体"/>
          <w:color w:val="auto"/>
          <w:kern w:val="0"/>
          <w:highlight w:val="none"/>
          <w:u w:val="single"/>
          <w:lang w:val="zh-CN"/>
        </w:rPr>
        <w:t>项目名称）（</w:t>
      </w:r>
      <w:r>
        <w:rPr>
          <w:rFonts w:hint="eastAsia" w:ascii="宋体" w:hAnsi="宋体" w:eastAsia="宋体" w:cs="宋体"/>
          <w:color w:val="auto"/>
          <w:kern w:val="0"/>
          <w:highlight w:val="none"/>
          <w:u w:val="single"/>
          <w:lang w:val="en-US" w:eastAsia="zh-CN"/>
        </w:rPr>
        <w:t>项目编号</w:t>
      </w:r>
      <w:r>
        <w:rPr>
          <w:rFonts w:hint="eastAsia" w:ascii="宋体" w:hAnsi="宋体" w:eastAsia="宋体" w:cs="宋体"/>
          <w:color w:val="auto"/>
          <w:kern w:val="0"/>
          <w:highlight w:val="none"/>
          <w:u w:val="single"/>
          <w:lang w:val="zh-CN"/>
        </w:rPr>
        <w:t>）</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rPr>
        <w:t>的供应商，本公司郑重承诺：</w:t>
      </w:r>
    </w:p>
    <w:p w14:paraId="68F372B4">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1、在参加本项目响应之前不存在被依法禁止经营行为、财产被接管或冻结的情况，如有隐瞒实情，愿承担一切责任及后果。</w:t>
      </w:r>
    </w:p>
    <w:p w14:paraId="22F4DEDE">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2、近三年受到有关行政主管部门的行政处理、不良行为记录为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次（没有填零），如有隐瞒实情，愿承担一切责任及后果。</w:t>
      </w:r>
    </w:p>
    <w:p w14:paraId="6A824B2C">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3、参加本次响应提交的所有证明文件及业绩证明文件是真实的、有效的，如有隐瞒实情，愿承担一切责任及后果。</w:t>
      </w:r>
    </w:p>
    <w:p w14:paraId="55F3DF2A">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w:t>
      </w:r>
    </w:p>
    <w:p w14:paraId="1646B72A">
      <w:pPr>
        <w:widowControl/>
        <w:rPr>
          <w:rFonts w:hint="eastAsia" w:ascii="宋体" w:hAnsi="宋体" w:eastAsia="宋体" w:cs="宋体"/>
          <w:color w:val="auto"/>
          <w:kern w:val="0"/>
          <w:highlight w:val="none"/>
        </w:rPr>
      </w:pPr>
    </w:p>
    <w:p w14:paraId="0459B2C9">
      <w:pPr>
        <w:widowControl/>
        <w:rPr>
          <w:rFonts w:hint="eastAsia" w:ascii="宋体" w:hAnsi="宋体" w:eastAsia="宋体" w:cs="宋体"/>
          <w:color w:val="auto"/>
          <w:kern w:val="0"/>
          <w:highlight w:val="none"/>
        </w:rPr>
      </w:pPr>
    </w:p>
    <w:p w14:paraId="669F3C52">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供应商</w:t>
      </w:r>
      <w:r>
        <w:rPr>
          <w:rFonts w:hint="eastAsia" w:ascii="宋体" w:hAnsi="宋体" w:eastAsia="宋体" w:cs="宋体"/>
          <w:color w:val="auto"/>
          <w:kern w:val="0"/>
          <w:highlight w:val="none"/>
        </w:rPr>
        <w:t>全称</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（公章）</w:t>
      </w:r>
    </w:p>
    <w:p w14:paraId="527A0C68">
      <w:pPr>
        <w:widowControl/>
        <w:rPr>
          <w:rFonts w:hint="eastAsia" w:ascii="宋体" w:hAnsi="宋体" w:eastAsia="宋体" w:cs="宋体"/>
          <w:color w:val="auto"/>
          <w:kern w:val="0"/>
          <w:highlight w:val="none"/>
        </w:rPr>
      </w:pPr>
    </w:p>
    <w:p w14:paraId="4C4A9EE8">
      <w:pPr>
        <w:widowControl/>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法定代表人</w:t>
      </w:r>
      <w:r>
        <w:rPr>
          <w:rFonts w:hint="eastAsia" w:ascii="宋体" w:hAnsi="宋体" w:eastAsia="宋体" w:cs="宋体"/>
          <w:color w:val="auto"/>
          <w:kern w:val="0"/>
          <w:highlight w:val="none"/>
        </w:rPr>
        <w:t>或</w:t>
      </w:r>
      <w:r>
        <w:rPr>
          <w:rFonts w:hint="eastAsia" w:ascii="宋体" w:hAnsi="宋体" w:eastAsia="宋体" w:cs="宋体"/>
          <w:color w:val="auto"/>
          <w:kern w:val="0"/>
          <w:highlight w:val="none"/>
          <w:lang w:val="zh-CN"/>
        </w:rPr>
        <w:t>授权代表：</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lang w:val="zh-CN"/>
        </w:rPr>
        <w:t xml:space="preserve"> </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w:t>
      </w:r>
      <w:r>
        <w:rPr>
          <w:rFonts w:hint="eastAsia" w:ascii="宋体" w:hAnsi="宋体" w:eastAsia="宋体" w:cs="宋体"/>
          <w:color w:val="auto"/>
          <w:kern w:val="0"/>
          <w:lang w:val="zh-CN"/>
        </w:rPr>
        <w:t>签字</w:t>
      </w:r>
      <w:r>
        <w:rPr>
          <w:rFonts w:hint="eastAsia" w:ascii="宋体" w:hAnsi="宋体" w:eastAsia="宋体" w:cs="宋体"/>
          <w:color w:val="auto"/>
          <w:kern w:val="0"/>
          <w:lang w:val="en-US" w:eastAsia="zh-CN"/>
        </w:rPr>
        <w:t>或盖章</w:t>
      </w:r>
      <w:r>
        <w:rPr>
          <w:rFonts w:hint="eastAsia" w:ascii="宋体" w:hAnsi="宋体" w:eastAsia="宋体" w:cs="宋体"/>
          <w:color w:val="auto"/>
          <w:kern w:val="0"/>
          <w:highlight w:val="none"/>
          <w:lang w:val="zh-CN"/>
        </w:rPr>
        <w:t>）</w:t>
      </w:r>
    </w:p>
    <w:p w14:paraId="09B82991">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 xml:space="preserve">  </w:t>
      </w:r>
    </w:p>
    <w:p w14:paraId="5D631B07">
      <w:pPr>
        <w:widowControl/>
        <w:ind w:firstLine="6000" w:firstLineChars="25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 xml:space="preserve"> 年       月      日</w:t>
      </w:r>
    </w:p>
    <w:p w14:paraId="6AA5946B">
      <w:pPr>
        <w:widowControl/>
        <w:rPr>
          <w:rFonts w:hint="eastAsia" w:ascii="宋体" w:hAnsi="宋体" w:eastAsia="宋体" w:cs="宋体"/>
          <w:b/>
          <w:bCs/>
          <w:color w:val="auto"/>
          <w:kern w:val="0"/>
          <w:highlight w:val="none"/>
          <w:lang w:val="zh-CN"/>
        </w:rPr>
      </w:pPr>
    </w:p>
    <w:p w14:paraId="7E693303">
      <w:pPr>
        <w:widowControl/>
        <w:rPr>
          <w:rFonts w:hint="eastAsia" w:ascii="宋体" w:hAnsi="宋体" w:eastAsia="宋体" w:cs="宋体"/>
          <w:b/>
          <w:bCs/>
          <w:color w:val="auto"/>
          <w:kern w:val="0"/>
          <w:highlight w:val="none"/>
          <w:lang w:val="zh-CN"/>
        </w:rPr>
      </w:pPr>
    </w:p>
    <w:p w14:paraId="793B315D">
      <w:pPr>
        <w:widowControl/>
        <w:rPr>
          <w:rFonts w:hint="eastAsia" w:ascii="宋体" w:hAnsi="宋体" w:eastAsia="宋体" w:cs="宋体"/>
          <w:b/>
          <w:bCs/>
          <w:color w:val="auto"/>
          <w:kern w:val="0"/>
          <w:highlight w:val="none"/>
          <w:lang w:val="zh-CN"/>
        </w:rPr>
      </w:pPr>
    </w:p>
    <w:p w14:paraId="57A8D2A9">
      <w:pPr>
        <w:widowControl/>
        <w:rPr>
          <w:rFonts w:hint="eastAsia" w:ascii="宋体" w:hAnsi="宋体" w:eastAsia="宋体" w:cs="宋体"/>
          <w:b/>
          <w:bCs/>
          <w:color w:val="auto"/>
          <w:kern w:val="0"/>
          <w:highlight w:val="none"/>
          <w:lang w:val="zh-CN"/>
        </w:rPr>
      </w:pPr>
    </w:p>
    <w:p w14:paraId="512FCCA2">
      <w:pPr>
        <w:widowControl/>
        <w:rPr>
          <w:rFonts w:hint="eastAsia" w:ascii="宋体" w:hAnsi="宋体" w:eastAsia="宋体" w:cs="宋体"/>
          <w:b/>
          <w:bCs/>
          <w:color w:val="auto"/>
          <w:kern w:val="0"/>
          <w:highlight w:val="none"/>
          <w:lang w:val="zh-CN"/>
        </w:rPr>
      </w:pPr>
    </w:p>
    <w:p w14:paraId="406C6B66">
      <w:pPr>
        <w:widowControl/>
        <w:rPr>
          <w:rFonts w:hint="eastAsia" w:ascii="宋体" w:hAnsi="宋体" w:eastAsia="宋体" w:cs="宋体"/>
          <w:b/>
          <w:bCs/>
          <w:color w:val="auto"/>
          <w:kern w:val="0"/>
          <w:highlight w:val="none"/>
          <w:lang w:val="zh-CN"/>
        </w:rPr>
      </w:pPr>
    </w:p>
    <w:p w14:paraId="4E2E1262">
      <w:pPr>
        <w:widowControl/>
        <w:jc w:val="center"/>
        <w:rPr>
          <w:rStyle w:val="60"/>
          <w:rFonts w:hint="eastAsia" w:ascii="宋体" w:hAnsi="宋体" w:eastAsia="宋体" w:cs="宋体"/>
          <w:color w:val="auto"/>
          <w:szCs w:val="22"/>
          <w:highlight w:val="none"/>
          <w:lang w:val="zh-CN"/>
        </w:rPr>
      </w:pPr>
    </w:p>
    <w:p w14:paraId="14AC04FC">
      <w:pPr>
        <w:widowControl/>
        <w:jc w:val="center"/>
        <w:rPr>
          <w:rStyle w:val="60"/>
          <w:rFonts w:hint="eastAsia" w:ascii="宋体" w:hAnsi="宋体" w:eastAsia="宋体" w:cs="宋体"/>
          <w:color w:val="auto"/>
          <w:szCs w:val="22"/>
          <w:highlight w:val="none"/>
          <w:lang w:val="zh-CN"/>
        </w:rPr>
        <w:sectPr>
          <w:pgSz w:w="11906" w:h="16838"/>
          <w:pgMar w:top="1418" w:right="1304" w:bottom="1418" w:left="1247" w:header="851" w:footer="992" w:gutter="0"/>
          <w:pgBorders>
            <w:top w:val="none" w:sz="0" w:space="0"/>
            <w:left w:val="none" w:sz="0" w:space="0"/>
            <w:bottom w:val="none" w:sz="0" w:space="0"/>
            <w:right w:val="none" w:sz="0" w:space="0"/>
          </w:pgBorders>
          <w:pgNumType w:fmt="decimal"/>
          <w:cols w:space="720" w:num="1"/>
          <w:docGrid w:linePitch="312" w:charSpace="0"/>
        </w:sectPr>
      </w:pPr>
      <w:bookmarkStart w:id="139" w:name="_Toc533610817"/>
    </w:p>
    <w:p w14:paraId="05EE1535">
      <w:pPr>
        <w:pStyle w:val="4"/>
        <w:numPr>
          <w:ilvl w:val="0"/>
          <w:numId w:val="0"/>
        </w:numPr>
        <w:ind w:left="480" w:leftChars="200"/>
        <w:jc w:val="center"/>
        <w:rPr>
          <w:rFonts w:hint="eastAsia" w:ascii="宋体" w:hAnsi="宋体" w:eastAsia="宋体" w:cs="宋体"/>
          <w:color w:val="auto"/>
          <w:highlight w:val="none"/>
          <w:lang w:val="zh-CN"/>
        </w:rPr>
      </w:pPr>
      <w:bookmarkStart w:id="140" w:name="_Toc1667_WPSOffice_Level1"/>
      <w:bookmarkStart w:id="141" w:name="_Toc12125_WPSOffice_Level1"/>
      <w:bookmarkStart w:id="142" w:name="_Toc30354"/>
      <w:bookmarkStart w:id="143" w:name="_Toc6155_WPSOffice_Level1"/>
      <w:bookmarkStart w:id="144" w:name="_Toc26795_WPSOffice_Level1"/>
      <w:bookmarkStart w:id="145" w:name="_Toc25525_WPSOffice_Level1"/>
      <w:bookmarkStart w:id="146" w:name="_Toc19936_WPSOffice_Level1"/>
      <w:r>
        <w:rPr>
          <w:rFonts w:hint="eastAsia" w:ascii="宋体" w:hAnsi="宋体" w:eastAsia="宋体" w:cs="宋体"/>
          <w:color w:val="auto"/>
          <w:highlight w:val="none"/>
          <w:lang w:val="zh-CN"/>
        </w:rPr>
        <w:t>第</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lang w:val="zh-CN"/>
        </w:rPr>
        <w:t>部分  供应商企业关系关联承诺书</w:t>
      </w:r>
      <w:bookmarkEnd w:id="139"/>
      <w:bookmarkEnd w:id="140"/>
      <w:bookmarkEnd w:id="141"/>
      <w:bookmarkEnd w:id="142"/>
      <w:bookmarkEnd w:id="143"/>
      <w:bookmarkEnd w:id="144"/>
      <w:bookmarkEnd w:id="145"/>
      <w:bookmarkEnd w:id="146"/>
    </w:p>
    <w:p w14:paraId="72EDC5CE">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1、供应商股东及股权证明。</w:t>
      </w:r>
    </w:p>
    <w:p w14:paraId="654E0933">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2、供应商在本项目响应中，不存在与其它供应商负责人为同一人，有控股、管理等关联关系承诺。</w:t>
      </w:r>
    </w:p>
    <w:p w14:paraId="1B351B12">
      <w:pPr>
        <w:widowControl/>
        <w:rPr>
          <w:rFonts w:hint="eastAsia" w:ascii="宋体" w:hAnsi="宋体" w:eastAsia="宋体" w:cs="宋体"/>
          <w:color w:val="auto"/>
          <w:kern w:val="0"/>
          <w:highlight w:val="none"/>
        </w:rPr>
      </w:pPr>
      <w:bookmarkStart w:id="147" w:name="_Toc5492_WPSOffice_Level2"/>
      <w:bookmarkStart w:id="148" w:name="_Toc16551_WPSOffice_Level2"/>
      <w:r>
        <w:rPr>
          <w:rFonts w:hint="eastAsia" w:ascii="宋体" w:hAnsi="宋体" w:eastAsia="宋体" w:cs="宋体"/>
          <w:color w:val="auto"/>
          <w:kern w:val="0"/>
          <w:highlight w:val="none"/>
        </w:rPr>
        <w:t>2-1</w:t>
      </w:r>
      <w:r>
        <w:rPr>
          <w:rFonts w:hint="eastAsia" w:ascii="宋体" w:hAnsi="宋体" w:eastAsia="宋体" w:cs="宋体"/>
          <w:color w:val="auto"/>
          <w:kern w:val="0"/>
          <w:highlight w:val="none"/>
          <w:lang w:val="en-US" w:eastAsia="zh-CN"/>
        </w:rPr>
        <w:t xml:space="preserve"> </w:t>
      </w:r>
      <w:r>
        <w:rPr>
          <w:rFonts w:hint="eastAsia" w:ascii="宋体" w:hAnsi="宋体" w:eastAsia="宋体" w:cs="宋体"/>
          <w:color w:val="auto"/>
          <w:kern w:val="0"/>
          <w:highlight w:val="none"/>
        </w:rPr>
        <w:t>管理关系说明：</w:t>
      </w:r>
      <w:bookmarkEnd w:id="147"/>
      <w:bookmarkEnd w:id="148"/>
    </w:p>
    <w:p w14:paraId="15011480">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我单位管理的具有独立法人的下属单位有：</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w:t>
      </w:r>
    </w:p>
    <w:p w14:paraId="5BBB81C7">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我单位的上级管理单位有</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p>
    <w:p w14:paraId="1018F672">
      <w:pPr>
        <w:widowControl/>
        <w:rPr>
          <w:rFonts w:hint="eastAsia" w:ascii="宋体" w:hAnsi="宋体" w:eastAsia="宋体" w:cs="宋体"/>
          <w:color w:val="auto"/>
          <w:kern w:val="0"/>
          <w:highlight w:val="none"/>
        </w:rPr>
      </w:pPr>
      <w:bookmarkStart w:id="149" w:name="_Toc20314_WPSOffice_Level2"/>
      <w:bookmarkStart w:id="150" w:name="_Toc29718_WPSOffice_Level2"/>
      <w:r>
        <w:rPr>
          <w:rFonts w:hint="eastAsia" w:ascii="宋体" w:hAnsi="宋体" w:eastAsia="宋体" w:cs="宋体"/>
          <w:color w:val="auto"/>
          <w:kern w:val="0"/>
          <w:highlight w:val="none"/>
        </w:rPr>
        <w:t>2-2</w:t>
      </w:r>
      <w:r>
        <w:rPr>
          <w:rFonts w:hint="eastAsia" w:ascii="宋体" w:hAnsi="宋体" w:eastAsia="宋体" w:cs="宋体"/>
          <w:color w:val="auto"/>
          <w:kern w:val="0"/>
          <w:highlight w:val="none"/>
          <w:lang w:val="en-US" w:eastAsia="zh-CN"/>
        </w:rPr>
        <w:t xml:space="preserve"> </w:t>
      </w:r>
      <w:r>
        <w:rPr>
          <w:rFonts w:hint="eastAsia" w:ascii="宋体" w:hAnsi="宋体" w:eastAsia="宋体" w:cs="宋体"/>
          <w:color w:val="auto"/>
          <w:kern w:val="0"/>
          <w:highlight w:val="none"/>
        </w:rPr>
        <w:t>股权关系说明：</w:t>
      </w:r>
      <w:bookmarkEnd w:id="149"/>
      <w:bookmarkEnd w:id="150"/>
    </w:p>
    <w:p w14:paraId="11E157EF">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我单位控股的单位有</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w:t>
      </w:r>
    </w:p>
    <w:p w14:paraId="78F0F6F1">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我单位被</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单位控股。</w:t>
      </w:r>
    </w:p>
    <w:p w14:paraId="06AC3C72">
      <w:pPr>
        <w:widowControl/>
        <w:rPr>
          <w:rFonts w:hint="eastAsia" w:ascii="宋体" w:hAnsi="宋体" w:eastAsia="宋体" w:cs="宋体"/>
          <w:color w:val="auto"/>
          <w:kern w:val="0"/>
          <w:highlight w:val="none"/>
          <w:u w:val="single"/>
        </w:rPr>
      </w:pPr>
      <w:bookmarkStart w:id="151" w:name="_Toc32538_WPSOffice_Level2"/>
      <w:bookmarkStart w:id="152" w:name="_Toc32291_WPSOffice_Level2"/>
      <w:r>
        <w:rPr>
          <w:rFonts w:hint="eastAsia" w:ascii="宋体" w:hAnsi="宋体" w:eastAsia="宋体" w:cs="宋体"/>
          <w:color w:val="auto"/>
          <w:kern w:val="0"/>
          <w:highlight w:val="none"/>
        </w:rPr>
        <w:t>2-3</w:t>
      </w:r>
      <w:r>
        <w:rPr>
          <w:rFonts w:hint="eastAsia" w:ascii="宋体" w:hAnsi="宋体" w:eastAsia="宋体" w:cs="宋体"/>
          <w:color w:val="auto"/>
          <w:kern w:val="0"/>
          <w:highlight w:val="none"/>
          <w:lang w:val="en-US" w:eastAsia="zh-CN"/>
        </w:rPr>
        <w:t xml:space="preserve"> </w:t>
      </w:r>
      <w:r>
        <w:rPr>
          <w:rFonts w:hint="eastAsia" w:ascii="宋体" w:hAnsi="宋体" w:eastAsia="宋体" w:cs="宋体"/>
          <w:color w:val="auto"/>
          <w:kern w:val="0"/>
          <w:highlight w:val="none"/>
        </w:rPr>
        <w:t>单位负责人：</w:t>
      </w:r>
      <w:bookmarkEnd w:id="151"/>
      <w:bookmarkEnd w:id="152"/>
      <w:r>
        <w:rPr>
          <w:rFonts w:hint="eastAsia" w:ascii="宋体" w:hAnsi="宋体" w:eastAsia="宋体" w:cs="宋体"/>
          <w:color w:val="auto"/>
          <w:kern w:val="0"/>
          <w:highlight w:val="none"/>
          <w:u w:val="single"/>
        </w:rPr>
        <w:t xml:space="preserve">              </w:t>
      </w:r>
    </w:p>
    <w:p w14:paraId="6ED3F61D">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3、其他与本项目有关的利害关系说明：</w:t>
      </w:r>
      <w:r>
        <w:rPr>
          <w:rFonts w:hint="eastAsia" w:ascii="宋体" w:hAnsi="宋体" w:eastAsia="宋体" w:cs="宋体"/>
          <w:color w:val="auto"/>
          <w:kern w:val="0"/>
          <w:highlight w:val="none"/>
          <w:u w:val="single"/>
        </w:rPr>
        <w:t xml:space="preserve">                </w:t>
      </w:r>
    </w:p>
    <w:p w14:paraId="40F58CD2">
      <w:pPr>
        <w:widowControl/>
        <w:rPr>
          <w:rFonts w:hint="eastAsia" w:ascii="宋体" w:hAnsi="宋体" w:eastAsia="宋体" w:cs="宋体"/>
          <w:color w:val="auto"/>
          <w:kern w:val="0"/>
          <w:highlight w:val="none"/>
        </w:rPr>
      </w:pPr>
    </w:p>
    <w:p w14:paraId="3C1C61FB">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我单位承诺以上说明真实有效，无虚假内容或隐瞒。</w:t>
      </w:r>
    </w:p>
    <w:p w14:paraId="4D8E038F">
      <w:pPr>
        <w:widowControl/>
        <w:rPr>
          <w:rFonts w:hint="eastAsia" w:ascii="宋体" w:hAnsi="宋体" w:eastAsia="宋体" w:cs="宋体"/>
          <w:color w:val="auto"/>
          <w:kern w:val="0"/>
          <w:highlight w:val="none"/>
        </w:rPr>
      </w:pPr>
    </w:p>
    <w:p w14:paraId="3B05F991">
      <w:pPr>
        <w:widowControl/>
        <w:rPr>
          <w:rFonts w:hint="eastAsia" w:ascii="宋体" w:hAnsi="宋体" w:eastAsia="宋体" w:cs="宋体"/>
          <w:color w:val="auto"/>
          <w:kern w:val="0"/>
          <w:highlight w:val="none"/>
        </w:rPr>
      </w:pPr>
    </w:p>
    <w:p w14:paraId="278A4D47">
      <w:pPr>
        <w:widowControl/>
        <w:rPr>
          <w:rFonts w:hint="eastAsia" w:ascii="宋体" w:hAnsi="宋体" w:eastAsia="宋体" w:cs="宋体"/>
          <w:color w:val="auto"/>
          <w:kern w:val="0"/>
          <w:highlight w:val="none"/>
        </w:rPr>
      </w:pPr>
      <w:bookmarkStart w:id="153" w:name="_Toc7353_WPSOffice_Level1"/>
      <w:bookmarkStart w:id="154" w:name="_Toc533610818"/>
      <w:r>
        <w:rPr>
          <w:rFonts w:hint="eastAsia" w:ascii="宋体" w:hAnsi="宋体" w:eastAsia="宋体" w:cs="宋体"/>
          <w:color w:val="auto"/>
          <w:kern w:val="0"/>
          <w:highlight w:val="none"/>
          <w:lang w:val="zh-CN"/>
        </w:rPr>
        <w:t>供应商</w:t>
      </w:r>
      <w:r>
        <w:rPr>
          <w:rFonts w:hint="eastAsia" w:ascii="宋体" w:hAnsi="宋体" w:eastAsia="宋体" w:cs="宋体"/>
          <w:color w:val="auto"/>
          <w:kern w:val="0"/>
          <w:highlight w:val="none"/>
        </w:rPr>
        <w:t>全称</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（公章）</w:t>
      </w:r>
    </w:p>
    <w:p w14:paraId="5BF27F7D">
      <w:pPr>
        <w:widowControl/>
        <w:rPr>
          <w:rFonts w:hint="eastAsia" w:ascii="宋体" w:hAnsi="宋体" w:eastAsia="宋体" w:cs="宋体"/>
          <w:color w:val="auto"/>
          <w:kern w:val="0"/>
          <w:highlight w:val="none"/>
        </w:rPr>
      </w:pPr>
    </w:p>
    <w:p w14:paraId="1A16D2F8">
      <w:pPr>
        <w:widowControl/>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法定代表人</w:t>
      </w:r>
      <w:r>
        <w:rPr>
          <w:rFonts w:hint="eastAsia" w:ascii="宋体" w:hAnsi="宋体" w:eastAsia="宋体" w:cs="宋体"/>
          <w:color w:val="auto"/>
          <w:kern w:val="0"/>
          <w:highlight w:val="none"/>
        </w:rPr>
        <w:t>或</w:t>
      </w:r>
      <w:r>
        <w:rPr>
          <w:rFonts w:hint="eastAsia" w:ascii="宋体" w:hAnsi="宋体" w:eastAsia="宋体" w:cs="宋体"/>
          <w:color w:val="auto"/>
          <w:kern w:val="0"/>
          <w:highlight w:val="none"/>
          <w:lang w:val="zh-CN"/>
        </w:rPr>
        <w:t>授权代表：</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lang w:val="zh-CN"/>
        </w:rPr>
        <w:t xml:space="preserve"> </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w:t>
      </w:r>
      <w:r>
        <w:rPr>
          <w:rFonts w:hint="eastAsia" w:ascii="宋体" w:hAnsi="宋体" w:eastAsia="宋体" w:cs="宋体"/>
          <w:color w:val="auto"/>
          <w:kern w:val="0"/>
          <w:lang w:val="zh-CN"/>
        </w:rPr>
        <w:t>签字</w:t>
      </w:r>
      <w:r>
        <w:rPr>
          <w:rFonts w:hint="eastAsia" w:ascii="宋体" w:hAnsi="宋体" w:eastAsia="宋体" w:cs="宋体"/>
          <w:color w:val="auto"/>
          <w:kern w:val="0"/>
          <w:lang w:val="en-US" w:eastAsia="zh-CN"/>
        </w:rPr>
        <w:t>或盖章</w:t>
      </w:r>
      <w:r>
        <w:rPr>
          <w:rFonts w:hint="eastAsia" w:ascii="宋体" w:hAnsi="宋体" w:eastAsia="宋体" w:cs="宋体"/>
          <w:color w:val="auto"/>
          <w:kern w:val="0"/>
          <w:highlight w:val="none"/>
          <w:lang w:val="zh-CN"/>
        </w:rPr>
        <w:t>）</w:t>
      </w:r>
    </w:p>
    <w:p w14:paraId="32A05F4D">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 xml:space="preserve">  </w:t>
      </w:r>
    </w:p>
    <w:p w14:paraId="7F985BEE">
      <w:pPr>
        <w:widowControl/>
        <w:ind w:firstLine="6000" w:firstLineChars="25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 xml:space="preserve"> 年       月      日</w:t>
      </w:r>
    </w:p>
    <w:p w14:paraId="75BD62E5">
      <w:pPr>
        <w:pStyle w:val="4"/>
        <w:numPr>
          <w:ilvl w:val="0"/>
          <w:numId w:val="0"/>
        </w:numPr>
        <w:jc w:val="center"/>
        <w:rPr>
          <w:rFonts w:hint="eastAsia" w:ascii="宋体" w:hAnsi="宋体" w:eastAsia="宋体" w:cs="宋体"/>
          <w:color w:val="auto"/>
          <w:highlight w:val="none"/>
          <w:lang w:val="zh-CN"/>
        </w:rPr>
        <w:sectPr>
          <w:pgSz w:w="11906" w:h="16838"/>
          <w:pgMar w:top="1418" w:right="1304" w:bottom="1418" w:left="1247" w:header="851" w:footer="992" w:gutter="0"/>
          <w:pgBorders>
            <w:top w:val="none" w:sz="0" w:space="0"/>
            <w:left w:val="none" w:sz="0" w:space="0"/>
            <w:bottom w:val="none" w:sz="0" w:space="0"/>
            <w:right w:val="none" w:sz="0" w:space="0"/>
          </w:pgBorders>
          <w:pgNumType w:fmt="decimal"/>
          <w:cols w:space="720" w:num="1"/>
          <w:docGrid w:linePitch="312" w:charSpace="0"/>
        </w:sectPr>
      </w:pPr>
    </w:p>
    <w:p w14:paraId="5027CCFE">
      <w:pPr>
        <w:pStyle w:val="4"/>
        <w:numPr>
          <w:ilvl w:val="0"/>
          <w:numId w:val="0"/>
        </w:numPr>
        <w:jc w:val="center"/>
        <w:rPr>
          <w:rFonts w:hint="eastAsia" w:ascii="宋体" w:hAnsi="宋体" w:eastAsia="宋体" w:cs="宋体"/>
          <w:color w:val="auto"/>
          <w:highlight w:val="none"/>
          <w:lang w:val="zh-CN"/>
        </w:rPr>
      </w:pPr>
      <w:bookmarkStart w:id="155" w:name="_Toc279_WPSOffice_Level1"/>
      <w:bookmarkStart w:id="156" w:name="_Toc23676_WPSOffice_Level1"/>
      <w:bookmarkStart w:id="157" w:name="_Toc22306"/>
      <w:bookmarkStart w:id="158" w:name="_Toc18774_WPSOffice_Level1"/>
      <w:bookmarkStart w:id="159" w:name="_Toc27206_WPSOffice_Level1"/>
      <w:bookmarkStart w:id="160" w:name="_Toc17271_WPSOffice_Level1"/>
      <w:r>
        <w:rPr>
          <w:rFonts w:hint="eastAsia" w:ascii="宋体" w:hAnsi="宋体" w:eastAsia="宋体" w:cs="宋体"/>
          <w:color w:val="auto"/>
          <w:highlight w:val="none"/>
          <w:lang w:val="zh-CN"/>
        </w:rPr>
        <w:t>第</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lang w:val="zh-CN"/>
        </w:rPr>
        <w:t>部分  资格证明文件</w:t>
      </w:r>
      <w:bookmarkEnd w:id="153"/>
      <w:bookmarkEnd w:id="154"/>
      <w:bookmarkEnd w:id="155"/>
      <w:bookmarkEnd w:id="156"/>
      <w:bookmarkEnd w:id="157"/>
      <w:bookmarkEnd w:id="158"/>
      <w:bookmarkEnd w:id="159"/>
      <w:bookmarkEnd w:id="160"/>
    </w:p>
    <w:p w14:paraId="717DF9EF">
      <w:pPr>
        <w:widowControl/>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备注：响应文件中资格证明文件须加盖供应商公章，且内容与原件一致，否则按无效响应处理。</w:t>
      </w:r>
    </w:p>
    <w:p w14:paraId="0052B818">
      <w:pPr>
        <w:rPr>
          <w:rFonts w:hint="eastAsia" w:ascii="宋体" w:hAnsi="宋体" w:eastAsia="宋体" w:cs="宋体"/>
          <w:b/>
          <w:bCs/>
          <w:color w:val="auto"/>
          <w:sz w:val="28"/>
          <w:szCs w:val="28"/>
          <w:highlight w:val="none"/>
          <w:lang w:val="zh-CN"/>
        </w:rPr>
      </w:pPr>
      <w:bookmarkStart w:id="161" w:name="_Toc7817_WPSOffice_Level2"/>
      <w:r>
        <w:rPr>
          <w:rFonts w:hint="eastAsia" w:ascii="宋体" w:hAnsi="宋体" w:eastAsia="宋体" w:cs="宋体"/>
          <w:b/>
          <w:bCs/>
          <w:color w:val="auto"/>
          <w:sz w:val="28"/>
          <w:szCs w:val="28"/>
          <w:highlight w:val="none"/>
          <w:lang w:val="zh-CN"/>
        </w:rPr>
        <w:br w:type="page"/>
      </w:r>
    </w:p>
    <w:p w14:paraId="120848C6">
      <w:pPr>
        <w:jc w:val="center"/>
        <w:rPr>
          <w:rFonts w:hint="eastAsia" w:ascii="宋体" w:hAnsi="宋体" w:eastAsia="宋体" w:cs="宋体"/>
          <w:b/>
          <w:bCs/>
          <w:color w:val="auto"/>
          <w:sz w:val="28"/>
          <w:szCs w:val="28"/>
          <w:highlight w:val="none"/>
          <w:lang w:val="zh-CN"/>
        </w:rPr>
      </w:pPr>
    </w:p>
    <w:p w14:paraId="4BBC4E60">
      <w:pPr>
        <w:jc w:val="center"/>
        <w:rPr>
          <w:rFonts w:hint="eastAsia" w:ascii="宋体" w:hAnsi="宋体" w:eastAsia="宋体" w:cs="宋体"/>
          <w:b/>
          <w:color w:val="auto"/>
          <w:sz w:val="32"/>
          <w:szCs w:val="32"/>
          <w:highlight w:val="none"/>
        </w:rPr>
      </w:pPr>
      <w:r>
        <w:rPr>
          <w:rFonts w:hint="eastAsia" w:ascii="宋体" w:hAnsi="宋体" w:eastAsia="宋体" w:cs="宋体"/>
          <w:b/>
          <w:bCs/>
          <w:color w:val="auto"/>
          <w:sz w:val="28"/>
          <w:szCs w:val="28"/>
          <w:highlight w:val="none"/>
          <w:lang w:val="zh-CN"/>
        </w:rPr>
        <w:t>法定代表人（单位负责人/自然人）身份证明</w:t>
      </w:r>
    </w:p>
    <w:p w14:paraId="00870BB2">
      <w:pPr>
        <w:autoSpaceDE w:val="0"/>
        <w:autoSpaceDN w:val="0"/>
        <w:adjustRightInd w:val="0"/>
        <w:jc w:val="right"/>
        <w:rPr>
          <w:rFonts w:hint="eastAsia" w:ascii="宋体" w:hAnsi="宋体" w:eastAsia="宋体" w:cs="宋体"/>
          <w:color w:val="auto"/>
          <w:szCs w:val="21"/>
          <w:highlight w:val="none"/>
          <w:lang w:val="zh-CN"/>
        </w:rPr>
      </w:pPr>
    </w:p>
    <w:p w14:paraId="2C3392E8">
      <w:pPr>
        <w:autoSpaceDE w:val="0"/>
        <w:autoSpaceDN w:val="0"/>
        <w:adjustRightInd w:val="0"/>
        <w:ind w:right="105"/>
        <w:jc w:val="left"/>
        <w:rPr>
          <w:rFonts w:hint="eastAsia" w:ascii="宋体" w:hAnsi="宋体" w:eastAsia="宋体" w:cs="宋体"/>
          <w:color w:val="auto"/>
          <w:szCs w:val="21"/>
          <w:highlight w:val="none"/>
          <w:lang w:val="zh-CN"/>
        </w:rPr>
      </w:pPr>
    </w:p>
    <w:p w14:paraId="1F2F05D0">
      <w:pPr>
        <w:autoSpaceDE w:val="0"/>
        <w:autoSpaceDN w:val="0"/>
        <w:adjustRightInd w:val="0"/>
        <w:ind w:right="105"/>
        <w:jc w:val="left"/>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姓名：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zh-CN"/>
        </w:rPr>
        <w:t>性别：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zh-CN"/>
        </w:rPr>
        <w:t>年龄：</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zh-CN"/>
        </w:rPr>
        <w:t>职务：</w:t>
      </w:r>
      <w:r>
        <w:rPr>
          <w:rFonts w:hint="eastAsia" w:ascii="宋体" w:hAnsi="宋体" w:eastAsia="宋体" w:cs="宋体"/>
          <w:color w:val="auto"/>
          <w:szCs w:val="21"/>
          <w:highlight w:val="none"/>
          <w:u w:val="single"/>
          <w:lang w:val="en-US" w:eastAsia="zh-CN"/>
        </w:rPr>
        <w:t xml:space="preserve">        </w:t>
      </w:r>
    </w:p>
    <w:p w14:paraId="730F783C">
      <w:pPr>
        <w:autoSpaceDE w:val="0"/>
        <w:autoSpaceDN w:val="0"/>
        <w:adjustRightInd w:val="0"/>
        <w:ind w:right="105"/>
        <w:jc w:val="left"/>
        <w:rPr>
          <w:rFonts w:hint="eastAsia" w:ascii="宋体" w:hAnsi="宋体" w:eastAsia="宋体" w:cs="宋体"/>
          <w:color w:val="auto"/>
          <w:szCs w:val="21"/>
          <w:highlight w:val="none"/>
          <w:lang w:val="zh-CN"/>
        </w:rPr>
      </w:pPr>
    </w:p>
    <w:p w14:paraId="226420A6">
      <w:pPr>
        <w:autoSpaceDE w:val="0"/>
        <w:autoSpaceDN w:val="0"/>
        <w:adjustRightInd w:val="0"/>
        <w:ind w:right="105"/>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系</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供应商</w:t>
      </w:r>
      <w:r>
        <w:rPr>
          <w:rFonts w:hint="eastAsia" w:ascii="宋体" w:hAnsi="宋体" w:eastAsia="宋体" w:cs="宋体"/>
          <w:color w:val="auto"/>
          <w:szCs w:val="21"/>
          <w:highlight w:val="none"/>
          <w:lang w:val="zh-CN"/>
        </w:rPr>
        <w:t>名称）的法定代表人（单位负责人）。</w:t>
      </w:r>
    </w:p>
    <w:p w14:paraId="3C95E91C">
      <w:pPr>
        <w:autoSpaceDE w:val="0"/>
        <w:autoSpaceDN w:val="0"/>
        <w:adjustRightInd w:val="0"/>
        <w:ind w:right="105"/>
        <w:jc w:val="left"/>
        <w:rPr>
          <w:rFonts w:hint="eastAsia" w:ascii="宋体" w:hAnsi="宋体" w:eastAsia="宋体" w:cs="宋体"/>
          <w:color w:val="auto"/>
          <w:szCs w:val="21"/>
          <w:highlight w:val="none"/>
          <w:lang w:val="zh-CN"/>
        </w:rPr>
      </w:pPr>
    </w:p>
    <w:p w14:paraId="6C9F0A4F">
      <w:pPr>
        <w:autoSpaceDE w:val="0"/>
        <w:autoSpaceDN w:val="0"/>
        <w:adjustRightInd w:val="0"/>
        <w:ind w:right="105"/>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特此证明。</w:t>
      </w:r>
    </w:p>
    <w:p w14:paraId="7B93F0EC">
      <w:pPr>
        <w:autoSpaceDE w:val="0"/>
        <w:autoSpaceDN w:val="0"/>
        <w:adjustRightInd w:val="0"/>
        <w:ind w:right="105"/>
        <w:jc w:val="left"/>
        <w:rPr>
          <w:rFonts w:hint="eastAsia" w:ascii="宋体" w:hAnsi="宋体" w:eastAsia="宋体" w:cs="宋体"/>
          <w:color w:val="auto"/>
          <w:szCs w:val="21"/>
          <w:highlight w:val="none"/>
          <w:lang w:val="zh-CN"/>
        </w:rPr>
      </w:pPr>
    </w:p>
    <w:p w14:paraId="19411431">
      <w:pPr>
        <w:autoSpaceDE w:val="0"/>
        <w:autoSpaceDN w:val="0"/>
        <w:adjustRightInd w:val="0"/>
        <w:ind w:right="105"/>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附：法定代表人（单位负责人）身份证复印件。</w:t>
      </w:r>
    </w:p>
    <w:p w14:paraId="7A800FB1">
      <w:pPr>
        <w:autoSpaceDE w:val="0"/>
        <w:autoSpaceDN w:val="0"/>
        <w:adjustRightInd w:val="0"/>
        <w:ind w:right="105"/>
        <w:jc w:val="left"/>
        <w:rPr>
          <w:rFonts w:hint="eastAsia" w:ascii="宋体" w:hAnsi="宋体" w:eastAsia="宋体" w:cs="宋体"/>
          <w:color w:val="auto"/>
          <w:szCs w:val="21"/>
          <w:highlight w:val="none"/>
          <w:lang w:val="zh-CN"/>
        </w:rPr>
      </w:pPr>
    </w:p>
    <w:p w14:paraId="32EB25EC">
      <w:pPr>
        <w:autoSpaceDE w:val="0"/>
        <w:autoSpaceDN w:val="0"/>
        <w:adjustRightInd w:val="0"/>
        <w:ind w:right="105"/>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注：自然人</w:t>
      </w:r>
      <w:r>
        <w:rPr>
          <w:rFonts w:hint="eastAsia" w:ascii="宋体" w:hAnsi="宋体" w:eastAsia="宋体" w:cs="宋体"/>
          <w:color w:val="auto"/>
          <w:szCs w:val="21"/>
          <w:highlight w:val="none"/>
        </w:rPr>
        <w:t>参加磋商</w:t>
      </w:r>
      <w:r>
        <w:rPr>
          <w:rFonts w:hint="eastAsia" w:ascii="宋体" w:hAnsi="宋体" w:eastAsia="宋体" w:cs="宋体"/>
          <w:color w:val="auto"/>
          <w:szCs w:val="21"/>
          <w:highlight w:val="none"/>
          <w:lang w:val="zh-CN"/>
        </w:rPr>
        <w:t>的此处只附身份证复印件。</w:t>
      </w:r>
    </w:p>
    <w:p w14:paraId="53AC3DEB">
      <w:pPr>
        <w:widowControl/>
        <w:rPr>
          <w:rFonts w:hint="eastAsia" w:ascii="宋体" w:hAnsi="宋体" w:eastAsia="宋体" w:cs="宋体"/>
          <w:color w:val="auto"/>
          <w:kern w:val="0"/>
          <w:highlight w:val="none"/>
          <w:lang w:val="zh-CN"/>
        </w:rPr>
      </w:pPr>
    </w:p>
    <w:p w14:paraId="4ADE311F">
      <w:pPr>
        <w:widowControl/>
        <w:rPr>
          <w:rFonts w:hint="eastAsia" w:ascii="宋体" w:hAnsi="宋体" w:eastAsia="宋体" w:cs="宋体"/>
          <w:color w:val="auto"/>
          <w:kern w:val="0"/>
          <w:highlight w:val="none"/>
          <w:lang w:val="zh-CN"/>
        </w:rPr>
      </w:pPr>
    </w:p>
    <w:p w14:paraId="25791BDC">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供应商全称</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zh-CN"/>
        </w:rPr>
        <w:t>（公章）</w:t>
      </w:r>
    </w:p>
    <w:p w14:paraId="71302A12">
      <w:pPr>
        <w:widowControl/>
        <w:rPr>
          <w:rFonts w:hint="eastAsia" w:ascii="宋体" w:hAnsi="宋体" w:eastAsia="宋体" w:cs="宋体"/>
          <w:color w:val="auto"/>
          <w:kern w:val="0"/>
          <w:highlight w:val="none"/>
          <w:lang w:val="zh-CN"/>
        </w:rPr>
      </w:pPr>
    </w:p>
    <w:p w14:paraId="2E970CB5">
      <w:pPr>
        <w:widowControl/>
        <w:rPr>
          <w:rFonts w:hint="eastAsia" w:ascii="宋体" w:hAnsi="宋体" w:eastAsia="宋体" w:cs="宋体"/>
          <w:color w:val="auto"/>
          <w:kern w:val="0"/>
          <w:highlight w:val="none"/>
        </w:rPr>
      </w:pPr>
    </w:p>
    <w:p w14:paraId="315D2BC5">
      <w:pPr>
        <w:widowControl/>
        <w:jc w:val="center"/>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年       月      日</w:t>
      </w:r>
    </w:p>
    <w:p w14:paraId="6B232D96">
      <w:pPr>
        <w:rPr>
          <w:rFonts w:hint="eastAsia" w:ascii="宋体" w:hAnsi="宋体" w:eastAsia="宋体" w:cs="宋体"/>
          <w:b/>
          <w:bCs/>
          <w:color w:val="auto"/>
          <w:sz w:val="28"/>
          <w:szCs w:val="28"/>
          <w:highlight w:val="none"/>
          <w:lang w:val="zh-CN"/>
        </w:rPr>
      </w:pPr>
      <w:r>
        <w:rPr>
          <w:rFonts w:hint="eastAsia" w:ascii="宋体" w:hAnsi="宋体" w:eastAsia="宋体" w:cs="宋体"/>
          <w:color w:val="auto"/>
          <w:spacing w:val="4"/>
          <w:highlight w:val="none"/>
        </w:rPr>
        <w:br w:type="page"/>
      </w:r>
    </w:p>
    <w:p w14:paraId="27F618A8">
      <w:pPr>
        <w:ind w:firstLine="0" w:firstLineChars="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法定代表人授权书</w:t>
      </w:r>
      <w:bookmarkEnd w:id="161"/>
    </w:p>
    <w:p w14:paraId="38EC1DBD">
      <w:pPr>
        <w:widowControl/>
        <w:rPr>
          <w:rFonts w:hint="eastAsia" w:ascii="宋体" w:hAnsi="宋体" w:eastAsia="宋体" w:cs="宋体"/>
          <w:b/>
          <w:bCs/>
          <w:color w:val="auto"/>
          <w:kern w:val="0"/>
          <w:highlight w:val="none"/>
        </w:rPr>
      </w:pPr>
    </w:p>
    <w:p w14:paraId="658C59C5">
      <w:pPr>
        <w:widowControl/>
        <w:ind w:left="0" w:leftChars="0" w:firstLine="0" w:firstLineChars="0"/>
        <w:jc w:val="left"/>
        <w:rPr>
          <w:rFonts w:hint="eastAsia" w:ascii="宋体" w:hAnsi="宋体" w:eastAsia="宋体" w:cs="宋体"/>
          <w:color w:val="auto"/>
          <w:kern w:val="0"/>
          <w:highlight w:val="none"/>
        </w:rPr>
      </w:pPr>
      <w:r>
        <w:rPr>
          <w:rFonts w:hint="eastAsia" w:ascii="宋体" w:hAnsi="宋体" w:eastAsia="宋体" w:cs="宋体"/>
          <w:color w:val="auto"/>
          <w:kern w:val="0"/>
          <w:lang w:val="zh-CN"/>
        </w:rPr>
        <w:t>陕西四方衡裕项目管理有限公司</w:t>
      </w:r>
      <w:r>
        <w:rPr>
          <w:rFonts w:hint="eastAsia" w:ascii="宋体" w:hAnsi="宋体" w:eastAsia="宋体" w:cs="宋体"/>
          <w:color w:val="auto"/>
          <w:kern w:val="0"/>
          <w:highlight w:val="none"/>
          <w:lang w:val="zh-CN"/>
        </w:rPr>
        <w:t>：</w:t>
      </w:r>
    </w:p>
    <w:p w14:paraId="2D5AB151">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注册于</w:t>
      </w:r>
      <w:r>
        <w:rPr>
          <w:rFonts w:hint="eastAsia" w:ascii="宋体" w:hAnsi="宋体" w:eastAsia="宋体" w:cs="宋体"/>
          <w:color w:val="auto"/>
          <w:kern w:val="0"/>
          <w:highlight w:val="none"/>
          <w:u w:val="single"/>
          <w:lang w:val="zh-CN"/>
        </w:rPr>
        <w:t>（</w:t>
      </w:r>
      <w:r>
        <w:rPr>
          <w:rFonts w:hint="eastAsia" w:ascii="宋体" w:hAnsi="宋体" w:eastAsia="宋体" w:cs="宋体"/>
          <w:color w:val="auto"/>
          <w:kern w:val="0"/>
          <w:highlight w:val="none"/>
          <w:u w:val="single"/>
          <w:lang w:val="en-US" w:eastAsia="zh-CN"/>
        </w:rPr>
        <w:t>批准机关</w:t>
      </w:r>
      <w:r>
        <w:rPr>
          <w:rFonts w:hint="eastAsia" w:ascii="宋体" w:hAnsi="宋体" w:eastAsia="宋体" w:cs="宋体"/>
          <w:color w:val="auto"/>
          <w:kern w:val="0"/>
          <w:highlight w:val="none"/>
          <w:u w:val="single"/>
          <w:lang w:val="zh-CN"/>
        </w:rPr>
        <w:t>名称）</w:t>
      </w:r>
      <w:r>
        <w:rPr>
          <w:rFonts w:hint="eastAsia" w:ascii="宋体" w:hAnsi="宋体" w:eastAsia="宋体" w:cs="宋体"/>
          <w:color w:val="auto"/>
          <w:kern w:val="0"/>
          <w:highlight w:val="none"/>
          <w:lang w:val="zh-CN"/>
        </w:rPr>
        <w:t>之</w:t>
      </w:r>
      <w:r>
        <w:rPr>
          <w:rFonts w:hint="eastAsia" w:ascii="宋体" w:hAnsi="宋体" w:eastAsia="宋体" w:cs="宋体"/>
          <w:color w:val="auto"/>
          <w:kern w:val="0"/>
          <w:highlight w:val="none"/>
          <w:u w:val="single"/>
          <w:lang w:val="zh-CN"/>
        </w:rPr>
        <w:t>（供应商全称）</w:t>
      </w:r>
      <w:r>
        <w:rPr>
          <w:rFonts w:hint="eastAsia" w:ascii="宋体" w:hAnsi="宋体" w:eastAsia="宋体" w:cs="宋体"/>
          <w:color w:val="auto"/>
          <w:kern w:val="0"/>
          <w:highlight w:val="none"/>
          <w:lang w:val="zh-CN"/>
        </w:rPr>
        <w:t>法人代表</w:t>
      </w:r>
      <w:r>
        <w:rPr>
          <w:rFonts w:hint="eastAsia" w:ascii="宋体" w:hAnsi="宋体" w:eastAsia="宋体" w:cs="宋体"/>
          <w:color w:val="auto"/>
          <w:kern w:val="0"/>
          <w:highlight w:val="none"/>
          <w:u w:val="single"/>
          <w:lang w:val="zh-CN"/>
        </w:rPr>
        <w:t>（姓名、职务）</w:t>
      </w:r>
      <w:r>
        <w:rPr>
          <w:rFonts w:hint="eastAsia" w:ascii="宋体" w:hAnsi="宋体" w:eastAsia="宋体" w:cs="宋体"/>
          <w:color w:val="auto"/>
          <w:kern w:val="0"/>
          <w:highlight w:val="none"/>
          <w:lang w:val="zh-CN"/>
        </w:rPr>
        <w:t>授权</w:t>
      </w:r>
      <w:r>
        <w:rPr>
          <w:rFonts w:hint="eastAsia" w:ascii="宋体" w:hAnsi="宋体" w:eastAsia="宋体" w:cs="宋体"/>
          <w:color w:val="auto"/>
          <w:kern w:val="0"/>
          <w:highlight w:val="none"/>
          <w:u w:val="single"/>
          <w:lang w:val="zh-CN"/>
        </w:rPr>
        <w:t>（授权代表姓名、职务）</w:t>
      </w:r>
      <w:r>
        <w:rPr>
          <w:rFonts w:hint="eastAsia" w:ascii="宋体" w:hAnsi="宋体" w:eastAsia="宋体" w:cs="宋体"/>
          <w:color w:val="auto"/>
          <w:kern w:val="0"/>
          <w:highlight w:val="none"/>
          <w:lang w:val="zh-CN"/>
        </w:rPr>
        <w:t>为本公司的合法代理人，就</w:t>
      </w:r>
      <w:r>
        <w:rPr>
          <w:rFonts w:hint="eastAsia" w:ascii="宋体" w:hAnsi="宋体" w:eastAsia="宋体" w:cs="宋体"/>
          <w:color w:val="auto"/>
          <w:kern w:val="0"/>
          <w:highlight w:val="none"/>
          <w:u w:val="single"/>
          <w:lang w:val="zh-CN"/>
        </w:rPr>
        <w:t>（</w:t>
      </w:r>
      <w:r>
        <w:rPr>
          <w:rFonts w:hint="eastAsia" w:ascii="宋体" w:hAnsi="宋体" w:eastAsia="宋体" w:cs="宋体"/>
          <w:color w:val="auto"/>
          <w:kern w:val="0"/>
          <w:highlight w:val="none"/>
          <w:u w:val="single"/>
        </w:rPr>
        <w:t>采购</w:t>
      </w:r>
      <w:r>
        <w:rPr>
          <w:rFonts w:hint="eastAsia" w:ascii="宋体" w:hAnsi="宋体" w:eastAsia="宋体" w:cs="宋体"/>
          <w:color w:val="auto"/>
          <w:kern w:val="0"/>
          <w:highlight w:val="none"/>
          <w:u w:val="single"/>
          <w:lang w:val="zh-CN"/>
        </w:rPr>
        <w:t>项目名称）（</w:t>
      </w:r>
      <w:r>
        <w:rPr>
          <w:rFonts w:hint="eastAsia" w:ascii="宋体" w:hAnsi="宋体" w:eastAsia="宋体" w:cs="宋体"/>
          <w:color w:val="auto"/>
          <w:kern w:val="0"/>
          <w:highlight w:val="none"/>
          <w:u w:val="single"/>
          <w:lang w:val="en-US" w:eastAsia="zh-CN"/>
        </w:rPr>
        <w:t>项目编号</w:t>
      </w:r>
      <w:r>
        <w:rPr>
          <w:rFonts w:hint="eastAsia" w:ascii="宋体" w:hAnsi="宋体" w:eastAsia="宋体" w:cs="宋体"/>
          <w:color w:val="auto"/>
          <w:kern w:val="0"/>
          <w:highlight w:val="none"/>
          <w:u w:val="single"/>
          <w:lang w:val="zh-CN"/>
        </w:rPr>
        <w:t>）</w:t>
      </w:r>
      <w:r>
        <w:rPr>
          <w:rFonts w:hint="eastAsia" w:ascii="宋体" w:hAnsi="宋体" w:eastAsia="宋体" w:cs="宋体"/>
          <w:color w:val="auto"/>
          <w:kern w:val="0"/>
          <w:highlight w:val="none"/>
          <w:u w:val="single"/>
          <w:lang w:val="en-US" w:eastAsia="zh-CN"/>
        </w:rPr>
        <w:t xml:space="preserve"> </w:t>
      </w:r>
      <w:r>
        <w:rPr>
          <w:rFonts w:hint="eastAsia" w:ascii="宋体" w:hAnsi="宋体" w:eastAsia="宋体" w:cs="宋体"/>
          <w:color w:val="auto"/>
          <w:kern w:val="0"/>
          <w:highlight w:val="none"/>
          <w:lang w:val="zh-CN"/>
        </w:rPr>
        <w:t>的磋商及合同的执行和完成，以本公司的名义处理一切与之有关的事宜。</w:t>
      </w:r>
    </w:p>
    <w:p w14:paraId="129215BF">
      <w:pPr>
        <w:widowControl/>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附：</w:t>
      </w:r>
    </w:p>
    <w:p w14:paraId="0795041C">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授权代表：</w:t>
      </w:r>
      <w:r>
        <w:rPr>
          <w:rFonts w:hint="eastAsia" w:ascii="宋体" w:hAnsi="宋体" w:eastAsia="宋体" w:cs="宋体"/>
          <w:color w:val="auto"/>
          <w:kern w:val="0"/>
          <w:highlight w:val="none"/>
          <w:u w:val="single"/>
        </w:rPr>
        <w:t xml:space="preserve">              </w:t>
      </w:r>
    </w:p>
    <w:p w14:paraId="6BC0D6B5">
      <w:pPr>
        <w:widowControl/>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lang w:val="zh-CN"/>
        </w:rPr>
        <w:t>职</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务：</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身份证号码：</w:t>
      </w:r>
      <w:r>
        <w:rPr>
          <w:rFonts w:hint="eastAsia" w:ascii="宋体" w:hAnsi="宋体" w:eastAsia="宋体" w:cs="宋体"/>
          <w:color w:val="auto"/>
          <w:kern w:val="0"/>
          <w:highlight w:val="none"/>
          <w:u w:val="single"/>
        </w:rPr>
        <w:t xml:space="preserve">                      </w:t>
      </w:r>
    </w:p>
    <w:p w14:paraId="705658E1">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通讯地址：</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p>
    <w:p w14:paraId="7F73FDEF">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邮政编码：</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p>
    <w:p w14:paraId="046B87AB">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电</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话：</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传真</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u w:val="single"/>
        </w:rPr>
        <w:t xml:space="preserve">                  </w:t>
      </w:r>
    </w:p>
    <w:p w14:paraId="343FE2F5">
      <w:pPr>
        <w:widowControl/>
        <w:rPr>
          <w:rFonts w:hint="eastAsia" w:ascii="宋体" w:hAnsi="宋体" w:eastAsia="宋体" w:cs="宋体"/>
          <w:color w:val="auto"/>
          <w:kern w:val="0"/>
          <w:highlight w:val="none"/>
          <w:lang w:val="zh-CN"/>
        </w:rPr>
      </w:pPr>
    </w:p>
    <w:p w14:paraId="36F7139F">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（身份证</w:t>
      </w:r>
      <w:r>
        <w:rPr>
          <w:rFonts w:hint="eastAsia" w:ascii="宋体" w:hAnsi="宋体" w:eastAsia="宋体" w:cs="宋体"/>
          <w:color w:val="auto"/>
          <w:kern w:val="0"/>
          <w:highlight w:val="none"/>
        </w:rPr>
        <w:t>需</w:t>
      </w:r>
      <w:r>
        <w:rPr>
          <w:rFonts w:hint="eastAsia" w:ascii="宋体" w:hAnsi="宋体" w:eastAsia="宋体" w:cs="宋体"/>
          <w:color w:val="auto"/>
          <w:kern w:val="0"/>
          <w:highlight w:val="none"/>
          <w:lang w:val="zh-CN"/>
        </w:rPr>
        <w:t>复印</w:t>
      </w:r>
      <w:r>
        <w:rPr>
          <w:rFonts w:hint="eastAsia" w:ascii="宋体" w:hAnsi="宋体" w:eastAsia="宋体" w:cs="宋体"/>
          <w:color w:val="auto"/>
          <w:kern w:val="0"/>
          <w:highlight w:val="none"/>
        </w:rPr>
        <w:t>正面及反面</w:t>
      </w:r>
      <w:r>
        <w:rPr>
          <w:rFonts w:hint="eastAsia" w:ascii="宋体" w:hAnsi="宋体" w:eastAsia="宋体" w:cs="宋体"/>
          <w:color w:val="auto"/>
          <w:kern w:val="0"/>
          <w:highlight w:val="none"/>
          <w:lang w:val="zh-CN"/>
        </w:rPr>
        <w:t>）</w:t>
      </w:r>
    </w:p>
    <w:tbl>
      <w:tblPr>
        <w:tblStyle w:val="46"/>
        <w:tblW w:w="7934" w:type="dxa"/>
        <w:tblInd w:w="6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49"/>
        <w:gridCol w:w="3885"/>
      </w:tblGrid>
      <w:tr w14:paraId="05A0C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54D0F044">
            <w:pPr>
              <w:widowControl/>
              <w:ind w:firstLine="0" w:firstLineChars="0"/>
              <w:jc w:val="center"/>
              <w:rPr>
                <w:rFonts w:hint="eastAsia" w:ascii="宋体" w:hAnsi="宋体" w:eastAsia="宋体" w:cs="宋体"/>
                <w:color w:val="auto"/>
                <w:highlight w:val="none"/>
                <w:lang w:val="zh-CN"/>
              </w:rPr>
            </w:pPr>
          </w:p>
          <w:p w14:paraId="2E6E3D2F">
            <w:pPr>
              <w:widowControl/>
              <w:ind w:firstLine="0" w:firstLineChars="0"/>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法定代表人身份证复印件</w:t>
            </w:r>
          </w:p>
          <w:p w14:paraId="08706164">
            <w:pPr>
              <w:widowControl/>
              <w:jc w:val="center"/>
              <w:rPr>
                <w:rFonts w:hint="eastAsia" w:ascii="宋体" w:hAnsi="宋体" w:eastAsia="宋体" w:cs="宋体"/>
                <w:color w:val="auto"/>
                <w:highlight w:val="none"/>
              </w:rPr>
            </w:pPr>
          </w:p>
        </w:tc>
        <w:tc>
          <w:tcPr>
            <w:tcW w:w="3885" w:type="dxa"/>
            <w:tcBorders>
              <w:top w:val="single" w:color="auto" w:sz="6" w:space="0"/>
              <w:left w:val="single" w:color="auto" w:sz="6" w:space="0"/>
              <w:bottom w:val="single" w:color="auto" w:sz="6" w:space="0"/>
              <w:right w:val="single" w:color="auto" w:sz="6" w:space="0"/>
            </w:tcBorders>
            <w:noWrap/>
            <w:vAlign w:val="center"/>
          </w:tcPr>
          <w:p w14:paraId="44DF753F">
            <w:pPr>
              <w:widowControl/>
              <w:ind w:firstLine="0" w:firstLineChars="0"/>
              <w:jc w:val="center"/>
              <w:rPr>
                <w:rFonts w:hint="eastAsia" w:ascii="宋体" w:hAnsi="宋体" w:eastAsia="宋体" w:cs="宋体"/>
                <w:color w:val="auto"/>
                <w:highlight w:val="none"/>
                <w:lang w:val="zh-CN"/>
              </w:rPr>
            </w:pPr>
          </w:p>
          <w:p w14:paraId="0F5727E7">
            <w:pPr>
              <w:widowControl/>
              <w:ind w:firstLine="0" w:firstLineChars="0"/>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授权代表身份证复印件</w:t>
            </w:r>
          </w:p>
          <w:p w14:paraId="53B31FB3">
            <w:pPr>
              <w:pStyle w:val="40"/>
              <w:ind w:firstLine="0" w:firstLineChars="0"/>
              <w:jc w:val="center"/>
              <w:rPr>
                <w:rFonts w:hint="eastAsia" w:ascii="宋体" w:hAnsi="宋体" w:eastAsia="宋体" w:cs="宋体"/>
                <w:color w:val="auto"/>
                <w:highlight w:val="none"/>
              </w:rPr>
            </w:pPr>
          </w:p>
        </w:tc>
      </w:tr>
    </w:tbl>
    <w:p w14:paraId="793CB939">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w:t>
      </w:r>
    </w:p>
    <w:p w14:paraId="241F0902">
      <w:pPr>
        <w:widowControl/>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供应商</w:t>
      </w:r>
      <w:r>
        <w:rPr>
          <w:rFonts w:hint="eastAsia" w:ascii="宋体" w:hAnsi="宋体" w:eastAsia="宋体" w:cs="宋体"/>
          <w:color w:val="auto"/>
          <w:kern w:val="0"/>
          <w:highlight w:val="none"/>
        </w:rPr>
        <w:t>全称</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（公章）</w:t>
      </w:r>
    </w:p>
    <w:p w14:paraId="64F1DE05">
      <w:pPr>
        <w:widowControl/>
        <w:rPr>
          <w:rFonts w:hint="eastAsia" w:ascii="宋体" w:hAnsi="宋体" w:eastAsia="宋体" w:cs="宋体"/>
          <w:color w:val="auto"/>
          <w:kern w:val="0"/>
          <w:highlight w:val="none"/>
          <w:lang w:val="zh-CN"/>
        </w:rPr>
      </w:pPr>
    </w:p>
    <w:p w14:paraId="7CDDD2B3">
      <w:pPr>
        <w:widowControl/>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法定代表人：</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lang w:val="zh-CN"/>
        </w:rPr>
        <w:t xml:space="preserve"> </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（签</w:t>
      </w:r>
      <w:r>
        <w:rPr>
          <w:rFonts w:hint="eastAsia" w:ascii="宋体" w:hAnsi="宋体" w:eastAsia="宋体" w:cs="宋体"/>
          <w:color w:val="auto"/>
          <w:kern w:val="0"/>
          <w:highlight w:val="none"/>
        </w:rPr>
        <w:t>字或盖章</w:t>
      </w:r>
      <w:r>
        <w:rPr>
          <w:rFonts w:hint="eastAsia" w:ascii="宋体" w:hAnsi="宋体" w:eastAsia="宋体" w:cs="宋体"/>
          <w:color w:val="auto"/>
          <w:kern w:val="0"/>
          <w:highlight w:val="none"/>
          <w:lang w:val="zh-CN"/>
        </w:rPr>
        <w:t>）</w:t>
      </w:r>
    </w:p>
    <w:p w14:paraId="173BFBC1">
      <w:pPr>
        <w:pStyle w:val="6"/>
        <w:numPr>
          <w:ilvl w:val="0"/>
          <w:numId w:val="0"/>
        </w:numPr>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 xml:space="preserve">    日      期：</w:t>
      </w:r>
      <w:r>
        <w:rPr>
          <w:rFonts w:hint="eastAsia" w:ascii="宋体" w:hAnsi="宋体" w:eastAsia="宋体" w:cs="宋体"/>
          <w:color w:val="auto"/>
          <w:kern w:val="0"/>
          <w:highlight w:val="none"/>
          <w:u w:val="single"/>
        </w:rPr>
        <w:t xml:space="preserve">                      </w:t>
      </w:r>
    </w:p>
    <w:p w14:paraId="0497622C">
      <w:pPr>
        <w:widowControl/>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本授权书有效期自</w:t>
      </w:r>
      <w:r>
        <w:rPr>
          <w:rFonts w:hint="eastAsia" w:ascii="宋体" w:hAnsi="宋体" w:eastAsia="宋体" w:cs="宋体"/>
          <w:color w:val="auto"/>
          <w:kern w:val="0"/>
          <w:highlight w:val="none"/>
        </w:rPr>
        <w:t>磋商</w:t>
      </w:r>
      <w:r>
        <w:rPr>
          <w:rFonts w:hint="eastAsia" w:ascii="宋体" w:hAnsi="宋体" w:eastAsia="宋体" w:cs="宋体"/>
          <w:color w:val="auto"/>
          <w:kern w:val="0"/>
          <w:highlight w:val="none"/>
          <w:lang w:val="zh-CN"/>
        </w:rPr>
        <w:t>之日起</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lang w:val="zh-CN"/>
        </w:rPr>
        <w:t>天；特此声明。</w:t>
      </w:r>
    </w:p>
    <w:p w14:paraId="19E498E4">
      <w:pPr>
        <w:widowControl/>
        <w:rPr>
          <w:rFonts w:hint="eastAsia" w:ascii="宋体" w:hAnsi="宋体" w:eastAsia="宋体" w:cs="宋体"/>
          <w:b/>
          <w:bCs/>
          <w:color w:val="auto"/>
          <w:kern w:val="0"/>
          <w:highlight w:val="none"/>
          <w:lang w:val="zh-CN"/>
        </w:rPr>
      </w:pPr>
      <w:r>
        <w:rPr>
          <w:rFonts w:hint="eastAsia" w:ascii="宋体" w:hAnsi="宋体" w:eastAsia="宋体" w:cs="宋体"/>
          <w:color w:val="auto"/>
          <w:kern w:val="0"/>
          <w:highlight w:val="none"/>
          <w:lang w:val="zh-CN"/>
        </w:rPr>
        <w:t>（须与响应</w:t>
      </w:r>
      <w:r>
        <w:rPr>
          <w:rFonts w:hint="eastAsia" w:ascii="宋体" w:hAnsi="宋体" w:eastAsia="宋体" w:cs="宋体"/>
          <w:color w:val="auto"/>
          <w:kern w:val="0"/>
          <w:highlight w:val="none"/>
        </w:rPr>
        <w:t>文件</w:t>
      </w:r>
      <w:r>
        <w:rPr>
          <w:rFonts w:hint="eastAsia" w:ascii="宋体" w:hAnsi="宋体" w:eastAsia="宋体" w:cs="宋体"/>
          <w:color w:val="auto"/>
          <w:kern w:val="0"/>
          <w:highlight w:val="none"/>
          <w:lang w:val="zh-CN"/>
        </w:rPr>
        <w:t>有效期一致，不少于</w:t>
      </w:r>
      <w:r>
        <w:rPr>
          <w:rFonts w:hint="eastAsia" w:ascii="宋体" w:hAnsi="宋体" w:eastAsia="宋体" w:cs="宋体"/>
          <w:color w:val="auto"/>
          <w:kern w:val="0"/>
          <w:highlight w:val="none"/>
          <w:lang w:val="en-US" w:eastAsia="zh-CN"/>
        </w:rPr>
        <w:t>九十</w:t>
      </w:r>
      <w:r>
        <w:rPr>
          <w:rFonts w:hint="eastAsia" w:ascii="宋体" w:hAnsi="宋体" w:eastAsia="宋体" w:cs="宋体"/>
          <w:color w:val="auto"/>
          <w:kern w:val="0"/>
          <w:highlight w:val="none"/>
          <w:lang w:val="zh-CN"/>
        </w:rPr>
        <w:t>天）</w:t>
      </w:r>
      <w:r>
        <w:rPr>
          <w:rFonts w:hint="eastAsia" w:ascii="宋体" w:hAnsi="宋体" w:eastAsia="宋体" w:cs="宋体"/>
          <w:b/>
          <w:bCs/>
          <w:color w:val="auto"/>
          <w:kern w:val="0"/>
          <w:highlight w:val="none"/>
          <w:lang w:val="zh-CN"/>
        </w:rPr>
        <w:br w:type="page"/>
      </w:r>
      <w:bookmarkStart w:id="162" w:name="_Toc31352_WPSOffice_Level2"/>
    </w:p>
    <w:p w14:paraId="4830C184">
      <w:pPr>
        <w:widowControl/>
        <w:ind w:firstLine="0" w:firstLineChars="0"/>
        <w:jc w:val="center"/>
        <w:rPr>
          <w:rFonts w:hint="eastAsia" w:ascii="宋体" w:hAnsi="宋体" w:eastAsia="宋体" w:cs="宋体"/>
          <w:b/>
          <w:bCs/>
          <w:color w:val="auto"/>
          <w:kern w:val="0"/>
          <w:highlight w:val="none"/>
          <w:lang w:val="zh-CN"/>
        </w:rPr>
      </w:pPr>
      <w:bookmarkStart w:id="163" w:name="_Toc11640_WPSOffice_Level2"/>
      <w:r>
        <w:rPr>
          <w:rFonts w:hint="eastAsia" w:ascii="宋体" w:hAnsi="宋体" w:eastAsia="宋体" w:cs="宋体"/>
          <w:b/>
          <w:bCs/>
          <w:color w:val="auto"/>
          <w:kern w:val="0"/>
          <w:sz w:val="28"/>
          <w:szCs w:val="28"/>
          <w:highlight w:val="none"/>
          <w:lang w:val="zh-CN"/>
        </w:rPr>
        <w:t>授权代表本单位证明</w:t>
      </w:r>
      <w:bookmarkEnd w:id="162"/>
      <w:bookmarkEnd w:id="163"/>
    </w:p>
    <w:p w14:paraId="2872EB8F">
      <w:pPr>
        <w:widowControl/>
        <w:rPr>
          <w:rFonts w:hint="eastAsia" w:ascii="宋体" w:hAnsi="宋体" w:eastAsia="宋体" w:cs="宋体"/>
          <w:color w:val="auto"/>
          <w:kern w:val="0"/>
          <w:highlight w:val="none"/>
          <w:lang w:val="zh-CN"/>
        </w:rPr>
      </w:pPr>
    </w:p>
    <w:p w14:paraId="6D5F653F">
      <w:pPr>
        <w:widowControl/>
        <w:ind w:left="0" w:leftChars="0" w:firstLine="0" w:firstLineChars="0"/>
        <w:jc w:val="center"/>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养老保险缴纳证明</w:t>
      </w:r>
      <w:r>
        <w:rPr>
          <w:rFonts w:hint="eastAsia" w:ascii="宋体" w:hAnsi="宋体" w:eastAsia="宋体" w:cs="宋体"/>
          <w:color w:val="auto"/>
          <w:kern w:val="0"/>
          <w:highlight w:val="none"/>
          <w:lang w:val="zh-CN"/>
        </w:rPr>
        <w:t>）</w:t>
      </w:r>
    </w:p>
    <w:p w14:paraId="2473A8FA">
      <w:pPr>
        <w:widowControl/>
        <w:rPr>
          <w:rFonts w:hint="eastAsia" w:ascii="宋体" w:hAnsi="宋体" w:eastAsia="宋体" w:cs="宋体"/>
          <w:b/>
          <w:bCs/>
          <w:color w:val="auto"/>
          <w:kern w:val="0"/>
          <w:highlight w:val="none"/>
        </w:rPr>
      </w:pPr>
      <w:r>
        <w:rPr>
          <w:rFonts w:hint="eastAsia" w:ascii="宋体" w:hAnsi="宋体" w:eastAsia="宋体" w:cs="宋体"/>
          <w:b/>
          <w:bCs/>
          <w:color w:val="auto"/>
          <w:kern w:val="0"/>
          <w:highlight w:val="none"/>
        </w:rPr>
        <w:t xml:space="preserve"> </w:t>
      </w:r>
    </w:p>
    <w:p w14:paraId="5040301D">
      <w:pPr>
        <w:widowControl/>
        <w:jc w:val="center"/>
        <w:rPr>
          <w:rStyle w:val="60"/>
          <w:rFonts w:hint="eastAsia" w:ascii="宋体" w:hAnsi="宋体" w:eastAsia="宋体" w:cs="宋体"/>
          <w:color w:val="auto"/>
          <w:szCs w:val="22"/>
          <w:highlight w:val="none"/>
          <w:lang w:val="zh-CN"/>
        </w:rPr>
        <w:sectPr>
          <w:pgSz w:w="11906" w:h="16838"/>
          <w:pgMar w:top="1418" w:right="1304" w:bottom="1418" w:left="1247" w:header="851" w:footer="992" w:gutter="0"/>
          <w:pgBorders>
            <w:top w:val="none" w:sz="0" w:space="0"/>
            <w:left w:val="none" w:sz="0" w:space="0"/>
            <w:bottom w:val="none" w:sz="0" w:space="0"/>
            <w:right w:val="none" w:sz="0" w:space="0"/>
          </w:pgBorders>
          <w:pgNumType w:fmt="decimal"/>
          <w:cols w:space="720" w:num="1"/>
          <w:docGrid w:linePitch="312" w:charSpace="0"/>
        </w:sectPr>
      </w:pPr>
    </w:p>
    <w:p w14:paraId="57E4D4FA">
      <w:pPr>
        <w:spacing w:line="360" w:lineRule="atLeast"/>
        <w:ind w:firstLine="643"/>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近三年无重大违法、违纪书面声明</w:t>
      </w:r>
    </w:p>
    <w:p w14:paraId="00230779">
      <w:pPr>
        <w:spacing w:line="360" w:lineRule="atLeast"/>
        <w:ind w:firstLine="480"/>
        <w:jc w:val="left"/>
        <w:rPr>
          <w:rFonts w:hint="eastAsia" w:ascii="宋体" w:hAnsi="宋体" w:eastAsia="宋体" w:cs="宋体"/>
          <w:color w:val="auto"/>
        </w:rPr>
      </w:pPr>
    </w:p>
    <w:p w14:paraId="72D28D90">
      <w:pPr>
        <w:ind w:firstLine="0" w:firstLineChars="0"/>
        <w:jc w:val="left"/>
        <w:rPr>
          <w:rFonts w:hint="eastAsia" w:ascii="宋体" w:hAnsi="宋体" w:eastAsia="宋体" w:cs="宋体"/>
          <w:b/>
          <w:bCs/>
          <w:color w:val="auto"/>
          <w:kern w:val="0"/>
        </w:rPr>
      </w:pPr>
    </w:p>
    <w:p w14:paraId="44384679">
      <w:pPr>
        <w:ind w:firstLine="0" w:firstLineChars="0"/>
        <w:jc w:val="left"/>
        <w:rPr>
          <w:rFonts w:hint="eastAsia" w:ascii="宋体" w:hAnsi="宋体" w:eastAsia="宋体" w:cs="宋体"/>
          <w:b/>
          <w:bCs/>
          <w:color w:val="auto"/>
        </w:rPr>
      </w:pPr>
      <w:r>
        <w:rPr>
          <w:rFonts w:hint="eastAsia" w:ascii="宋体" w:hAnsi="宋体" w:eastAsia="宋体" w:cs="宋体"/>
          <w:b/>
          <w:bCs/>
          <w:color w:val="auto"/>
          <w:kern w:val="0"/>
        </w:rPr>
        <w:t>致：陕西四方衡裕项目管理有限公司</w:t>
      </w:r>
    </w:p>
    <w:p w14:paraId="7538E57A">
      <w:pPr>
        <w:ind w:firstLine="480"/>
        <w:jc w:val="left"/>
        <w:rPr>
          <w:rFonts w:hint="eastAsia" w:ascii="宋体" w:hAnsi="宋体" w:eastAsia="宋体" w:cs="宋体"/>
          <w:b/>
          <w:color w:val="auto"/>
        </w:rPr>
      </w:pPr>
      <w:r>
        <w:rPr>
          <w:rFonts w:hint="eastAsia" w:ascii="宋体" w:hAnsi="宋体" w:eastAsia="宋体" w:cs="宋体"/>
          <w:color w:val="auto"/>
        </w:rPr>
        <w:t>我单位声明参加本次政府采购活动前三年内，在经营活动中没有重大违纪，以及未被列入失信被执行人、未在税收违法</w:t>
      </w:r>
      <w:r>
        <w:rPr>
          <w:rFonts w:hint="eastAsia" w:ascii="宋体" w:hAnsi="宋体" w:eastAsia="宋体" w:cs="宋体"/>
          <w:color w:val="auto"/>
          <w:lang w:val="en-US" w:eastAsia="zh-CN"/>
        </w:rPr>
        <w:t>黑</w:t>
      </w:r>
      <w:r>
        <w:rPr>
          <w:rFonts w:hint="eastAsia" w:ascii="宋体" w:hAnsi="宋体" w:eastAsia="宋体" w:cs="宋体"/>
          <w:color w:val="auto"/>
        </w:rPr>
        <w:t>名单及政府采购严重违法失信行为记录名单中。</w:t>
      </w:r>
    </w:p>
    <w:p w14:paraId="3DF77190">
      <w:pPr>
        <w:ind w:firstLine="424" w:firstLineChars="177"/>
        <w:jc w:val="left"/>
        <w:rPr>
          <w:rFonts w:hint="eastAsia" w:ascii="宋体" w:hAnsi="宋体" w:eastAsia="宋体" w:cs="宋体"/>
          <w:b/>
          <w:color w:val="auto"/>
        </w:rPr>
      </w:pPr>
      <w:r>
        <w:rPr>
          <w:rFonts w:hint="eastAsia" w:ascii="宋体" w:hAnsi="宋体" w:eastAsia="宋体" w:cs="宋体"/>
          <w:color w:val="auto"/>
        </w:rPr>
        <w:t>以上如构成虚假，自愿承担相关法律责任。</w:t>
      </w:r>
    </w:p>
    <w:p w14:paraId="502338BC">
      <w:pPr>
        <w:ind w:firstLine="482"/>
        <w:jc w:val="left"/>
        <w:rPr>
          <w:rFonts w:hint="eastAsia" w:ascii="宋体" w:hAnsi="宋体" w:eastAsia="宋体" w:cs="宋体"/>
          <w:b/>
          <w:color w:val="auto"/>
        </w:rPr>
      </w:pPr>
    </w:p>
    <w:p w14:paraId="48FB3EC6">
      <w:pPr>
        <w:ind w:firstLine="480"/>
        <w:jc w:val="left"/>
        <w:rPr>
          <w:rFonts w:hint="eastAsia" w:ascii="宋体" w:hAnsi="宋体" w:eastAsia="宋体" w:cs="宋体"/>
          <w:color w:val="auto"/>
        </w:rPr>
      </w:pPr>
      <w:r>
        <w:rPr>
          <w:rFonts w:hint="eastAsia" w:ascii="宋体" w:hAnsi="宋体" w:eastAsia="宋体" w:cs="宋体"/>
          <w:color w:val="auto"/>
        </w:rPr>
        <w:t>特此声明！</w:t>
      </w:r>
    </w:p>
    <w:p w14:paraId="5F4AFFC1">
      <w:pPr>
        <w:ind w:firstLine="480"/>
        <w:jc w:val="left"/>
        <w:rPr>
          <w:rFonts w:hint="eastAsia" w:ascii="宋体" w:hAnsi="宋体" w:eastAsia="宋体" w:cs="宋体"/>
          <w:color w:val="auto"/>
        </w:rPr>
      </w:pPr>
    </w:p>
    <w:p w14:paraId="7C149E99">
      <w:pPr>
        <w:spacing w:line="480" w:lineRule="auto"/>
        <w:ind w:firstLine="480"/>
        <w:jc w:val="left"/>
        <w:rPr>
          <w:rFonts w:hint="eastAsia" w:ascii="宋体" w:hAnsi="宋体" w:eastAsia="宋体" w:cs="宋体"/>
          <w:color w:val="auto"/>
        </w:rPr>
      </w:pPr>
    </w:p>
    <w:p w14:paraId="06F1625E">
      <w:pPr>
        <w:spacing w:line="480" w:lineRule="auto"/>
        <w:ind w:firstLine="480"/>
        <w:jc w:val="left"/>
        <w:rPr>
          <w:rFonts w:hint="eastAsia" w:ascii="宋体" w:hAnsi="宋体" w:eastAsia="宋体" w:cs="宋体"/>
          <w:color w:val="auto"/>
          <w:u w:val="single"/>
        </w:rPr>
      </w:pPr>
      <w:r>
        <w:rPr>
          <w:rFonts w:hint="eastAsia" w:ascii="宋体" w:hAnsi="宋体" w:eastAsia="宋体" w:cs="宋体"/>
          <w:color w:val="auto"/>
        </w:rPr>
        <w:t xml:space="preserve">                          供应商全称（公章）：</w:t>
      </w:r>
      <w:r>
        <w:rPr>
          <w:rFonts w:hint="eastAsia" w:ascii="宋体" w:hAnsi="宋体" w:eastAsia="宋体" w:cs="宋体"/>
          <w:color w:val="auto"/>
          <w:u w:val="single"/>
        </w:rPr>
        <w:t xml:space="preserve">                          </w:t>
      </w:r>
    </w:p>
    <w:p w14:paraId="1D6D00C3">
      <w:pPr>
        <w:spacing w:line="480" w:lineRule="auto"/>
        <w:ind w:firstLine="480"/>
        <w:jc w:val="left"/>
        <w:rPr>
          <w:rFonts w:hint="eastAsia" w:ascii="宋体" w:hAnsi="宋体" w:eastAsia="宋体" w:cs="宋体"/>
          <w:color w:val="auto"/>
          <w:u w:val="single"/>
        </w:rPr>
      </w:pPr>
      <w:r>
        <w:rPr>
          <w:rFonts w:hint="eastAsia" w:ascii="宋体" w:hAnsi="宋体" w:eastAsia="宋体" w:cs="宋体"/>
          <w:color w:val="auto"/>
        </w:rPr>
        <w:t xml:space="preserve">                          法定代表人或</w:t>
      </w:r>
      <w:r>
        <w:rPr>
          <w:rFonts w:hint="eastAsia" w:ascii="宋体" w:hAnsi="宋体" w:eastAsia="宋体" w:cs="宋体"/>
          <w:color w:val="auto"/>
          <w:kern w:val="0"/>
          <w:lang w:val="zh-CN"/>
        </w:rPr>
        <w:t>授权代表</w:t>
      </w:r>
      <w:r>
        <w:rPr>
          <w:rFonts w:hint="eastAsia" w:ascii="宋体" w:hAnsi="宋体" w:eastAsia="宋体" w:cs="宋体"/>
          <w:color w:val="auto"/>
        </w:rPr>
        <w:t>（</w:t>
      </w:r>
      <w:r>
        <w:rPr>
          <w:rFonts w:hint="eastAsia" w:ascii="宋体" w:hAnsi="宋体" w:eastAsia="宋体" w:cs="宋体"/>
          <w:color w:val="auto"/>
          <w:kern w:val="0"/>
          <w:lang w:val="zh-CN"/>
        </w:rPr>
        <w:t>签字</w:t>
      </w:r>
      <w:r>
        <w:rPr>
          <w:rFonts w:hint="eastAsia" w:ascii="宋体" w:hAnsi="宋体" w:eastAsia="宋体" w:cs="宋体"/>
          <w:color w:val="auto"/>
          <w:kern w:val="0"/>
          <w:lang w:val="en-US" w:eastAsia="zh-CN"/>
        </w:rPr>
        <w:t>或盖章</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rPr>
        <w:t xml:space="preserve"> </w:t>
      </w:r>
    </w:p>
    <w:p w14:paraId="6D641577">
      <w:pPr>
        <w:ind w:firstLine="480"/>
        <w:rPr>
          <w:rFonts w:hint="eastAsia" w:ascii="宋体" w:hAnsi="宋体" w:eastAsia="宋体" w:cs="宋体"/>
          <w:color w:val="auto"/>
        </w:rPr>
      </w:pPr>
      <w:r>
        <w:rPr>
          <w:rFonts w:hint="eastAsia" w:ascii="宋体" w:hAnsi="宋体" w:eastAsia="宋体" w:cs="宋体"/>
          <w:color w:val="auto"/>
        </w:rPr>
        <w:t xml:space="preserve">                              日   期：      年    月    日 </w:t>
      </w:r>
    </w:p>
    <w:p w14:paraId="75331B29">
      <w:pPr>
        <w:pStyle w:val="17"/>
        <w:ind w:firstLine="480"/>
        <w:rPr>
          <w:rFonts w:hint="eastAsia" w:ascii="宋体" w:hAnsi="宋体" w:eastAsia="宋体" w:cs="宋体"/>
          <w:color w:val="auto"/>
          <w:sz w:val="24"/>
        </w:rPr>
      </w:pPr>
    </w:p>
    <w:p w14:paraId="01FEDC50">
      <w:pPr>
        <w:ind w:firstLine="48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备注：1、供应商在参加政府采购活动前3年内因违法经营被禁止在一定期限内参加政府采购活动，期限届满的，可以参加政府采购活动，但应提供期限届满的证明材料。</w:t>
      </w:r>
    </w:p>
    <w:p w14:paraId="78F84624">
      <w:pPr>
        <w:ind w:firstLine="48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2、《中华人民共和国政府采购法实施条例》第十九条 重大违法记录，是指供应商因违法经营受到刑事处罚或者责令停产停业、吊销许可证或者执照、较大数额罚款等行政处罚。</w:t>
      </w:r>
    </w:p>
    <w:p w14:paraId="43B0DBFE">
      <w:pPr>
        <w:ind w:firstLine="480"/>
        <w:rPr>
          <w:rFonts w:hint="eastAsia" w:ascii="宋体" w:hAnsi="宋体" w:eastAsia="宋体" w:cs="宋体"/>
          <w:color w:val="auto"/>
          <w:lang w:val="zh-CN"/>
        </w:rPr>
      </w:pPr>
      <w:r>
        <w:rPr>
          <w:rFonts w:hint="eastAsia" w:ascii="宋体" w:hAnsi="宋体" w:eastAsia="宋体" w:cs="宋体"/>
          <w:b/>
          <w:bCs/>
          <w:color w:val="auto"/>
          <w:sz w:val="21"/>
          <w:szCs w:val="21"/>
          <w:lang w:val="en-US" w:eastAsia="zh-CN"/>
        </w:rPr>
        <w:t>3、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auto"/>
          <w:lang w:val="zh-CN"/>
        </w:rPr>
        <w:br w:type="page"/>
      </w:r>
    </w:p>
    <w:p w14:paraId="707F2A7C">
      <w:pPr>
        <w:spacing w:line="360" w:lineRule="atLeast"/>
        <w:ind w:firstLine="643"/>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具有履行合同所必需的设备和专业技术能力的承诺函</w:t>
      </w:r>
    </w:p>
    <w:p w14:paraId="4190401F">
      <w:pPr>
        <w:spacing w:line="360" w:lineRule="atLeast"/>
        <w:ind w:firstLine="480"/>
        <w:jc w:val="left"/>
        <w:rPr>
          <w:rFonts w:hint="eastAsia" w:ascii="宋体" w:hAnsi="宋体" w:eastAsia="宋体" w:cs="宋体"/>
          <w:color w:val="auto"/>
        </w:rPr>
      </w:pPr>
    </w:p>
    <w:p w14:paraId="0774340A">
      <w:pPr>
        <w:ind w:firstLine="480"/>
        <w:jc w:val="left"/>
        <w:rPr>
          <w:rFonts w:hint="eastAsia" w:ascii="宋体" w:hAnsi="宋体" w:eastAsia="宋体" w:cs="宋体"/>
          <w:color w:val="auto"/>
          <w:kern w:val="0"/>
        </w:rPr>
      </w:pPr>
    </w:p>
    <w:p w14:paraId="520EFB22">
      <w:pPr>
        <w:ind w:firstLine="0" w:firstLineChars="0"/>
        <w:jc w:val="left"/>
        <w:rPr>
          <w:rFonts w:hint="eastAsia" w:ascii="宋体" w:hAnsi="宋体" w:eastAsia="宋体" w:cs="宋体"/>
          <w:b/>
          <w:bCs/>
          <w:color w:val="auto"/>
        </w:rPr>
      </w:pPr>
      <w:r>
        <w:rPr>
          <w:rFonts w:hint="eastAsia" w:ascii="宋体" w:hAnsi="宋体" w:eastAsia="宋体" w:cs="宋体"/>
          <w:b/>
          <w:bCs/>
          <w:color w:val="auto"/>
          <w:kern w:val="0"/>
        </w:rPr>
        <w:t>致：陕西四方衡裕项目管理有限公司</w:t>
      </w:r>
    </w:p>
    <w:p w14:paraId="67204882">
      <w:pPr>
        <w:ind w:firstLine="480"/>
        <w:jc w:val="left"/>
        <w:rPr>
          <w:rFonts w:hint="eastAsia" w:ascii="宋体" w:hAnsi="宋体" w:eastAsia="宋体" w:cs="宋体"/>
          <w:color w:val="auto"/>
          <w:kern w:val="0"/>
        </w:rPr>
      </w:pPr>
      <w:r>
        <w:rPr>
          <w:rFonts w:hint="eastAsia" w:ascii="宋体" w:hAnsi="宋体" w:eastAsia="宋体" w:cs="宋体"/>
          <w:color w:val="auto"/>
          <w:kern w:val="0"/>
        </w:rPr>
        <w:t>我单位承诺：在本项目磋商</w:t>
      </w:r>
      <w:r>
        <w:rPr>
          <w:rFonts w:hint="eastAsia" w:ascii="宋体" w:hAnsi="宋体" w:eastAsia="宋体" w:cs="宋体"/>
          <w:color w:val="auto"/>
          <w:kern w:val="0"/>
          <w:lang w:val="zh-CN"/>
        </w:rPr>
        <w:t>采购</w:t>
      </w:r>
      <w:r>
        <w:rPr>
          <w:rFonts w:hint="eastAsia" w:ascii="宋体" w:hAnsi="宋体" w:eastAsia="宋体" w:cs="宋体"/>
          <w:color w:val="auto"/>
          <w:kern w:val="0"/>
        </w:rPr>
        <w:t>活动中具有履行合同所必需的设备和专业技术能力，可以按照磋商文件及采购人的要求提供本项目服务，履行合同内容、保证服务质量。</w:t>
      </w:r>
    </w:p>
    <w:p w14:paraId="038DE850">
      <w:pPr>
        <w:ind w:firstLine="480"/>
        <w:jc w:val="left"/>
        <w:rPr>
          <w:rFonts w:hint="eastAsia" w:ascii="宋体" w:hAnsi="宋体" w:eastAsia="宋体" w:cs="宋体"/>
          <w:color w:val="auto"/>
          <w:kern w:val="0"/>
        </w:rPr>
      </w:pPr>
    </w:p>
    <w:p w14:paraId="5ADAEA6C">
      <w:pPr>
        <w:pStyle w:val="17"/>
        <w:ind w:firstLine="480"/>
        <w:rPr>
          <w:rFonts w:hint="eastAsia" w:ascii="宋体" w:hAnsi="宋体" w:eastAsia="宋体" w:cs="宋体"/>
          <w:color w:val="auto"/>
          <w:sz w:val="24"/>
        </w:rPr>
      </w:pPr>
    </w:p>
    <w:p w14:paraId="4C385432">
      <w:pPr>
        <w:ind w:firstLine="480"/>
        <w:jc w:val="left"/>
        <w:rPr>
          <w:rFonts w:hint="eastAsia" w:ascii="宋体" w:hAnsi="宋体" w:eastAsia="宋体" w:cs="宋体"/>
          <w:color w:val="auto"/>
        </w:rPr>
      </w:pPr>
      <w:r>
        <w:rPr>
          <w:rFonts w:hint="eastAsia" w:ascii="宋体" w:hAnsi="宋体" w:eastAsia="宋体" w:cs="宋体"/>
          <w:color w:val="auto"/>
        </w:rPr>
        <w:t>特此声明！</w:t>
      </w:r>
    </w:p>
    <w:p w14:paraId="2D29DDC6">
      <w:pPr>
        <w:ind w:firstLine="480"/>
        <w:jc w:val="left"/>
        <w:rPr>
          <w:rFonts w:hint="eastAsia" w:ascii="宋体" w:hAnsi="宋体" w:eastAsia="宋体" w:cs="宋体"/>
          <w:color w:val="auto"/>
        </w:rPr>
      </w:pPr>
    </w:p>
    <w:p w14:paraId="47B4623A">
      <w:pPr>
        <w:spacing w:line="480" w:lineRule="auto"/>
        <w:ind w:firstLine="480"/>
        <w:jc w:val="left"/>
        <w:rPr>
          <w:rFonts w:hint="eastAsia" w:ascii="宋体" w:hAnsi="宋体" w:eastAsia="宋体" w:cs="宋体"/>
          <w:color w:val="auto"/>
        </w:rPr>
      </w:pPr>
    </w:p>
    <w:p w14:paraId="066CF337">
      <w:pPr>
        <w:spacing w:line="480" w:lineRule="auto"/>
        <w:ind w:firstLine="480"/>
        <w:jc w:val="left"/>
        <w:rPr>
          <w:rFonts w:hint="eastAsia" w:ascii="宋体" w:hAnsi="宋体" w:eastAsia="宋体" w:cs="宋体"/>
          <w:color w:val="auto"/>
          <w:u w:val="single"/>
        </w:rPr>
      </w:pPr>
      <w:r>
        <w:rPr>
          <w:rFonts w:hint="eastAsia" w:ascii="宋体" w:hAnsi="宋体" w:eastAsia="宋体" w:cs="宋体"/>
          <w:color w:val="auto"/>
        </w:rPr>
        <w:t xml:space="preserve">                      供应商全称（公章）：</w:t>
      </w:r>
      <w:r>
        <w:rPr>
          <w:rFonts w:hint="eastAsia" w:ascii="宋体" w:hAnsi="宋体" w:eastAsia="宋体" w:cs="宋体"/>
          <w:color w:val="auto"/>
          <w:u w:val="single"/>
        </w:rPr>
        <w:t xml:space="preserve">                            </w:t>
      </w:r>
    </w:p>
    <w:p w14:paraId="14A17F4F">
      <w:pPr>
        <w:spacing w:line="480" w:lineRule="auto"/>
        <w:ind w:firstLine="480"/>
        <w:jc w:val="left"/>
        <w:rPr>
          <w:rFonts w:hint="eastAsia" w:ascii="宋体" w:hAnsi="宋体" w:eastAsia="宋体" w:cs="宋体"/>
          <w:color w:val="auto"/>
          <w:u w:val="single"/>
        </w:rPr>
      </w:pPr>
      <w:r>
        <w:rPr>
          <w:rFonts w:hint="eastAsia" w:ascii="宋体" w:hAnsi="宋体" w:eastAsia="宋体" w:cs="宋体"/>
          <w:color w:val="auto"/>
        </w:rPr>
        <w:t xml:space="preserve">                      法定代表人或</w:t>
      </w:r>
      <w:r>
        <w:rPr>
          <w:rFonts w:hint="eastAsia" w:ascii="宋体" w:hAnsi="宋体" w:eastAsia="宋体" w:cs="宋体"/>
          <w:color w:val="auto"/>
          <w:kern w:val="0"/>
          <w:lang w:val="zh-CN"/>
        </w:rPr>
        <w:t>授权代表</w:t>
      </w:r>
      <w:r>
        <w:rPr>
          <w:rFonts w:hint="eastAsia" w:ascii="宋体" w:hAnsi="宋体" w:eastAsia="宋体" w:cs="宋体"/>
          <w:color w:val="auto"/>
        </w:rPr>
        <w:t>（</w:t>
      </w:r>
      <w:r>
        <w:rPr>
          <w:rFonts w:hint="eastAsia" w:ascii="宋体" w:hAnsi="宋体" w:eastAsia="宋体" w:cs="宋体"/>
          <w:color w:val="auto"/>
          <w:kern w:val="0"/>
          <w:lang w:val="zh-CN"/>
        </w:rPr>
        <w:t>签字</w:t>
      </w:r>
      <w:r>
        <w:rPr>
          <w:rFonts w:hint="eastAsia" w:ascii="宋体" w:hAnsi="宋体" w:eastAsia="宋体" w:cs="宋体"/>
          <w:color w:val="auto"/>
          <w:kern w:val="0"/>
          <w:lang w:val="en-US" w:eastAsia="zh-CN"/>
        </w:rPr>
        <w:t>或盖章</w:t>
      </w:r>
      <w:r>
        <w:rPr>
          <w:rFonts w:hint="eastAsia" w:ascii="宋体" w:hAnsi="宋体" w:eastAsia="宋体" w:cs="宋体"/>
          <w:color w:val="auto"/>
        </w:rPr>
        <w:t>）：</w:t>
      </w:r>
      <w:r>
        <w:rPr>
          <w:rFonts w:hint="eastAsia" w:ascii="宋体" w:hAnsi="宋体" w:eastAsia="宋体" w:cs="宋体"/>
          <w:color w:val="auto"/>
          <w:u w:val="single"/>
        </w:rPr>
        <w:t xml:space="preserve">                  </w:t>
      </w:r>
    </w:p>
    <w:p w14:paraId="759A0E3E">
      <w:pPr>
        <w:pStyle w:val="24"/>
        <w:spacing w:line="500" w:lineRule="exact"/>
        <w:ind w:firstLine="600" w:firstLineChars="250"/>
        <w:rPr>
          <w:rFonts w:hint="eastAsia" w:ascii="宋体" w:hAnsi="宋体" w:eastAsia="宋体" w:cs="宋体"/>
          <w:color w:val="auto"/>
          <w:szCs w:val="24"/>
        </w:rPr>
      </w:pPr>
      <w:r>
        <w:rPr>
          <w:rFonts w:hint="eastAsia" w:ascii="宋体" w:hAnsi="宋体" w:eastAsia="宋体" w:cs="宋体"/>
          <w:color w:val="auto"/>
          <w:szCs w:val="24"/>
        </w:rPr>
        <w:t xml:space="preserve">                              日   期：      年    月    日 </w:t>
      </w:r>
    </w:p>
    <w:p w14:paraId="299C91D3">
      <w:pPr>
        <w:spacing w:line="360" w:lineRule="atLeast"/>
        <w:ind w:firstLine="482"/>
        <w:jc w:val="center"/>
        <w:rPr>
          <w:rFonts w:hint="eastAsia" w:ascii="宋体" w:hAnsi="宋体" w:eastAsia="宋体" w:cs="宋体"/>
          <w:b/>
          <w:color w:val="auto"/>
        </w:rPr>
      </w:pPr>
    </w:p>
    <w:p w14:paraId="0B42533B">
      <w:pPr>
        <w:pStyle w:val="17"/>
        <w:ind w:firstLine="560"/>
        <w:rPr>
          <w:rFonts w:hint="eastAsia" w:ascii="宋体" w:hAnsi="宋体" w:eastAsia="宋体" w:cs="宋体"/>
          <w:color w:val="auto"/>
          <w:lang w:val="zh-CN"/>
        </w:rPr>
      </w:pPr>
    </w:p>
    <w:p w14:paraId="5344CD42">
      <w:pPr>
        <w:ind w:firstLine="480"/>
        <w:rPr>
          <w:rFonts w:hint="eastAsia" w:ascii="宋体" w:hAnsi="宋体" w:eastAsia="宋体" w:cs="宋体"/>
          <w:color w:val="auto"/>
          <w:lang w:val="zh-CN"/>
        </w:rPr>
      </w:pPr>
      <w:r>
        <w:rPr>
          <w:rFonts w:hint="eastAsia" w:ascii="宋体" w:hAnsi="宋体" w:eastAsia="宋体" w:cs="宋体"/>
          <w:color w:val="auto"/>
          <w:lang w:val="zh-CN"/>
        </w:rPr>
        <w:br w:type="page"/>
      </w:r>
    </w:p>
    <w:p w14:paraId="49D4C49C">
      <w:pPr>
        <w:spacing w:line="360" w:lineRule="atLeast"/>
        <w:ind w:firstLine="643"/>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具备法律、行政法规规定的其他条件的声明</w:t>
      </w:r>
    </w:p>
    <w:p w14:paraId="735D56BA">
      <w:pPr>
        <w:spacing w:line="360" w:lineRule="atLeast"/>
        <w:ind w:firstLine="480"/>
        <w:jc w:val="left"/>
        <w:rPr>
          <w:rFonts w:hint="eastAsia" w:ascii="宋体" w:hAnsi="宋体" w:eastAsia="宋体" w:cs="宋体"/>
          <w:color w:val="auto"/>
        </w:rPr>
      </w:pPr>
    </w:p>
    <w:p w14:paraId="152E4BE3">
      <w:pPr>
        <w:ind w:firstLine="480"/>
        <w:jc w:val="left"/>
        <w:rPr>
          <w:rFonts w:hint="eastAsia" w:ascii="宋体" w:hAnsi="宋体" w:eastAsia="宋体" w:cs="宋体"/>
          <w:color w:val="auto"/>
          <w:kern w:val="0"/>
        </w:rPr>
      </w:pPr>
    </w:p>
    <w:p w14:paraId="4438E7DD">
      <w:pPr>
        <w:ind w:firstLine="0" w:firstLineChars="0"/>
        <w:jc w:val="left"/>
        <w:rPr>
          <w:rFonts w:hint="eastAsia" w:ascii="宋体" w:hAnsi="宋体" w:eastAsia="宋体" w:cs="宋体"/>
          <w:color w:val="auto"/>
        </w:rPr>
      </w:pPr>
      <w:r>
        <w:rPr>
          <w:rFonts w:hint="eastAsia" w:ascii="宋体" w:hAnsi="宋体" w:eastAsia="宋体" w:cs="宋体"/>
          <w:b/>
          <w:bCs/>
          <w:color w:val="auto"/>
          <w:kern w:val="0"/>
        </w:rPr>
        <w:t>致：陕西四方衡裕项目管理有限公司</w:t>
      </w:r>
    </w:p>
    <w:p w14:paraId="41AD59A1">
      <w:pPr>
        <w:ind w:firstLine="480"/>
        <w:jc w:val="left"/>
        <w:rPr>
          <w:rFonts w:hint="eastAsia" w:ascii="宋体" w:hAnsi="宋体" w:eastAsia="宋体" w:cs="宋体"/>
          <w:color w:val="auto"/>
          <w:kern w:val="0"/>
        </w:rPr>
      </w:pPr>
      <w:r>
        <w:rPr>
          <w:rFonts w:hint="eastAsia" w:ascii="宋体" w:hAnsi="宋体" w:eastAsia="宋体" w:cs="宋体"/>
          <w:color w:val="auto"/>
          <w:kern w:val="0"/>
        </w:rPr>
        <w:t>我公司郑重声明，在参加此次采购项目</w:t>
      </w:r>
      <w:r>
        <w:rPr>
          <w:rFonts w:hint="eastAsia" w:ascii="宋体" w:hAnsi="宋体" w:eastAsia="宋体" w:cs="宋体"/>
          <w:color w:val="auto"/>
          <w:kern w:val="0"/>
          <w:u w:val="single"/>
        </w:rPr>
        <w:t xml:space="preserve"> （采购项目名称） （</w:t>
      </w:r>
      <w:r>
        <w:rPr>
          <w:rFonts w:hint="eastAsia" w:ascii="宋体" w:hAnsi="宋体" w:eastAsia="宋体" w:cs="宋体"/>
          <w:color w:val="auto"/>
          <w:kern w:val="0"/>
          <w:highlight w:val="none"/>
          <w:u w:val="single"/>
          <w:lang w:val="en-US" w:eastAsia="zh-CN"/>
        </w:rPr>
        <w:t>项目编号</w:t>
      </w:r>
      <w:r>
        <w:rPr>
          <w:rFonts w:hint="eastAsia" w:ascii="宋体" w:hAnsi="宋体" w:eastAsia="宋体" w:cs="宋体"/>
          <w:color w:val="auto"/>
          <w:kern w:val="0"/>
          <w:u w:val="single"/>
        </w:rPr>
        <w:t xml:space="preserve">） </w:t>
      </w:r>
      <w:r>
        <w:rPr>
          <w:rFonts w:hint="eastAsia" w:ascii="宋体" w:hAnsi="宋体" w:eastAsia="宋体" w:cs="宋体"/>
          <w:color w:val="auto"/>
          <w:kern w:val="0"/>
        </w:rPr>
        <w:t>的磋商过程中，保证提供的服务符合磋商文件规定，符合法律、行政法规规定的其他条件。</w:t>
      </w:r>
    </w:p>
    <w:p w14:paraId="50C3F725">
      <w:pPr>
        <w:ind w:firstLine="480"/>
        <w:jc w:val="left"/>
        <w:rPr>
          <w:rFonts w:hint="eastAsia" w:ascii="宋体" w:hAnsi="宋体" w:eastAsia="宋体" w:cs="宋体"/>
          <w:color w:val="auto"/>
        </w:rPr>
      </w:pPr>
      <w:r>
        <w:rPr>
          <w:rFonts w:hint="eastAsia" w:ascii="宋体" w:hAnsi="宋体" w:eastAsia="宋体" w:cs="宋体"/>
          <w:color w:val="auto"/>
        </w:rPr>
        <w:t>特此声明，并承担相应责任。</w:t>
      </w:r>
    </w:p>
    <w:p w14:paraId="4B3AF087">
      <w:pPr>
        <w:ind w:firstLine="480"/>
        <w:jc w:val="left"/>
        <w:rPr>
          <w:rFonts w:hint="eastAsia" w:ascii="宋体" w:hAnsi="宋体" w:eastAsia="宋体" w:cs="宋体"/>
          <w:color w:val="auto"/>
        </w:rPr>
      </w:pPr>
    </w:p>
    <w:p w14:paraId="77B67CF0">
      <w:pPr>
        <w:spacing w:line="480" w:lineRule="auto"/>
        <w:ind w:firstLine="480"/>
        <w:jc w:val="left"/>
        <w:rPr>
          <w:rFonts w:hint="eastAsia" w:ascii="宋体" w:hAnsi="宋体" w:eastAsia="宋体" w:cs="宋体"/>
          <w:color w:val="auto"/>
        </w:rPr>
      </w:pPr>
    </w:p>
    <w:p w14:paraId="047192D5">
      <w:pPr>
        <w:spacing w:line="480" w:lineRule="auto"/>
        <w:ind w:firstLine="480"/>
        <w:jc w:val="left"/>
        <w:rPr>
          <w:rFonts w:hint="eastAsia" w:ascii="宋体" w:hAnsi="宋体" w:eastAsia="宋体" w:cs="宋体"/>
          <w:color w:val="auto"/>
          <w:u w:val="single"/>
        </w:rPr>
      </w:pPr>
      <w:r>
        <w:rPr>
          <w:rFonts w:hint="eastAsia" w:ascii="宋体" w:hAnsi="宋体" w:eastAsia="宋体" w:cs="宋体"/>
          <w:color w:val="auto"/>
        </w:rPr>
        <w:t xml:space="preserve">                      供应商全称（公章）：</w:t>
      </w:r>
      <w:r>
        <w:rPr>
          <w:rFonts w:hint="eastAsia" w:ascii="宋体" w:hAnsi="宋体" w:eastAsia="宋体" w:cs="宋体"/>
          <w:color w:val="auto"/>
          <w:u w:val="single"/>
        </w:rPr>
        <w:t xml:space="preserve">                            </w:t>
      </w:r>
    </w:p>
    <w:p w14:paraId="715BE887">
      <w:pPr>
        <w:spacing w:line="480" w:lineRule="auto"/>
        <w:ind w:firstLine="480"/>
        <w:jc w:val="left"/>
        <w:rPr>
          <w:rFonts w:hint="eastAsia" w:ascii="宋体" w:hAnsi="宋体" w:eastAsia="宋体" w:cs="宋体"/>
          <w:color w:val="auto"/>
          <w:u w:val="single"/>
        </w:rPr>
      </w:pPr>
      <w:r>
        <w:rPr>
          <w:rFonts w:hint="eastAsia" w:ascii="宋体" w:hAnsi="宋体" w:eastAsia="宋体" w:cs="宋体"/>
          <w:color w:val="auto"/>
        </w:rPr>
        <w:t xml:space="preserve">                      法定代表人或</w:t>
      </w:r>
      <w:r>
        <w:rPr>
          <w:rFonts w:hint="eastAsia" w:ascii="宋体" w:hAnsi="宋体" w:eastAsia="宋体" w:cs="宋体"/>
          <w:color w:val="auto"/>
          <w:kern w:val="0"/>
          <w:lang w:val="zh-CN"/>
        </w:rPr>
        <w:t>授权代表</w:t>
      </w:r>
      <w:r>
        <w:rPr>
          <w:rFonts w:hint="eastAsia" w:ascii="宋体" w:hAnsi="宋体" w:eastAsia="宋体" w:cs="宋体"/>
          <w:color w:val="auto"/>
        </w:rPr>
        <w:t>（</w:t>
      </w:r>
      <w:r>
        <w:rPr>
          <w:rFonts w:hint="eastAsia" w:ascii="宋体" w:hAnsi="宋体" w:eastAsia="宋体" w:cs="宋体"/>
          <w:color w:val="auto"/>
          <w:kern w:val="0"/>
          <w:lang w:val="zh-CN"/>
        </w:rPr>
        <w:t>签字</w:t>
      </w:r>
      <w:r>
        <w:rPr>
          <w:rFonts w:hint="eastAsia" w:ascii="宋体" w:hAnsi="宋体" w:eastAsia="宋体" w:cs="宋体"/>
          <w:color w:val="auto"/>
          <w:kern w:val="0"/>
          <w:lang w:val="en-US" w:eastAsia="zh-CN"/>
        </w:rPr>
        <w:t>或盖章</w:t>
      </w:r>
      <w:r>
        <w:rPr>
          <w:rFonts w:hint="eastAsia" w:ascii="宋体" w:hAnsi="宋体" w:eastAsia="宋体" w:cs="宋体"/>
          <w:color w:val="auto"/>
        </w:rPr>
        <w:t>）：</w:t>
      </w:r>
      <w:r>
        <w:rPr>
          <w:rFonts w:hint="eastAsia" w:ascii="宋体" w:hAnsi="宋体" w:eastAsia="宋体" w:cs="宋体"/>
          <w:color w:val="auto"/>
          <w:u w:val="single"/>
        </w:rPr>
        <w:t xml:space="preserve">                  </w:t>
      </w:r>
    </w:p>
    <w:p w14:paraId="78AC7883">
      <w:pPr>
        <w:rPr>
          <w:rFonts w:hint="eastAsia" w:ascii="宋体" w:hAnsi="宋体" w:eastAsia="宋体" w:cs="宋体"/>
          <w:color w:val="auto"/>
        </w:rPr>
      </w:pPr>
      <w:r>
        <w:rPr>
          <w:rFonts w:hint="eastAsia" w:ascii="宋体" w:hAnsi="宋体" w:eastAsia="宋体" w:cs="宋体"/>
          <w:color w:val="auto"/>
        </w:rPr>
        <w:t xml:space="preserve">                              日   期：      年    月    日 </w:t>
      </w:r>
    </w:p>
    <w:p w14:paraId="44D233C5">
      <w:pPr>
        <w:rPr>
          <w:rFonts w:hint="eastAsia" w:ascii="宋体" w:hAnsi="宋体" w:eastAsia="宋体" w:cs="宋体"/>
          <w:color w:val="auto"/>
        </w:rPr>
      </w:pPr>
      <w:r>
        <w:rPr>
          <w:rFonts w:hint="eastAsia" w:ascii="宋体" w:hAnsi="宋体" w:eastAsia="宋体" w:cs="宋体"/>
          <w:color w:val="auto"/>
        </w:rPr>
        <w:br w:type="page"/>
      </w:r>
    </w:p>
    <w:p w14:paraId="2B0742B3">
      <w:pPr>
        <w:widowControl w:val="0"/>
        <w:spacing w:line="360" w:lineRule="auto"/>
        <w:ind w:left="0" w:leftChars="0" w:firstLine="0" w:firstLine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非联合体不分包投标声明</w:t>
      </w:r>
    </w:p>
    <w:p w14:paraId="795C0135">
      <w:pPr>
        <w:widowControl w:val="0"/>
        <w:spacing w:line="360" w:lineRule="auto"/>
        <w:ind w:left="0" w:leftChars="0" w:firstLine="0" w:firstLineChars="0"/>
        <w:jc w:val="center"/>
        <w:rPr>
          <w:rFonts w:hint="eastAsia" w:ascii="宋体" w:hAnsi="宋体" w:eastAsia="宋体" w:cs="宋体"/>
          <w:b/>
          <w:color w:val="auto"/>
          <w:sz w:val="32"/>
          <w:szCs w:val="32"/>
          <w:highlight w:val="none"/>
        </w:rPr>
      </w:pPr>
    </w:p>
    <w:p w14:paraId="1FF276F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本单位郑重声明，参加陕西四方衡裕</w:t>
      </w:r>
      <w:r>
        <w:rPr>
          <w:rFonts w:hint="eastAsia" w:ascii="宋体" w:hAnsi="宋体" w:eastAsia="宋体" w:cs="宋体"/>
          <w:color w:val="auto"/>
          <w:kern w:val="0"/>
          <w:highlight w:val="none"/>
          <w:lang w:val="en-US" w:eastAsia="zh-CN"/>
        </w:rPr>
        <w:t>项目管理</w:t>
      </w:r>
      <w:r>
        <w:rPr>
          <w:rFonts w:hint="eastAsia" w:ascii="宋体" w:hAnsi="宋体" w:eastAsia="宋体" w:cs="宋体"/>
          <w:color w:val="auto"/>
          <w:kern w:val="0"/>
          <w:highlight w:val="none"/>
        </w:rPr>
        <w:t>有限公司</w:t>
      </w:r>
      <w:r>
        <w:rPr>
          <w:rFonts w:hint="eastAsia" w:ascii="宋体" w:hAnsi="宋体" w:eastAsia="宋体" w:cs="宋体"/>
          <w:color w:val="auto"/>
          <w:kern w:val="0"/>
          <w:highlight w:val="none"/>
          <w:lang w:val="en-US" w:eastAsia="zh-CN"/>
        </w:rPr>
        <w:t>组织</w:t>
      </w:r>
      <w:r>
        <w:rPr>
          <w:rFonts w:hint="eastAsia" w:ascii="宋体" w:hAnsi="宋体" w:eastAsia="宋体" w:cs="宋体"/>
          <w:color w:val="auto"/>
          <w:kern w:val="0"/>
          <w:highlight w:val="none"/>
        </w:rPr>
        <w:t>的</w:t>
      </w:r>
      <w:r>
        <w:rPr>
          <w:rFonts w:hint="eastAsia" w:ascii="宋体" w:hAnsi="宋体" w:eastAsia="宋体" w:cs="宋体"/>
          <w:color w:val="auto"/>
          <w:kern w:val="0"/>
          <w:highlight w:val="none"/>
          <w:u w:val="single"/>
        </w:rPr>
        <w:t xml:space="preserve"> （采购项目名称） （</w:t>
      </w:r>
      <w:r>
        <w:rPr>
          <w:rFonts w:hint="eastAsia" w:ascii="宋体" w:hAnsi="宋体" w:eastAsia="宋体" w:cs="宋体"/>
          <w:color w:val="auto"/>
          <w:kern w:val="0"/>
          <w:highlight w:val="none"/>
          <w:u w:val="single"/>
          <w:lang w:val="en-US" w:eastAsia="zh-CN"/>
        </w:rPr>
        <w:t>采购项目编号</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采购活动，为非联合体投标，本项目实施过程由本单位独立承担</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不分包，不转包</w:t>
      </w:r>
      <w:r>
        <w:rPr>
          <w:rFonts w:hint="eastAsia" w:ascii="宋体" w:hAnsi="宋体" w:eastAsia="宋体" w:cs="宋体"/>
          <w:color w:val="auto"/>
          <w:kern w:val="0"/>
          <w:highlight w:val="none"/>
        </w:rPr>
        <w:t xml:space="preserve">。 </w:t>
      </w:r>
    </w:p>
    <w:p w14:paraId="5BAC446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本单位对上述声明的真实性负责。如有虚假，将依法承担相应责任。</w:t>
      </w:r>
    </w:p>
    <w:p w14:paraId="0CD25D2D">
      <w:pPr>
        <w:widowControl w:val="0"/>
        <w:spacing w:line="360" w:lineRule="auto"/>
        <w:ind w:firstLine="560" w:firstLineChars="200"/>
        <w:jc w:val="left"/>
        <w:rPr>
          <w:rFonts w:hint="eastAsia" w:ascii="宋体" w:hAnsi="宋体" w:eastAsia="宋体" w:cs="宋体"/>
          <w:color w:val="auto"/>
          <w:kern w:val="0"/>
          <w:sz w:val="28"/>
          <w:szCs w:val="24"/>
          <w:highlight w:val="none"/>
          <w:lang w:val="en-US" w:eastAsia="zh-CN" w:bidi="ar-SA"/>
        </w:rPr>
      </w:pPr>
    </w:p>
    <w:p w14:paraId="72F3FD31">
      <w:pPr>
        <w:widowControl w:val="0"/>
        <w:spacing w:line="360" w:lineRule="auto"/>
        <w:ind w:firstLine="480" w:firstLineChars="200"/>
        <w:jc w:val="both"/>
        <w:rPr>
          <w:rFonts w:hint="eastAsia" w:ascii="宋体" w:hAnsi="宋体" w:eastAsia="宋体" w:cs="宋体"/>
          <w:color w:val="auto"/>
          <w:highlight w:val="none"/>
        </w:rPr>
      </w:pPr>
    </w:p>
    <w:p w14:paraId="69FE4395">
      <w:pPr>
        <w:widowControl w:val="0"/>
        <w:spacing w:line="480" w:lineRule="auto"/>
        <w:ind w:firstLine="3120" w:firstLineChars="1300"/>
        <w:jc w:val="left"/>
        <w:rPr>
          <w:rFonts w:hint="eastAsia" w:ascii="宋体" w:hAnsi="宋体" w:eastAsia="宋体" w:cs="宋体"/>
          <w:color w:val="auto"/>
          <w:highlight w:val="none"/>
          <w:u w:val="single"/>
        </w:rPr>
      </w:pP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全称（公章）：</w:t>
      </w:r>
      <w:r>
        <w:rPr>
          <w:rFonts w:hint="eastAsia" w:ascii="宋体" w:hAnsi="宋体" w:eastAsia="宋体" w:cs="宋体"/>
          <w:color w:val="auto"/>
          <w:highlight w:val="none"/>
          <w:u w:val="single"/>
        </w:rPr>
        <w:t xml:space="preserve">                            </w:t>
      </w:r>
    </w:p>
    <w:p w14:paraId="375FC46A">
      <w:pPr>
        <w:widowControl w:val="0"/>
        <w:spacing w:line="480" w:lineRule="auto"/>
        <w:ind w:firstLine="480" w:firstLineChars="200"/>
        <w:jc w:val="lef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法定代表人或</w:t>
      </w:r>
      <w:r>
        <w:rPr>
          <w:rFonts w:hint="eastAsia" w:ascii="宋体" w:hAnsi="宋体" w:eastAsia="宋体" w:cs="宋体"/>
          <w:color w:val="auto"/>
          <w:kern w:val="0"/>
          <w:highlight w:val="none"/>
          <w:lang w:val="zh-CN"/>
        </w:rPr>
        <w:t>授权代表</w:t>
      </w:r>
      <w:r>
        <w:rPr>
          <w:rFonts w:hint="eastAsia" w:ascii="宋体" w:hAnsi="宋体" w:eastAsia="宋体" w:cs="宋体"/>
          <w:color w:val="auto"/>
          <w:highlight w:val="none"/>
        </w:rPr>
        <w:t>（签字</w:t>
      </w:r>
      <w:r>
        <w:rPr>
          <w:rFonts w:hint="eastAsia" w:ascii="宋体" w:hAnsi="宋体" w:eastAsia="宋体" w:cs="宋体"/>
          <w:color w:val="auto"/>
          <w:highlight w:val="none"/>
          <w:lang w:val="en-US" w:eastAsia="zh-CN"/>
        </w:rPr>
        <w:t>或盖章</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p>
    <w:p w14:paraId="3A42BBDD">
      <w:pPr>
        <w:pStyle w:val="44"/>
        <w:rPr>
          <w:rFonts w:hint="eastAsia" w:ascii="宋体" w:hAnsi="宋体" w:eastAsia="宋体" w:cs="宋体"/>
          <w:color w:val="auto"/>
          <w:highlight w:val="none"/>
          <w:lang w:val="en-US" w:eastAsia="zh-CN"/>
        </w:rPr>
      </w:pPr>
      <w:r>
        <w:rPr>
          <w:rFonts w:hint="eastAsia" w:ascii="宋体" w:hAnsi="宋体" w:eastAsia="宋体" w:cs="宋体"/>
          <w:b/>
          <w:color w:val="auto"/>
          <w:kern w:val="0"/>
          <w:sz w:val="28"/>
          <w:szCs w:val="20"/>
          <w:highlight w:val="none"/>
          <w:lang w:val="en-US" w:eastAsia="zh-CN" w:bidi="ar-SA"/>
        </w:rPr>
        <w:t xml:space="preserve">             </w:t>
      </w:r>
      <w:r>
        <w:rPr>
          <w:rFonts w:hint="eastAsia" w:ascii="宋体" w:hAnsi="宋体" w:eastAsia="宋体" w:cs="宋体"/>
          <w:b w:val="0"/>
          <w:color w:val="auto"/>
          <w:kern w:val="2"/>
          <w:sz w:val="24"/>
          <w:szCs w:val="24"/>
          <w:highlight w:val="none"/>
          <w:lang w:val="en-US" w:eastAsia="zh-CN" w:bidi="ar-SA"/>
        </w:rPr>
        <w:t xml:space="preserve">                 日   期：      年    月    日</w:t>
      </w:r>
    </w:p>
    <w:p w14:paraId="6419785E">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r>
    </w:p>
    <w:p w14:paraId="67469A8D">
      <w:pPr>
        <w:pStyle w:val="4"/>
        <w:numPr>
          <w:ilvl w:val="0"/>
          <w:numId w:val="0"/>
        </w:numPr>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第</w:t>
      </w:r>
      <w:r>
        <w:rPr>
          <w:rFonts w:hint="eastAsia" w:ascii="宋体" w:hAnsi="宋体" w:eastAsia="宋体" w:cs="宋体"/>
          <w:color w:val="auto"/>
          <w:highlight w:val="none"/>
          <w:lang w:val="en-US" w:eastAsia="zh-CN"/>
        </w:rPr>
        <w:t>七</w:t>
      </w:r>
      <w:r>
        <w:rPr>
          <w:rFonts w:hint="eastAsia" w:ascii="宋体" w:hAnsi="宋体" w:eastAsia="宋体" w:cs="宋体"/>
          <w:color w:val="auto"/>
          <w:highlight w:val="none"/>
          <w:lang w:val="zh-CN"/>
        </w:rPr>
        <w:t xml:space="preserve">部分  </w:t>
      </w:r>
      <w:r>
        <w:rPr>
          <w:rFonts w:hint="eastAsia" w:ascii="宋体" w:hAnsi="宋体" w:eastAsia="宋体" w:cs="宋体"/>
          <w:color w:val="auto"/>
          <w:highlight w:val="none"/>
        </w:rPr>
        <w:t>服务实施方案</w:t>
      </w:r>
    </w:p>
    <w:p w14:paraId="1DD27F06">
      <w:pPr>
        <w:widowControl/>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供应商</w:t>
      </w:r>
      <w:r>
        <w:rPr>
          <w:rFonts w:hint="eastAsia" w:ascii="宋体" w:hAnsi="宋体" w:eastAsia="宋体" w:cs="宋体"/>
          <w:color w:val="auto"/>
          <w:kern w:val="0"/>
          <w:highlight w:val="none"/>
          <w:lang w:val="zh-CN"/>
        </w:rPr>
        <w:t>根据磋商文件要求及评审内容自行编制。</w:t>
      </w:r>
    </w:p>
    <w:p w14:paraId="218D465B">
      <w:pPr>
        <w:widowControl/>
        <w:rPr>
          <w:rFonts w:hint="eastAsia" w:ascii="宋体" w:hAnsi="宋体" w:eastAsia="宋体" w:cs="宋体"/>
          <w:b/>
          <w:bCs/>
          <w:color w:val="auto"/>
          <w:kern w:val="0"/>
          <w:highlight w:val="none"/>
        </w:rPr>
      </w:pPr>
    </w:p>
    <w:p w14:paraId="3E46A5A1">
      <w:pPr>
        <w:ind w:right="-161" w:firstLine="2640" w:firstLineChars="1100"/>
        <w:rPr>
          <w:rFonts w:hint="eastAsia" w:ascii="宋体" w:hAnsi="宋体" w:eastAsia="宋体" w:cs="宋体"/>
          <w:color w:val="auto"/>
          <w:highlight w:val="none"/>
        </w:rPr>
      </w:pPr>
    </w:p>
    <w:p w14:paraId="4C089471">
      <w:pPr>
        <w:rPr>
          <w:rFonts w:hint="eastAsia" w:ascii="宋体" w:hAnsi="宋体" w:eastAsia="宋体" w:cs="宋体"/>
          <w:color w:val="auto"/>
          <w:highlight w:val="none"/>
        </w:rPr>
        <w:sectPr>
          <w:pgSz w:w="11906" w:h="16838"/>
          <w:pgMar w:top="1440" w:right="1293" w:bottom="1440" w:left="1293"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F50A406">
      <w:pPr>
        <w:pStyle w:val="4"/>
        <w:numPr>
          <w:ilvl w:val="0"/>
          <w:numId w:val="0"/>
        </w:numPr>
        <w:jc w:val="center"/>
        <w:rPr>
          <w:rFonts w:hint="eastAsia" w:ascii="宋体" w:hAnsi="宋体" w:eastAsia="宋体" w:cs="宋体"/>
          <w:color w:val="auto"/>
          <w:highlight w:val="none"/>
        </w:rPr>
      </w:pPr>
      <w:bookmarkStart w:id="164" w:name="_Toc31050_WPSOffice_Level1"/>
      <w:bookmarkStart w:id="165" w:name="_Toc16423"/>
      <w:bookmarkStart w:id="166" w:name="_Toc13445_WPSOffice_Level1"/>
      <w:bookmarkStart w:id="167" w:name="_Toc31795_WPSOffice_Level1"/>
      <w:bookmarkStart w:id="168" w:name="_Toc20889_WPSOffice_Level1"/>
      <w:r>
        <w:rPr>
          <w:rFonts w:hint="eastAsia" w:ascii="宋体" w:hAnsi="宋体" w:eastAsia="宋体" w:cs="宋体"/>
          <w:color w:val="auto"/>
          <w:highlight w:val="none"/>
          <w:lang w:val="zh-CN"/>
        </w:rPr>
        <w:t>第</w:t>
      </w:r>
      <w:r>
        <w:rPr>
          <w:rFonts w:hint="eastAsia" w:ascii="宋体" w:hAnsi="宋体" w:eastAsia="宋体" w:cs="宋体"/>
          <w:color w:val="auto"/>
          <w:highlight w:val="none"/>
          <w:lang w:val="en-US" w:eastAsia="zh-CN"/>
        </w:rPr>
        <w:t>八</w:t>
      </w:r>
      <w:r>
        <w:rPr>
          <w:rFonts w:hint="eastAsia" w:ascii="宋体" w:hAnsi="宋体" w:eastAsia="宋体" w:cs="宋体"/>
          <w:color w:val="auto"/>
          <w:highlight w:val="none"/>
          <w:lang w:val="zh-CN"/>
        </w:rPr>
        <w:t xml:space="preserve">部分  </w:t>
      </w:r>
      <w:r>
        <w:rPr>
          <w:rFonts w:hint="eastAsia" w:ascii="宋体" w:hAnsi="宋体" w:eastAsia="宋体" w:cs="宋体"/>
          <w:color w:val="auto"/>
          <w:highlight w:val="none"/>
        </w:rPr>
        <w:t>供应商认为有必要说明的其他资料</w:t>
      </w:r>
      <w:bookmarkEnd w:id="164"/>
      <w:bookmarkEnd w:id="165"/>
      <w:bookmarkEnd w:id="166"/>
      <w:bookmarkEnd w:id="167"/>
      <w:bookmarkEnd w:id="168"/>
    </w:p>
    <w:p w14:paraId="6C090359">
      <w:pPr>
        <w:spacing w:line="480" w:lineRule="exact"/>
        <w:rPr>
          <w:rFonts w:hint="eastAsia" w:ascii="宋体" w:hAnsi="宋体" w:eastAsia="宋体" w:cs="宋体"/>
          <w:b/>
          <w:color w:val="auto"/>
          <w:highlight w:val="none"/>
        </w:rPr>
      </w:pPr>
      <w:r>
        <w:rPr>
          <w:rFonts w:hint="eastAsia" w:ascii="宋体" w:hAnsi="宋体" w:eastAsia="宋体" w:cs="宋体"/>
          <w:color w:val="auto"/>
          <w:spacing w:val="4"/>
          <w:highlight w:val="none"/>
        </w:rPr>
        <w:br w:type="page"/>
      </w:r>
      <w:bookmarkEnd w:id="124"/>
      <w:bookmarkEnd w:id="130"/>
      <w:r>
        <w:rPr>
          <w:rFonts w:hint="eastAsia" w:ascii="宋体" w:hAnsi="宋体" w:eastAsia="宋体" w:cs="宋体"/>
          <w:b/>
          <w:color w:val="auto"/>
          <w:highlight w:val="none"/>
          <w:lang w:val="en-US" w:eastAsia="zh-CN"/>
        </w:rPr>
        <w:t>附件</w:t>
      </w:r>
      <w:r>
        <w:rPr>
          <w:rFonts w:hint="eastAsia" w:ascii="宋体" w:hAnsi="宋体" w:eastAsia="宋体" w:cs="宋体"/>
          <w:b/>
          <w:color w:val="auto"/>
          <w:highlight w:val="none"/>
        </w:rPr>
        <w:t>1．中小企业声明函</w:t>
      </w:r>
    </w:p>
    <w:p w14:paraId="1ECAEE3D">
      <w:pPr>
        <w:keepNext/>
        <w:keepLines/>
        <w:widowControl w:val="0"/>
        <w:numPr>
          <w:ilvl w:val="0"/>
          <w:numId w:val="0"/>
        </w:numPr>
        <w:spacing w:before="340" w:after="330" w:line="360" w:lineRule="auto"/>
        <w:ind w:left="562" w:hanging="562" w:hangingChars="200"/>
        <w:jc w:val="center"/>
        <w:outlineLvl w:val="9"/>
        <w:rPr>
          <w:rFonts w:hint="eastAsia" w:ascii="宋体" w:hAnsi="宋体" w:eastAsia="宋体" w:cs="宋体"/>
          <w:b/>
          <w:color w:val="auto"/>
          <w:kern w:val="44"/>
          <w:sz w:val="44"/>
          <w:szCs w:val="20"/>
          <w:highlight w:val="none"/>
          <w:lang w:val="en-US" w:eastAsia="zh-CN" w:bidi="ar-SA"/>
        </w:rPr>
      </w:pPr>
      <w:bookmarkStart w:id="169" w:name="_Toc26143"/>
      <w:bookmarkStart w:id="170" w:name="_Toc22847"/>
      <w:r>
        <w:rPr>
          <w:rFonts w:hint="eastAsia" w:ascii="宋体" w:hAnsi="宋体" w:eastAsia="宋体" w:cs="宋体"/>
          <w:b/>
          <w:color w:val="auto"/>
          <w:kern w:val="44"/>
          <w:sz w:val="28"/>
          <w:szCs w:val="28"/>
          <w:highlight w:val="none"/>
          <w:lang w:val="en-US" w:eastAsia="zh-CN" w:bidi="ar-SA"/>
        </w:rPr>
        <w:t>中小企业声明函（服务、工程）</w:t>
      </w:r>
      <w:bookmarkEnd w:id="169"/>
      <w:bookmarkEnd w:id="170"/>
    </w:p>
    <w:p w14:paraId="31947C2B">
      <w:pPr>
        <w:widowControl w:val="0"/>
        <w:spacing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本公司（联合体）郑重声明，根据《政府采购促进中小企业发展管理办法》（财库﹝2020﹞46 号）的规定，本公司（联合体）参加</w:t>
      </w:r>
      <w:r>
        <w:rPr>
          <w:rFonts w:hint="eastAsia" w:ascii="宋体" w:hAnsi="宋体" w:eastAsia="宋体" w:cs="宋体"/>
          <w:color w:val="auto"/>
          <w:kern w:val="2"/>
          <w:sz w:val="24"/>
          <w:szCs w:val="24"/>
          <w:highlight w:val="none"/>
          <w:u w:val="single"/>
          <w:lang w:val="en-US" w:eastAsia="zh-CN" w:bidi="ar-SA"/>
        </w:rPr>
        <w:t>（单位名称）</w:t>
      </w:r>
      <w:r>
        <w:rPr>
          <w:rFonts w:hint="eastAsia" w:ascii="宋体" w:hAnsi="宋体" w:eastAsia="宋体"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u w:val="single"/>
          <w:lang w:val="en-US" w:eastAsia="zh-CN" w:bidi="ar-SA"/>
        </w:rPr>
        <w:t>（项目名称）</w:t>
      </w:r>
      <w:r>
        <w:rPr>
          <w:rFonts w:hint="eastAsia" w:ascii="宋体" w:hAnsi="宋体" w:eastAsia="宋体" w:cs="宋体"/>
          <w:color w:val="auto"/>
          <w:kern w:val="2"/>
          <w:sz w:val="24"/>
          <w:szCs w:val="24"/>
          <w:highlight w:val="none"/>
          <w:lang w:val="en-US" w:eastAsia="zh-CN" w:bidi="ar-SA"/>
        </w:rPr>
        <w:t>采购活动，工程的施工单位全部为符合政策要求的中小企业（或者：服务</w:t>
      </w:r>
      <w:r>
        <w:rPr>
          <w:rFonts w:hint="eastAsia" w:ascii="宋体" w:hAnsi="宋体" w:eastAsia="宋体" w:cs="宋体"/>
          <w:color w:val="auto"/>
          <w:w w:val="95"/>
          <w:kern w:val="2"/>
          <w:sz w:val="24"/>
          <w:szCs w:val="24"/>
          <w:highlight w:val="none"/>
          <w:lang w:val="en-US" w:eastAsia="zh-CN" w:bidi="ar-SA"/>
        </w:rPr>
        <w:t>全部由符合政策要求的中小企业承接）。相关企业（含联合</w:t>
      </w:r>
      <w:r>
        <w:rPr>
          <w:rFonts w:hint="eastAsia" w:ascii="宋体" w:hAnsi="宋体" w:eastAsia="宋体" w:cs="宋体"/>
          <w:color w:val="auto"/>
          <w:kern w:val="2"/>
          <w:sz w:val="24"/>
          <w:szCs w:val="24"/>
          <w:highlight w:val="none"/>
          <w:lang w:val="en-US" w:eastAsia="zh-CN" w:bidi="ar-SA"/>
        </w:rPr>
        <w:t>体中的中小企业、签订分包意向协议的中小企业）的具体情况如下：</w:t>
      </w:r>
    </w:p>
    <w:p w14:paraId="485EFF45">
      <w:pPr>
        <w:widowControl w:val="0"/>
        <w:tabs>
          <w:tab w:val="left" w:pos="1243"/>
        </w:tabs>
        <w:spacing w:line="360" w:lineRule="auto"/>
        <w:ind w:firstLine="478" w:firstLineChars="208"/>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w w:val="96"/>
          <w:kern w:val="2"/>
          <w:sz w:val="24"/>
          <w:szCs w:val="24"/>
          <w:highlight w:val="none"/>
          <w:lang w:val="en-US" w:eastAsia="zh-CN" w:bidi="ar-SA"/>
        </w:rPr>
        <w:t>1.</w:t>
      </w:r>
      <w:r>
        <w:rPr>
          <w:rFonts w:hint="eastAsia" w:ascii="宋体" w:hAnsi="宋体" w:eastAsia="宋体" w:cs="宋体"/>
          <w:color w:val="auto"/>
          <w:w w:val="96"/>
          <w:kern w:val="2"/>
          <w:sz w:val="24"/>
          <w:szCs w:val="24"/>
          <w:highlight w:val="none"/>
          <w:u w:val="single"/>
          <w:lang w:val="en-US" w:eastAsia="zh-CN" w:bidi="ar-SA"/>
        </w:rPr>
        <w:t>（标的名称）</w:t>
      </w:r>
      <w:r>
        <w:rPr>
          <w:rFonts w:hint="eastAsia" w:ascii="宋体" w:hAnsi="宋体" w:eastAsia="宋体" w:cs="宋体"/>
          <w:color w:val="auto"/>
          <w:w w:val="99"/>
          <w:kern w:val="2"/>
          <w:sz w:val="24"/>
          <w:szCs w:val="24"/>
          <w:highlight w:val="none"/>
          <w:lang w:val="en-US" w:eastAsia="zh-CN" w:bidi="ar-SA"/>
        </w:rPr>
        <w:t>，属于</w:t>
      </w:r>
      <w:r>
        <w:rPr>
          <w:rFonts w:hint="eastAsia" w:ascii="宋体" w:hAnsi="宋体" w:eastAsia="宋体" w:cs="宋体"/>
          <w:color w:val="auto"/>
          <w:w w:val="96"/>
          <w:kern w:val="2"/>
          <w:sz w:val="24"/>
          <w:szCs w:val="24"/>
          <w:highlight w:val="none"/>
          <w:lang w:val="en-US" w:eastAsia="zh-CN" w:bidi="ar-SA"/>
        </w:rPr>
        <w:t>（</w:t>
      </w:r>
      <w:r>
        <w:rPr>
          <w:rFonts w:hint="eastAsia" w:ascii="宋体" w:hAnsi="宋体" w:eastAsia="宋体" w:cs="宋体"/>
          <w:color w:val="auto"/>
          <w:w w:val="96"/>
          <w:kern w:val="2"/>
          <w:sz w:val="24"/>
          <w:szCs w:val="24"/>
          <w:highlight w:val="none"/>
          <w:u w:val="single"/>
          <w:lang w:val="en-US" w:eastAsia="zh-CN" w:bidi="ar-SA"/>
        </w:rPr>
        <w:t>采购文件中明确的所属行业）</w:t>
      </w:r>
      <w:r>
        <w:rPr>
          <w:rFonts w:hint="eastAsia" w:ascii="宋体" w:hAnsi="宋体" w:eastAsia="宋体" w:cs="宋体"/>
          <w:color w:val="auto"/>
          <w:w w:val="99"/>
          <w:kern w:val="2"/>
          <w:sz w:val="24"/>
          <w:szCs w:val="24"/>
          <w:highlight w:val="none"/>
          <w:lang w:val="en-US" w:eastAsia="zh-CN" w:bidi="ar-SA"/>
        </w:rPr>
        <w:t>；承建（承接）企业为</w:t>
      </w:r>
      <w:r>
        <w:rPr>
          <w:rFonts w:hint="eastAsia" w:ascii="宋体" w:hAnsi="宋体" w:eastAsia="宋体" w:cs="宋体"/>
          <w:color w:val="auto"/>
          <w:w w:val="96"/>
          <w:kern w:val="2"/>
          <w:sz w:val="24"/>
          <w:szCs w:val="24"/>
          <w:highlight w:val="none"/>
          <w:u w:val="single"/>
          <w:lang w:val="en-US" w:eastAsia="zh-CN" w:bidi="ar-SA"/>
        </w:rPr>
        <w:t>（企业名称）</w:t>
      </w:r>
      <w:r>
        <w:rPr>
          <w:rFonts w:hint="eastAsia" w:ascii="宋体" w:hAnsi="宋体" w:eastAsia="宋体" w:cs="宋体"/>
          <w:color w:val="auto"/>
          <w:w w:val="99"/>
          <w:kern w:val="2"/>
          <w:sz w:val="24"/>
          <w:szCs w:val="24"/>
          <w:highlight w:val="none"/>
          <w:lang w:val="en-US" w:eastAsia="zh-CN" w:bidi="ar-SA"/>
        </w:rPr>
        <w:t>，从业人员</w:t>
      </w:r>
      <w:r>
        <w:rPr>
          <w:rFonts w:hint="eastAsia" w:ascii="宋体" w:hAnsi="宋体" w:eastAsia="宋体" w:cs="宋体"/>
          <w:color w:val="auto"/>
          <w:w w:val="99"/>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u w:val="single"/>
          <w:lang w:val="en-US" w:eastAsia="zh-CN" w:bidi="ar-SA"/>
        </w:rPr>
        <w:tab/>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w w:val="99"/>
          <w:kern w:val="2"/>
          <w:sz w:val="24"/>
          <w:szCs w:val="24"/>
          <w:highlight w:val="none"/>
          <w:lang w:val="en-US" w:eastAsia="zh-CN" w:bidi="ar-SA"/>
        </w:rPr>
        <w:t>人，营业</w:t>
      </w:r>
      <w:r>
        <w:rPr>
          <w:rFonts w:hint="eastAsia" w:ascii="宋体" w:hAnsi="宋体" w:eastAsia="宋体" w:cs="宋体"/>
          <w:color w:val="auto"/>
          <w:kern w:val="2"/>
          <w:sz w:val="24"/>
          <w:szCs w:val="24"/>
          <w:highlight w:val="none"/>
          <w:lang w:val="en-US" w:eastAsia="zh-CN" w:bidi="ar-SA"/>
        </w:rPr>
        <w:t>收入为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u w:val="single"/>
          <w:lang w:val="en-US" w:eastAsia="zh-CN" w:bidi="ar-SA"/>
        </w:rPr>
        <w:tab/>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万元，资产总额为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u w:val="single"/>
          <w:lang w:val="en-US" w:eastAsia="zh-CN" w:bidi="ar-SA"/>
        </w:rPr>
        <w:tab/>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w w:val="95"/>
          <w:kern w:val="2"/>
          <w:sz w:val="24"/>
          <w:szCs w:val="24"/>
          <w:highlight w:val="none"/>
          <w:lang w:val="en-US" w:eastAsia="zh-CN" w:bidi="ar-SA"/>
        </w:rPr>
        <w:t>万元，属于</w:t>
      </w:r>
      <w:r>
        <w:rPr>
          <w:rFonts w:hint="eastAsia" w:ascii="宋体" w:hAnsi="宋体" w:eastAsia="宋体" w:cs="宋体"/>
          <w:color w:val="auto"/>
          <w:w w:val="95"/>
          <w:kern w:val="2"/>
          <w:sz w:val="24"/>
          <w:szCs w:val="24"/>
          <w:highlight w:val="none"/>
          <w:u w:val="single"/>
          <w:lang w:val="en-US" w:eastAsia="zh-CN" w:bidi="ar-SA"/>
        </w:rPr>
        <w:t>（中型企业、小型企</w:t>
      </w:r>
      <w:r>
        <w:rPr>
          <w:rFonts w:hint="eastAsia" w:ascii="宋体" w:hAnsi="宋体" w:eastAsia="宋体" w:cs="宋体"/>
          <w:color w:val="auto"/>
          <w:w w:val="96"/>
          <w:kern w:val="2"/>
          <w:sz w:val="24"/>
          <w:szCs w:val="24"/>
          <w:highlight w:val="none"/>
          <w:u w:val="single"/>
          <w:lang w:val="en-US" w:eastAsia="zh-CN" w:bidi="ar-SA"/>
        </w:rPr>
        <w:t>业、微型企业）</w:t>
      </w:r>
      <w:r>
        <w:rPr>
          <w:rFonts w:hint="eastAsia" w:ascii="宋体" w:hAnsi="宋体" w:eastAsia="宋体" w:cs="宋体"/>
          <w:color w:val="auto"/>
          <w:w w:val="99"/>
          <w:kern w:val="2"/>
          <w:sz w:val="24"/>
          <w:szCs w:val="24"/>
          <w:highlight w:val="none"/>
          <w:lang w:val="en-US" w:eastAsia="zh-CN" w:bidi="ar-SA"/>
        </w:rPr>
        <w:t>；</w:t>
      </w:r>
    </w:p>
    <w:p w14:paraId="09E87E51">
      <w:pPr>
        <w:widowControl w:val="0"/>
        <w:tabs>
          <w:tab w:val="left" w:pos="1243"/>
          <w:tab w:val="left" w:pos="1806"/>
          <w:tab w:val="left" w:pos="5005"/>
          <w:tab w:val="left" w:pos="7213"/>
        </w:tabs>
        <w:spacing w:line="360" w:lineRule="auto"/>
        <w:ind w:firstLine="478" w:firstLineChars="208"/>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w w:val="96"/>
          <w:kern w:val="2"/>
          <w:sz w:val="24"/>
          <w:szCs w:val="24"/>
          <w:highlight w:val="none"/>
          <w:lang w:val="en-US" w:eastAsia="zh-CN" w:bidi="ar-SA"/>
        </w:rPr>
        <w:t>2.</w:t>
      </w:r>
      <w:r>
        <w:rPr>
          <w:rFonts w:hint="eastAsia" w:ascii="宋体" w:hAnsi="宋体" w:eastAsia="宋体" w:cs="宋体"/>
          <w:color w:val="auto"/>
          <w:w w:val="96"/>
          <w:kern w:val="2"/>
          <w:sz w:val="24"/>
          <w:szCs w:val="24"/>
          <w:highlight w:val="none"/>
          <w:u w:val="single"/>
          <w:lang w:val="en-US" w:eastAsia="zh-CN" w:bidi="ar-SA"/>
        </w:rPr>
        <w:t>（标的名称）</w:t>
      </w:r>
      <w:r>
        <w:rPr>
          <w:rFonts w:hint="eastAsia" w:ascii="宋体" w:hAnsi="宋体" w:eastAsia="宋体" w:cs="宋体"/>
          <w:color w:val="auto"/>
          <w:w w:val="99"/>
          <w:kern w:val="2"/>
          <w:sz w:val="24"/>
          <w:szCs w:val="24"/>
          <w:highlight w:val="none"/>
          <w:lang w:val="en-US" w:eastAsia="zh-CN" w:bidi="ar-SA"/>
        </w:rPr>
        <w:t>，属于</w:t>
      </w:r>
      <w:r>
        <w:rPr>
          <w:rFonts w:hint="eastAsia" w:ascii="宋体" w:hAnsi="宋体" w:eastAsia="宋体" w:cs="宋体"/>
          <w:color w:val="auto"/>
          <w:w w:val="96"/>
          <w:kern w:val="2"/>
          <w:sz w:val="24"/>
          <w:szCs w:val="24"/>
          <w:highlight w:val="none"/>
          <w:lang w:val="en-US" w:eastAsia="zh-CN" w:bidi="ar-SA"/>
        </w:rPr>
        <w:t>（</w:t>
      </w:r>
      <w:r>
        <w:rPr>
          <w:rFonts w:hint="eastAsia" w:ascii="宋体" w:hAnsi="宋体" w:eastAsia="宋体" w:cs="宋体"/>
          <w:color w:val="auto"/>
          <w:w w:val="96"/>
          <w:kern w:val="2"/>
          <w:sz w:val="24"/>
          <w:szCs w:val="24"/>
          <w:highlight w:val="none"/>
          <w:u w:val="single"/>
          <w:lang w:val="en-US" w:eastAsia="zh-CN" w:bidi="ar-SA"/>
        </w:rPr>
        <w:t>采购文件中明确的所属行业）</w:t>
      </w:r>
      <w:r>
        <w:rPr>
          <w:rFonts w:hint="eastAsia" w:ascii="宋体" w:hAnsi="宋体" w:eastAsia="宋体" w:cs="宋体"/>
          <w:color w:val="auto"/>
          <w:w w:val="99"/>
          <w:kern w:val="2"/>
          <w:sz w:val="24"/>
          <w:szCs w:val="24"/>
          <w:highlight w:val="none"/>
          <w:lang w:val="en-US" w:eastAsia="zh-CN" w:bidi="ar-SA"/>
        </w:rPr>
        <w:t>；承建（承接）企业为</w:t>
      </w:r>
      <w:r>
        <w:rPr>
          <w:rFonts w:hint="eastAsia" w:ascii="宋体" w:hAnsi="宋体" w:eastAsia="宋体" w:cs="宋体"/>
          <w:color w:val="auto"/>
          <w:w w:val="96"/>
          <w:kern w:val="2"/>
          <w:sz w:val="24"/>
          <w:szCs w:val="24"/>
          <w:highlight w:val="none"/>
          <w:u w:val="single"/>
          <w:lang w:val="en-US" w:eastAsia="zh-CN" w:bidi="ar-SA"/>
        </w:rPr>
        <w:t>（企业名称）</w:t>
      </w:r>
      <w:r>
        <w:rPr>
          <w:rFonts w:hint="eastAsia" w:ascii="宋体" w:hAnsi="宋体" w:eastAsia="宋体" w:cs="宋体"/>
          <w:color w:val="auto"/>
          <w:w w:val="99"/>
          <w:kern w:val="2"/>
          <w:sz w:val="24"/>
          <w:szCs w:val="24"/>
          <w:highlight w:val="none"/>
          <w:lang w:val="en-US" w:eastAsia="zh-CN" w:bidi="ar-SA"/>
        </w:rPr>
        <w:t>，从业人员</w:t>
      </w:r>
      <w:r>
        <w:rPr>
          <w:rFonts w:hint="eastAsia" w:ascii="宋体" w:hAnsi="宋体" w:eastAsia="宋体" w:cs="宋体"/>
          <w:color w:val="auto"/>
          <w:w w:val="99"/>
          <w:kern w:val="2"/>
          <w:sz w:val="24"/>
          <w:szCs w:val="24"/>
          <w:highlight w:val="none"/>
          <w:u w:val="single"/>
          <w:lang w:val="en-US" w:eastAsia="zh-CN" w:bidi="ar-SA"/>
        </w:rPr>
        <w:t xml:space="preserve">     </w:t>
      </w:r>
      <w:r>
        <w:rPr>
          <w:rFonts w:hint="eastAsia" w:ascii="宋体" w:hAnsi="宋体" w:eastAsia="宋体" w:cs="宋体"/>
          <w:color w:val="auto"/>
          <w:w w:val="99"/>
          <w:kern w:val="2"/>
          <w:sz w:val="24"/>
          <w:szCs w:val="24"/>
          <w:highlight w:val="none"/>
          <w:lang w:val="en-US" w:eastAsia="zh-CN" w:bidi="ar-SA"/>
        </w:rPr>
        <w:t>人，营业</w:t>
      </w:r>
      <w:r>
        <w:rPr>
          <w:rFonts w:hint="eastAsia" w:ascii="宋体" w:hAnsi="宋体" w:eastAsia="宋体" w:cs="宋体"/>
          <w:color w:val="auto"/>
          <w:kern w:val="2"/>
          <w:sz w:val="24"/>
          <w:szCs w:val="24"/>
          <w:highlight w:val="none"/>
          <w:lang w:val="en-US" w:eastAsia="zh-CN" w:bidi="ar-SA"/>
        </w:rPr>
        <w:t>收入为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u w:val="single"/>
          <w:lang w:val="en-US" w:eastAsia="zh-CN" w:bidi="ar-SA"/>
        </w:rPr>
        <w:tab/>
      </w:r>
      <w:r>
        <w:rPr>
          <w:rFonts w:hint="eastAsia" w:ascii="宋体" w:hAnsi="宋体" w:eastAsia="宋体" w:cs="宋体"/>
          <w:color w:val="auto"/>
          <w:kern w:val="2"/>
          <w:sz w:val="24"/>
          <w:szCs w:val="24"/>
          <w:highlight w:val="none"/>
          <w:lang w:val="en-US" w:eastAsia="zh-CN" w:bidi="ar-SA"/>
        </w:rPr>
        <w:t>万元，资产总额为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u w:val="single"/>
          <w:lang w:val="en-US" w:eastAsia="zh-CN" w:bidi="ar-SA"/>
        </w:rPr>
        <w:tab/>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w w:val="95"/>
          <w:kern w:val="2"/>
          <w:sz w:val="24"/>
          <w:szCs w:val="24"/>
          <w:highlight w:val="none"/>
          <w:lang w:val="en-US" w:eastAsia="zh-CN" w:bidi="ar-SA"/>
        </w:rPr>
        <w:t>万元，属于</w:t>
      </w:r>
      <w:r>
        <w:rPr>
          <w:rFonts w:hint="eastAsia" w:ascii="宋体" w:hAnsi="宋体" w:eastAsia="宋体" w:cs="宋体"/>
          <w:color w:val="auto"/>
          <w:w w:val="95"/>
          <w:kern w:val="2"/>
          <w:sz w:val="24"/>
          <w:szCs w:val="24"/>
          <w:highlight w:val="none"/>
          <w:u w:val="single"/>
          <w:lang w:val="en-US" w:eastAsia="zh-CN" w:bidi="ar-SA"/>
        </w:rPr>
        <w:t>（中型企业、小型企</w:t>
      </w:r>
      <w:r>
        <w:rPr>
          <w:rFonts w:hint="eastAsia" w:ascii="宋体" w:hAnsi="宋体" w:eastAsia="宋体" w:cs="宋体"/>
          <w:color w:val="auto"/>
          <w:w w:val="96"/>
          <w:kern w:val="2"/>
          <w:sz w:val="24"/>
          <w:szCs w:val="24"/>
          <w:highlight w:val="none"/>
          <w:u w:val="single"/>
          <w:lang w:val="en-US" w:eastAsia="zh-CN" w:bidi="ar-SA"/>
        </w:rPr>
        <w:t>业、微型企业）</w:t>
      </w:r>
      <w:r>
        <w:rPr>
          <w:rFonts w:hint="eastAsia" w:ascii="宋体" w:hAnsi="宋体" w:eastAsia="宋体" w:cs="宋体"/>
          <w:color w:val="auto"/>
          <w:w w:val="99"/>
          <w:kern w:val="2"/>
          <w:sz w:val="24"/>
          <w:szCs w:val="24"/>
          <w:highlight w:val="none"/>
          <w:lang w:val="en-US" w:eastAsia="zh-CN" w:bidi="ar-SA"/>
        </w:rPr>
        <w:t>；</w:t>
      </w:r>
    </w:p>
    <w:p w14:paraId="6B8AA195">
      <w:pPr>
        <w:widowControl w:val="0"/>
        <w:spacing w:line="480" w:lineRule="exact"/>
        <w:ind w:left="860"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w:t>
      </w:r>
    </w:p>
    <w:p w14:paraId="70556059">
      <w:pPr>
        <w:widowControl w:val="0"/>
        <w:spacing w:before="105" w:line="480" w:lineRule="exact"/>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以上企业，不属于大企业的分支机构，不存在控股股东为大企业的情形，也不存在与大企业的负责人为同一人的情形。</w:t>
      </w:r>
    </w:p>
    <w:p w14:paraId="034420E4">
      <w:pPr>
        <w:widowControl w:val="0"/>
        <w:spacing w:line="480" w:lineRule="exact"/>
        <w:ind w:right="372"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本企业对上述声明内容的真实性负责。如有虚假，将依法承担相应责任。</w:t>
      </w:r>
    </w:p>
    <w:p w14:paraId="5C36DA14">
      <w:pPr>
        <w:widowControl w:val="0"/>
        <w:spacing w:before="5" w:line="480" w:lineRule="exact"/>
        <w:ind w:left="20" w:firstLine="474" w:firstLineChars="200"/>
        <w:jc w:val="left"/>
        <w:rPr>
          <w:rFonts w:hint="eastAsia" w:ascii="宋体" w:hAnsi="宋体" w:eastAsia="宋体" w:cs="宋体"/>
          <w:color w:val="auto"/>
          <w:highlight w:val="none"/>
        </w:rPr>
      </w:pPr>
      <w:r>
        <w:rPr>
          <w:rFonts w:hint="eastAsia" w:ascii="宋体" w:hAnsi="宋体" w:eastAsia="宋体" w:cs="宋体"/>
          <w:color w:val="auto"/>
          <w:w w:val="99"/>
          <w:highlight w:val="none"/>
        </w:rPr>
        <w:t>备注：从业人员、营业收入、资产总额填报上一年度数据，无上一年度数据的新成立企业可不填报。</w:t>
      </w:r>
    </w:p>
    <w:p w14:paraId="16264324">
      <w:pPr>
        <w:widowControl w:val="0"/>
        <w:spacing w:line="480" w:lineRule="exact"/>
        <w:ind w:firstLine="3792" w:firstLineChars="1600"/>
        <w:jc w:val="both"/>
        <w:rPr>
          <w:rFonts w:hint="eastAsia" w:ascii="宋体" w:hAnsi="宋体" w:eastAsia="宋体" w:cs="宋体"/>
          <w:color w:val="auto"/>
          <w:w w:val="99"/>
          <w:kern w:val="2"/>
          <w:sz w:val="24"/>
          <w:szCs w:val="24"/>
          <w:highlight w:val="none"/>
          <w:lang w:val="en-US" w:eastAsia="zh-CN" w:bidi="ar-SA"/>
        </w:rPr>
      </w:pPr>
      <w:r>
        <w:rPr>
          <w:rFonts w:hint="eastAsia" w:ascii="宋体" w:hAnsi="宋体" w:eastAsia="宋体" w:cs="宋体"/>
          <w:color w:val="auto"/>
          <w:w w:val="99"/>
          <w:kern w:val="2"/>
          <w:sz w:val="24"/>
          <w:szCs w:val="24"/>
          <w:highlight w:val="none"/>
          <w:lang w:val="en-US" w:eastAsia="zh-CN" w:bidi="ar-SA"/>
        </w:rPr>
        <w:t>投标人名称（盖章）：</w:t>
      </w:r>
    </w:p>
    <w:p w14:paraId="5D819ADE">
      <w:pPr>
        <w:widowControl w:val="0"/>
        <w:spacing w:line="480" w:lineRule="exact"/>
        <w:ind w:firstLine="3840" w:firstLineChars="16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日  期：</w:t>
      </w:r>
    </w:p>
    <w:p w14:paraId="07A461CD">
      <w:pPr>
        <w:keepNext w:val="0"/>
        <w:keepLines w:val="0"/>
        <w:pageBreakBefore w:val="0"/>
        <w:widowControl w:val="0"/>
        <w:kinsoku/>
        <w:wordWrap/>
        <w:overflowPunct/>
        <w:topLinePunct w:val="0"/>
        <w:autoSpaceDE w:val="0"/>
        <w:autoSpaceDN w:val="0"/>
        <w:bidi w:val="0"/>
        <w:spacing w:line="360" w:lineRule="auto"/>
        <w:jc w:val="both"/>
        <w:textAlignment w:val="auto"/>
        <w:outlineLvl w:val="9"/>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说明：1、依据工业和信息化部、国家统计局、国家发展和改革委员会、财政部《关于印发中小企业划型标准规定的通知》（工信部联企业〔2011〕300号），本项目〈</w:t>
      </w:r>
      <w:r>
        <w:rPr>
          <w:rFonts w:hint="eastAsia" w:ascii="宋体" w:hAnsi="宋体" w:eastAsia="宋体" w:cs="宋体"/>
          <w:color w:val="auto"/>
          <w:highlight w:val="none"/>
          <w:lang w:val="en-US" w:eastAsia="zh-CN"/>
        </w:rPr>
        <w:t>柞水县市场监督管理局2026年度食品安全监督抽查采购项目</w:t>
      </w:r>
      <w:r>
        <w:rPr>
          <w:rFonts w:hint="eastAsia" w:ascii="宋体" w:hAnsi="宋体" w:eastAsia="宋体" w:cs="宋体"/>
          <w:color w:val="auto"/>
          <w:highlight w:val="none"/>
        </w:rPr>
        <w:t>〉对应的中小企业划分标准所属行业为：</w:t>
      </w:r>
      <w:r>
        <w:rPr>
          <w:rFonts w:hint="eastAsia" w:ascii="宋体" w:hAnsi="宋体" w:eastAsia="宋体" w:cs="宋体"/>
          <w:color w:val="auto"/>
          <w:highlight w:val="none"/>
          <w:u w:val="single"/>
          <w:lang w:val="en-US" w:eastAsia="zh-CN"/>
        </w:rPr>
        <w:t>其他未列明行业。</w:t>
      </w:r>
    </w:p>
    <w:p w14:paraId="6A789C59">
      <w:pPr>
        <w:widowControl/>
        <w:tabs>
          <w:tab w:val="left" w:pos="5670"/>
        </w:tabs>
        <w:spacing w:line="38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2、声明函中“从业人员”、“营业收入”、“资产总额”填报上一年度数据，无上一年度数据的新成立企业可不填报。</w:t>
      </w:r>
    </w:p>
    <w:p w14:paraId="6FC7F8F4">
      <w:pPr>
        <w:widowControl/>
        <w:tabs>
          <w:tab w:val="left" w:pos="5670"/>
        </w:tabs>
        <w:spacing w:line="38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3、符合中小企业划分标准的个体工商户视同中小企业，监狱企业、残疾人福利性单位视同小型、微型企业。</w:t>
      </w:r>
    </w:p>
    <w:p w14:paraId="277B83EB">
      <w:pPr>
        <w:widowControl w:val="0"/>
        <w:spacing w:line="360" w:lineRule="auto"/>
        <w:ind w:firstLine="0" w:firstLineChars="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br w:type="page"/>
      </w:r>
      <w:r>
        <w:rPr>
          <w:rFonts w:hint="eastAsia" w:ascii="宋体" w:hAnsi="宋体" w:eastAsia="宋体" w:cs="宋体"/>
          <w:b/>
          <w:color w:val="auto"/>
          <w:highlight w:val="none"/>
          <w:lang w:val="en-US" w:eastAsia="zh-CN"/>
        </w:rPr>
        <w:t>附件</w:t>
      </w:r>
      <w:r>
        <w:rPr>
          <w:rFonts w:hint="eastAsia" w:ascii="宋体" w:hAnsi="宋体" w:eastAsia="宋体" w:cs="宋体"/>
          <w:b/>
          <w:color w:val="auto"/>
          <w:kern w:val="2"/>
          <w:sz w:val="24"/>
          <w:szCs w:val="24"/>
          <w:highlight w:val="none"/>
          <w:lang w:val="en-US" w:eastAsia="zh-CN" w:bidi="ar-SA"/>
        </w:rPr>
        <w:t>2.残疾人福利性单位声明函</w:t>
      </w:r>
    </w:p>
    <w:p w14:paraId="6B8F0CEC">
      <w:pPr>
        <w:widowControl w:val="0"/>
        <w:spacing w:line="588" w:lineRule="exact"/>
        <w:ind w:firstLine="0" w:firstLineChars="0"/>
        <w:jc w:val="center"/>
        <w:rPr>
          <w:rFonts w:hint="eastAsia" w:ascii="宋体" w:hAnsi="宋体" w:eastAsia="宋体" w:cs="宋体"/>
          <w:b/>
          <w:color w:val="auto"/>
          <w:spacing w:val="6"/>
          <w:sz w:val="32"/>
          <w:szCs w:val="32"/>
          <w:highlight w:val="none"/>
        </w:rPr>
      </w:pPr>
      <w:bookmarkStart w:id="171" w:name="OLE_LINK13"/>
      <w:bookmarkStart w:id="172" w:name="OLE_LINK14"/>
      <w:r>
        <w:rPr>
          <w:rFonts w:hint="eastAsia" w:ascii="宋体" w:hAnsi="宋体" w:eastAsia="宋体" w:cs="宋体"/>
          <w:b/>
          <w:color w:val="auto"/>
          <w:kern w:val="44"/>
          <w:sz w:val="28"/>
          <w:szCs w:val="28"/>
          <w:highlight w:val="none"/>
        </w:rPr>
        <w:t>残疾人福利性单位声明函</w:t>
      </w:r>
    </w:p>
    <w:bookmarkEnd w:id="171"/>
    <w:bookmarkEnd w:id="172"/>
    <w:p w14:paraId="09CD1428">
      <w:pPr>
        <w:widowControl w:val="0"/>
        <w:spacing w:line="588" w:lineRule="exact"/>
        <w:ind w:firstLine="626" w:firstLineChars="200"/>
        <w:jc w:val="both"/>
        <w:rPr>
          <w:rFonts w:hint="eastAsia" w:ascii="宋体" w:hAnsi="宋体" w:eastAsia="宋体" w:cs="宋体"/>
          <w:b/>
          <w:color w:val="auto"/>
          <w:spacing w:val="6"/>
          <w:sz w:val="30"/>
          <w:szCs w:val="30"/>
          <w:highlight w:val="none"/>
        </w:rPr>
      </w:pPr>
    </w:p>
    <w:p w14:paraId="18204D81">
      <w:pPr>
        <w:widowControl w:val="0"/>
        <w:spacing w:line="588" w:lineRule="exact"/>
        <w:ind w:firstLine="504" w:firstLineChars="200"/>
        <w:jc w:val="both"/>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rPr>
        <w:t>〔2017〕 141</w:t>
      </w:r>
      <w:r>
        <w:rPr>
          <w:rFonts w:hint="eastAsia" w:ascii="宋体" w:hAnsi="宋体" w:eastAsia="宋体" w:cs="宋体"/>
          <w:color w:val="auto"/>
          <w:spacing w:val="6"/>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FD29E5">
      <w:pPr>
        <w:widowControl w:val="0"/>
        <w:spacing w:line="588" w:lineRule="exact"/>
        <w:ind w:firstLine="504" w:firstLineChars="200"/>
        <w:jc w:val="both"/>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本单位对上述声明的真实性负责。如有虚假，将依法承担相应责任。</w:t>
      </w:r>
    </w:p>
    <w:p w14:paraId="709E1834">
      <w:pPr>
        <w:widowControl w:val="0"/>
        <w:spacing w:line="588" w:lineRule="exact"/>
        <w:ind w:firstLine="504" w:firstLineChars="200"/>
        <w:jc w:val="both"/>
        <w:rPr>
          <w:rFonts w:hint="eastAsia" w:ascii="宋体" w:hAnsi="宋体" w:eastAsia="宋体" w:cs="宋体"/>
          <w:color w:val="auto"/>
          <w:spacing w:val="6"/>
          <w:highlight w:val="none"/>
        </w:rPr>
      </w:pPr>
    </w:p>
    <w:p w14:paraId="5F34CE86">
      <w:pPr>
        <w:widowControl w:val="0"/>
        <w:spacing w:line="588" w:lineRule="exact"/>
        <w:ind w:firstLine="504" w:firstLineChars="200"/>
        <w:jc w:val="both"/>
        <w:rPr>
          <w:rFonts w:hint="eastAsia" w:ascii="宋体" w:hAnsi="宋体" w:eastAsia="宋体" w:cs="宋体"/>
          <w:color w:val="auto"/>
          <w:spacing w:val="6"/>
          <w:highlight w:val="none"/>
        </w:rPr>
      </w:pPr>
    </w:p>
    <w:p w14:paraId="0AB4266F">
      <w:pPr>
        <w:widowControl w:val="0"/>
        <w:tabs>
          <w:tab w:val="left" w:pos="4860"/>
        </w:tabs>
        <w:spacing w:line="588" w:lineRule="exact"/>
        <w:ind w:right="1560" w:firstLine="504" w:firstLineChars="200"/>
        <w:jc w:val="center"/>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                  </w:t>
      </w:r>
      <w:r>
        <w:rPr>
          <w:rFonts w:hint="eastAsia" w:ascii="宋体" w:hAnsi="宋体" w:eastAsia="宋体" w:cs="宋体"/>
          <w:color w:val="auto"/>
          <w:w w:val="99"/>
          <w:highlight w:val="none"/>
        </w:rPr>
        <w:t>投标人</w:t>
      </w:r>
      <w:r>
        <w:rPr>
          <w:rFonts w:hint="eastAsia" w:ascii="宋体" w:hAnsi="宋体" w:eastAsia="宋体" w:cs="宋体"/>
          <w:color w:val="auto"/>
          <w:spacing w:val="6"/>
          <w:highlight w:val="none"/>
        </w:rPr>
        <w:t>名称（盖章）：</w:t>
      </w:r>
    </w:p>
    <w:p w14:paraId="54E35D04">
      <w:pPr>
        <w:widowControl w:val="0"/>
        <w:tabs>
          <w:tab w:val="left" w:pos="4860"/>
        </w:tabs>
        <w:spacing w:line="588" w:lineRule="exact"/>
        <w:ind w:right="1560" w:firstLine="504" w:firstLineChars="200"/>
        <w:jc w:val="center"/>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 xml:space="preserve">       日  期：</w:t>
      </w:r>
    </w:p>
    <w:p w14:paraId="6C82A1C7">
      <w:pPr>
        <w:widowControl w:val="0"/>
        <w:spacing w:line="360" w:lineRule="auto"/>
        <w:ind w:firstLine="480" w:firstLineChars="200"/>
        <w:jc w:val="both"/>
        <w:rPr>
          <w:rFonts w:hint="eastAsia" w:ascii="宋体" w:hAnsi="宋体" w:eastAsia="宋体" w:cs="宋体"/>
          <w:color w:val="auto"/>
          <w:highlight w:val="none"/>
        </w:rPr>
      </w:pPr>
    </w:p>
    <w:p w14:paraId="2D22F6E9">
      <w:pPr>
        <w:widowControl w:val="0"/>
        <w:spacing w:line="360" w:lineRule="auto"/>
        <w:ind w:firstLine="480" w:firstLineChars="200"/>
        <w:jc w:val="both"/>
        <w:rPr>
          <w:rFonts w:hint="eastAsia" w:ascii="宋体" w:hAnsi="宋体" w:eastAsia="宋体" w:cs="宋体"/>
          <w:color w:val="auto"/>
          <w:highlight w:val="none"/>
        </w:rPr>
      </w:pPr>
    </w:p>
    <w:p w14:paraId="58F7AB2C">
      <w:pPr>
        <w:widowControl w:val="0"/>
        <w:spacing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说明：供应商在填报前请认真阅读《财政部、民政部、中国残疾人联合会关于促进残疾人就业政府采购政策的通知》。符合条件的供应商未按上述要求提供、填写的，评审时不予认可。</w:t>
      </w:r>
    </w:p>
    <w:p w14:paraId="07CEAEF5">
      <w:pPr>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74DCFF18">
      <w:pPr>
        <w:spacing w:before="210" w:beforeLines="50" w:line="48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附件</w:t>
      </w:r>
      <w:r>
        <w:rPr>
          <w:rFonts w:hint="eastAsia" w:ascii="宋体" w:hAnsi="宋体" w:eastAsia="宋体" w:cs="宋体"/>
          <w:b/>
          <w:color w:val="auto"/>
          <w:highlight w:val="none"/>
        </w:rPr>
        <w:t>3．监狱企业证明函</w:t>
      </w:r>
    </w:p>
    <w:p w14:paraId="2701BC74">
      <w:pPr>
        <w:ind w:firstLine="480" w:firstLineChars="200"/>
        <w:rPr>
          <w:rFonts w:hint="eastAsia" w:ascii="宋体" w:hAnsi="宋体" w:eastAsia="宋体" w:cs="宋体"/>
          <w:i/>
          <w:color w:val="auto"/>
          <w:highlight w:val="none"/>
        </w:rPr>
      </w:pPr>
      <w:r>
        <w:rPr>
          <w:rFonts w:hint="eastAsia" w:ascii="宋体" w:hAnsi="宋体" w:eastAsia="宋体" w:cs="宋体"/>
          <w:i/>
          <w:color w:val="auto"/>
          <w:highlight w:val="none"/>
        </w:rPr>
        <w:t>说明：当且仅当供应商为监狱企业的，应当提供由省级以上监狱管理局、戒毒管理局（含新疆生产建设兵团）出具的属于监狱企业的证明函（格式不限）。未提供证明函的，将不能享受招标文件规定的价格优惠政策，但不影响投标文件的有效性。</w:t>
      </w:r>
    </w:p>
    <w:p w14:paraId="141BDA39">
      <w:pPr>
        <w:pStyle w:val="243"/>
        <w:keepNext/>
        <w:wordWrap/>
        <w:spacing w:before="60" w:after="6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监狱企业证明函</w:t>
      </w:r>
    </w:p>
    <w:p w14:paraId="55138C4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B84F55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监狱企业参加政府采购活动时，应当提供由省级以上监狱管理局、戒毒管理局（含新疆生产建设兵团）出具的属于监狱企业的证明文件。</w:t>
      </w:r>
    </w:p>
    <w:p w14:paraId="172115A0">
      <w:pPr>
        <w:pStyle w:val="242"/>
        <w:ind w:firstLine="0" w:firstLineChars="0"/>
        <w:rPr>
          <w:rFonts w:hint="eastAsia" w:ascii="宋体" w:hAnsi="宋体" w:eastAsia="宋体" w:cs="宋体"/>
          <w:color w:val="auto"/>
          <w:sz w:val="28"/>
          <w:szCs w:val="28"/>
          <w:highlight w:val="none"/>
        </w:rPr>
      </w:pPr>
    </w:p>
    <w:p w14:paraId="464EFF0B">
      <w:pPr>
        <w:bidi w:val="0"/>
        <w:rPr>
          <w:rFonts w:hint="eastAsia" w:ascii="宋体" w:hAnsi="宋体" w:eastAsia="宋体" w:cs="宋体"/>
          <w:color w:val="auto"/>
        </w:rPr>
      </w:pPr>
    </w:p>
    <w:p w14:paraId="305382AA">
      <w:pPr>
        <w:bidi w:val="0"/>
        <w:rPr>
          <w:rFonts w:hint="eastAsia" w:ascii="宋体" w:hAnsi="宋体" w:eastAsia="宋体" w:cs="宋体"/>
          <w:color w:val="auto"/>
        </w:rPr>
      </w:pPr>
    </w:p>
    <w:p w14:paraId="6EF605D9">
      <w:pPr>
        <w:bidi w:val="0"/>
        <w:rPr>
          <w:rFonts w:hint="eastAsia" w:ascii="宋体" w:hAnsi="宋体" w:eastAsia="宋体" w:cs="宋体"/>
          <w:color w:val="auto"/>
        </w:rPr>
      </w:pPr>
    </w:p>
    <w:p w14:paraId="3C0B65C5">
      <w:pPr>
        <w:bidi w:val="0"/>
        <w:rPr>
          <w:rFonts w:hint="eastAsia" w:ascii="宋体" w:hAnsi="宋体" w:eastAsia="宋体" w:cs="宋体"/>
          <w:color w:val="auto"/>
        </w:rPr>
      </w:pPr>
    </w:p>
    <w:p w14:paraId="4859A460">
      <w:pPr>
        <w:bidi w:val="0"/>
        <w:rPr>
          <w:rFonts w:hint="eastAsia" w:ascii="宋体" w:hAnsi="宋体" w:eastAsia="宋体" w:cs="宋体"/>
          <w:color w:val="auto"/>
        </w:rPr>
      </w:pPr>
    </w:p>
    <w:p w14:paraId="27ECDD8F">
      <w:pPr>
        <w:bidi w:val="0"/>
        <w:rPr>
          <w:rFonts w:hint="eastAsia" w:ascii="宋体" w:hAnsi="宋体" w:eastAsia="宋体" w:cs="宋体"/>
          <w:color w:val="auto"/>
        </w:rPr>
      </w:pPr>
    </w:p>
    <w:p w14:paraId="42921435">
      <w:pPr>
        <w:tabs>
          <w:tab w:val="left" w:pos="2884"/>
        </w:tabs>
        <w:bidi w:val="0"/>
        <w:jc w:val="left"/>
        <w:rPr>
          <w:rFonts w:hint="eastAsia" w:ascii="宋体" w:hAnsi="宋体" w:eastAsia="宋体" w:cs="宋体"/>
          <w:color w:val="auto"/>
          <w:lang w:eastAsia="zh-CN"/>
        </w:rPr>
      </w:pPr>
      <w:r>
        <w:rPr>
          <w:rFonts w:hint="eastAsia" w:ascii="宋体" w:hAnsi="宋体" w:eastAsia="宋体" w:cs="宋体"/>
          <w:color w:val="auto"/>
          <w:lang w:eastAsia="zh-CN"/>
        </w:rPr>
        <w:tab/>
      </w:r>
    </w:p>
    <w:p w14:paraId="2104F438">
      <w:pPr>
        <w:pStyle w:val="4"/>
        <w:numPr>
          <w:ilvl w:val="0"/>
          <w:numId w:val="0"/>
        </w:numPr>
        <w:ind w:firstLine="1687" w:firstLineChars="200"/>
        <w:jc w:val="left"/>
        <w:rPr>
          <w:rFonts w:hint="eastAsia" w:ascii="宋体" w:hAnsi="宋体" w:eastAsia="宋体" w:cs="宋体"/>
          <w:color w:val="auto"/>
          <w:sz w:val="84"/>
          <w:szCs w:val="84"/>
          <w:highlight w:val="none"/>
        </w:rPr>
      </w:pPr>
    </w:p>
    <w:sectPr>
      <w:pgSz w:w="11906" w:h="16838"/>
      <w:pgMar w:top="1440" w:right="1293" w:bottom="1440" w:left="1293"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0000000000000000000"/>
    <w:charset w:val="86"/>
    <w:family w:val="modern"/>
    <w:pitch w:val="default"/>
    <w:sig w:usb0="00000000" w:usb1="00000000" w:usb2="00000000" w:usb3="00000000" w:csb0="00040000" w:csb1="00000000"/>
  </w:font>
  <w:font w:name="方正仿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文星标宋">
    <w:altName w:val="宋体"/>
    <w:panose1 w:val="00000000000000000000"/>
    <w:charset w:val="86"/>
    <w:family w:val="modern"/>
    <w:pitch w:val="default"/>
    <w:sig w:usb0="00000000" w:usb1="00000000" w:usb2="0000001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41B30">
    <w:pPr>
      <w:pStyle w:val="30"/>
      <w:widowControl w:val="0"/>
      <w:pBdr>
        <w:top w:val="none" w:color="auto" w:sz="0" w:space="0"/>
        <w:left w:val="none" w:color="auto" w:sz="0" w:space="0"/>
        <w:bottom w:val="none" w:color="auto" w:sz="0" w:space="0"/>
        <w:right w:val="none" w:color="auto" w:sz="0" w:space="0"/>
        <w:between w:val="none" w:color="auto" w:sz="0" w:space="0"/>
      </w:pBdr>
      <w:tabs>
        <w:tab w:val="left" w:pos="5750"/>
        <w:tab w:val="clear" w:pos="4153"/>
      </w:tabs>
      <w:snapToGrid w:val="0"/>
      <w:spacing w:line="240" w:lineRule="auto"/>
      <w:ind w:left="0" w:leftChars="0" w:right="-60" w:rightChars="-25" w:firstLine="0" w:firstLineChars="0"/>
      <w:jc w:val="both"/>
    </w:pPr>
    <w:r>
      <w:rPr>
        <w:rFonts w:hint="eastAsia" w:ascii="宋体" w:hAnsi="宋体" w:eastAsia="宋体" w:cs="宋体"/>
        <w:i/>
        <w:iCs/>
      </w:rPr>
      <w:t>陕西四方衡裕项目管理有限公司</w:t>
    </w:r>
    <w:r>
      <w:rPr>
        <w:rFonts w:hint="eastAsia" w:ascii="宋体" w:hAnsi="宋体" w:eastAsia="宋体" w:cs="宋体"/>
      </w:rPr>
      <mc:AlternateContent>
        <mc:Choice Requires="wps">
          <w:drawing>
            <wp:anchor distT="0" distB="0" distL="113665" distR="113665" simplePos="0" relativeHeight="251659264" behindDoc="0" locked="0" layoutInCell="1" allowOverlap="1">
              <wp:simplePos x="0" y="0"/>
              <wp:positionH relativeFrom="margin">
                <wp:posOffset>2733040</wp:posOffset>
              </wp:positionH>
              <wp:positionV relativeFrom="paragraph">
                <wp:posOffset>0</wp:posOffset>
              </wp:positionV>
              <wp:extent cx="238125" cy="209550"/>
              <wp:effectExtent l="0" t="0" r="0" b="0"/>
              <wp:wrapNone/>
              <wp:docPr id="7" name="文本框 4"/>
              <wp:cNvGraphicFramePr/>
              <a:graphic xmlns:a="http://schemas.openxmlformats.org/drawingml/2006/main">
                <a:graphicData uri="http://schemas.microsoft.com/office/word/2010/wordprocessingShape">
                  <wps:wsp>
                    <wps:cNvSpPr/>
                    <wps:spPr>
                      <a:xfrm>
                        <a:off x="0" y="0"/>
                        <a:ext cx="238124" cy="209340"/>
                      </a:xfrm>
                      <a:prstGeom prst="rect">
                        <a:avLst/>
                      </a:prstGeom>
                      <a:noFill/>
                      <a:ln w="6350" cap="flat" cmpd="sng">
                        <a:noFill/>
                        <a:prstDash val="solid"/>
                        <a:round/>
                      </a:ln>
                    </wps:spPr>
                    <wps:txbx>
                      <w:txbxContent>
                        <w:p w14:paraId="2529F6B8">
                          <w:pPr>
                            <w:pStyle w:val="29"/>
                          </w:pPr>
                        </w:p>
                      </w:txbxContent>
                    </wps:txbx>
                    <wps:bodyPr vert="horz" wrap="none" lIns="0" tIns="0" rIns="0" bIns="0" anchor="t" anchorCtr="0" upright="0">
                      <a:spAutoFit/>
                    </wps:bodyPr>
                  </wps:wsp>
                </a:graphicData>
              </a:graphic>
            </wp:anchor>
          </w:drawing>
        </mc:Choice>
        <mc:Fallback>
          <w:pict>
            <v:rect id="文本框 4" o:spid="_x0000_s1026" o:spt="1" style="position:absolute;left:0pt;margin-left:215.2pt;margin-top:0pt;height:16.5pt;width:18.75pt;mso-position-horizontal-relative:margin;mso-wrap-style:none;z-index:251659264;mso-width-relative:page;mso-height-relative:page;" filled="f" stroked="f" coordsize="21600,21600" o:gfxdata="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8viVNdoAAAAHAQAADwAAAAAAAAABACAAAAAiAAAA&#10;ZHJzL2Rvd25yZXYueG1sUEsBAhQAFAAAAAgAh07iQFl0yWMFAgAA9AMAAA4AAAAAAAAAAQAgAAAA&#10;KQEAAGRycy9lMm9Eb2MueG1sUEsFBgAAAAAGAAYAWQEAAKAFAAAAAA==&#10;">
              <v:fill on="f" focussize="0,0"/>
              <v:stroke on="f" weight="0.5pt" joinstyle="round"/>
              <v:imagedata o:title=""/>
              <o:lock v:ext="edit" aspectratio="f"/>
              <v:textbox inset="0mm,0mm,0mm,0mm" style="mso-fit-shape-to-text:t;">
                <w:txbxContent>
                  <w:p w14:paraId="2529F6B8">
                    <w:pPr>
                      <w:pStyle w:val="29"/>
                    </w:pPr>
                  </w:p>
                </w:txbxContent>
              </v:textbox>
            </v:rect>
          </w:pict>
        </mc:Fallback>
      </mc:AlternateContent>
    </w:r>
    <w:r>
      <w:rPr>
        <w:rFonts w:hint="eastAsia" w:ascii="宋体" w:hAnsi="宋体" w:eastAsia="宋体" w:cs="宋体"/>
        <w:i/>
        <w:iCs/>
      </w:rPr>
      <w:t xml:space="preserve">                                 </w:t>
    </w:r>
    <w:r>
      <w:rPr>
        <w:rFonts w:hint="eastAsia" w:ascii="宋体" w:hAnsi="宋体" w:eastAsia="宋体" w:cs="宋体"/>
        <w:i/>
        <w:iCs/>
        <w:lang w:eastAsia="zh-CN"/>
      </w:rPr>
      <w:t>西安航天基地新经济产业园北区3幢2层</w:t>
    </w:r>
    <w:r>
      <w:rPr>
        <w:sz w:val="20"/>
      </w:rPr>
      <mc:AlternateContent>
        <mc:Choice Requires="wps">
          <w:drawing>
            <wp:anchor distT="0" distB="0" distL="113665" distR="113665" simplePos="0" relativeHeight="251663360" behindDoc="0" locked="0" layoutInCell="1" allowOverlap="1">
              <wp:simplePos x="0" y="0"/>
              <wp:positionH relativeFrom="margin">
                <wp:posOffset>2861310</wp:posOffset>
              </wp:positionH>
              <wp:positionV relativeFrom="paragraph">
                <wp:posOffset>0</wp:posOffset>
              </wp:positionV>
              <wp:extent cx="238125" cy="209550"/>
              <wp:effectExtent l="0" t="0" r="0" b="0"/>
              <wp:wrapNone/>
              <wp:docPr id="16" name="文本框 2"/>
              <wp:cNvGraphicFramePr/>
              <a:graphic xmlns:a="http://schemas.openxmlformats.org/drawingml/2006/main">
                <a:graphicData uri="http://schemas.microsoft.com/office/word/2010/wordprocessingShape">
                  <wps:wsp>
                    <wps:cNvSpPr/>
                    <wps:spPr>
                      <a:xfrm>
                        <a:off x="0" y="0"/>
                        <a:ext cx="238124" cy="209340"/>
                      </a:xfrm>
                      <a:prstGeom prst="rect">
                        <a:avLst/>
                      </a:prstGeom>
                      <a:noFill/>
                      <a:ln w="6350" cap="flat" cmpd="sng">
                        <a:noFill/>
                        <a:prstDash val="solid"/>
                        <a:round/>
                      </a:ln>
                    </wps:spPr>
                    <wps:txbx>
                      <w:txbxContent>
                        <w:p w14:paraId="18C93D7B">
                          <w:pPr>
                            <w:pStyle w:val="29"/>
                            <w:pBdr>
                              <w:top w:val="none" w:color="auto" w:sz="0" w:space="0"/>
                              <w:left w:val="none" w:color="auto" w:sz="0" w:space="0"/>
                              <w:bottom w:val="none" w:color="auto" w:sz="0" w:space="0"/>
                              <w:right w:val="none" w:color="auto" w:sz="0" w:space="0"/>
                              <w:between w:val="none" w:color="auto" w:sz="0" w:space="0"/>
                            </w:pBdr>
                          </w:pPr>
                        </w:p>
                      </w:txbxContent>
                    </wps:txbx>
                    <wps:bodyPr vert="horz" wrap="none" lIns="0" tIns="0" rIns="0" bIns="0" anchor="t" anchorCtr="0" upright="0">
                      <a:spAutoFit/>
                    </wps:bodyPr>
                  </wps:wsp>
                </a:graphicData>
              </a:graphic>
            </wp:anchor>
          </w:drawing>
        </mc:Choice>
        <mc:Fallback>
          <w:pict>
            <v:rect id="文本框 2" o:spid="_x0000_s1026" o:spt="1" style="position:absolute;left:0pt;margin-left:225.3pt;margin-top:0pt;height:16.5pt;width:18.75pt;mso-position-horizontal-relative:margin;mso-wrap-style:none;z-index:251663360;mso-width-relative:page;mso-height-relative:page;" filled="f" stroked="f" coordsize="21600,21600" o:gfxdata="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Kb7+pNoAAAAHAQAADwAAAAAAAAABACAAAAAiAAAA&#10;ZHJzL2Rvd25yZXYueG1sUEsBAhQAFAAAAAgAh07iQHXO33cFAgAA9QMAAA4AAAAAAAAAAQAgAAAA&#10;KQEAAGRycy9lMm9Eb2MueG1sUEsFBgAAAAAGAAYAWQEAAKAFAAAAAA==&#10;">
              <v:fill on="f" focussize="0,0"/>
              <v:stroke on="f" weight="0.5pt" joinstyle="round"/>
              <v:imagedata o:title=""/>
              <o:lock v:ext="edit" aspectratio="f"/>
              <v:textbox inset="0mm,0mm,0mm,0mm" style="mso-fit-shape-to-text:t;">
                <w:txbxContent>
                  <w:p w14:paraId="18C93D7B">
                    <w:pPr>
                      <w:pStyle w:val="29"/>
                      <w:pBdr>
                        <w:top w:val="none" w:color="auto" w:sz="0" w:space="0"/>
                        <w:left w:val="none" w:color="auto" w:sz="0" w:space="0"/>
                        <w:bottom w:val="none" w:color="auto" w:sz="0" w:space="0"/>
                        <w:right w:val="none" w:color="auto" w:sz="0" w:space="0"/>
                        <w:between w:val="none" w:color="auto" w:sz="0" w:space="0"/>
                      </w:pBdr>
                    </w:pPr>
                  </w:p>
                </w:txbxContent>
              </v:textbox>
            </v:rect>
          </w:pict>
        </mc:Fallback>
      </mc:AlternateContent>
    </w:r>
    <w:r>
      <w:rPr>
        <w:sz w:val="20"/>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238125" cy="209550"/>
              <wp:effectExtent l="0" t="0" r="0" b="0"/>
              <wp:wrapNone/>
              <wp:docPr id="10" name="文本框 2"/>
              <wp:cNvGraphicFramePr/>
              <a:graphic xmlns:a="http://schemas.openxmlformats.org/drawingml/2006/main">
                <a:graphicData uri="http://schemas.microsoft.com/office/word/2010/wordprocessingShape">
                  <wps:wsp>
                    <wps:cNvSpPr/>
                    <wps:spPr>
                      <a:xfrm>
                        <a:off x="0" y="0"/>
                        <a:ext cx="238124" cy="209340"/>
                      </a:xfrm>
                      <a:prstGeom prst="rect">
                        <a:avLst/>
                      </a:prstGeom>
                      <a:noFill/>
                      <a:ln w="6350" cap="flat" cmpd="sng">
                        <a:noFill/>
                        <a:prstDash val="solid"/>
                        <a:round/>
                      </a:ln>
                    </wps:spPr>
                    <wps:txbx>
                      <w:txbxContent>
                        <w:p w14:paraId="1A0A0DE3">
                          <w:pPr>
                            <w:pStyle w:val="29"/>
                          </w:pPr>
                        </w:p>
                      </w:txbxContent>
                    </wps:txbx>
                    <wps:bodyPr vert="horz" wrap="none" lIns="0" tIns="0" rIns="0" bIns="0" anchor="t" anchorCtr="0" upright="0">
                      <a:spAutoFit/>
                    </wps:bodyPr>
                  </wps:wsp>
                </a:graphicData>
              </a:graphic>
            </wp:anchor>
          </w:drawing>
        </mc:Choice>
        <mc:Fallback>
          <w:pict>
            <v:rect id="文本框 2" o:spid="_x0000_s1026" o:spt="1" style="position:absolute;left:0pt;margin-top:0pt;height:16.5pt;width:18.75pt;mso-position-horizontal:center;mso-position-horizontal-relative:margin;mso-wrap-style:none;z-index:251659264;mso-width-relative:page;mso-height-relative:page;" filled="f" stroked="f" coordsize="21600,21600" o:gfxdata="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9kMc9cAAAADAQAADwAAAAAAAAABACAAAAAiAAAAZHJz&#10;L2Rvd25yZXYueG1sUEsBAhQAFAAAAAgAh07iQAat94EFAgAA9QMAAA4AAAAAAAAAAQAgAAAAJgEA&#10;AGRycy9lMm9Eb2MueG1sUEsFBgAAAAAGAAYAWQEAAJ0FAAAAAA==&#10;">
              <v:fill on="f" focussize="0,0"/>
              <v:stroke on="f" weight="0.5pt" joinstyle="round"/>
              <v:imagedata o:title=""/>
              <o:lock v:ext="edit" aspectratio="f"/>
              <v:textbox inset="0mm,0mm,0mm,0mm" style="mso-fit-shape-to-text:t;">
                <w:txbxContent>
                  <w:p w14:paraId="1A0A0DE3">
                    <w:pPr>
                      <w:pStyle w:val="29"/>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C9F18">
    <w:pPr>
      <w:pStyle w:val="30"/>
      <w:widowControl w:val="0"/>
      <w:pBdr>
        <w:top w:val="none" w:color="auto" w:sz="0" w:space="0"/>
        <w:left w:val="none" w:color="auto" w:sz="0" w:space="0"/>
        <w:bottom w:val="none" w:color="auto" w:sz="0" w:space="0"/>
        <w:right w:val="none" w:color="auto" w:sz="0" w:space="0"/>
        <w:between w:val="none" w:color="auto" w:sz="0" w:space="0"/>
      </w:pBdr>
      <w:tabs>
        <w:tab w:val="left" w:pos="5750"/>
        <w:tab w:val="clear" w:pos="4153"/>
      </w:tabs>
      <w:snapToGrid w:val="0"/>
      <w:spacing w:line="240" w:lineRule="auto"/>
      <w:ind w:left="0" w:leftChars="0" w:right="-60" w:rightChars="-25" w:firstLine="0" w:firstLineChars="0"/>
      <w:jc w:val="both"/>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82ACE7">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D82ACE7">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ascii="宋体" w:hAnsi="宋体" w:eastAsia="宋体" w:cs="宋体"/>
        <w:i/>
        <w:iCs/>
      </w:rPr>
      <w:t>陕西四方衡裕项目管理有限公司</w:t>
    </w:r>
    <w:r>
      <w:rPr>
        <w:rFonts w:hint="eastAsia" w:ascii="宋体" w:hAnsi="宋体" w:eastAsia="宋体" w:cs="宋体"/>
      </w:rPr>
      <mc:AlternateContent>
        <mc:Choice Requires="wps">
          <w:drawing>
            <wp:anchor distT="0" distB="0" distL="113665" distR="113665" simplePos="0" relativeHeight="251666432" behindDoc="0" locked="0" layoutInCell="1" allowOverlap="1">
              <wp:simplePos x="0" y="0"/>
              <wp:positionH relativeFrom="margin">
                <wp:posOffset>2733040</wp:posOffset>
              </wp:positionH>
              <wp:positionV relativeFrom="paragraph">
                <wp:posOffset>0</wp:posOffset>
              </wp:positionV>
              <wp:extent cx="238125" cy="209550"/>
              <wp:effectExtent l="0" t="0" r="0" b="0"/>
              <wp:wrapNone/>
              <wp:docPr id="12" name="文本框 4"/>
              <wp:cNvGraphicFramePr/>
              <a:graphic xmlns:a="http://schemas.openxmlformats.org/drawingml/2006/main">
                <a:graphicData uri="http://schemas.microsoft.com/office/word/2010/wordprocessingShape">
                  <wps:wsp>
                    <wps:cNvSpPr/>
                    <wps:spPr>
                      <a:xfrm>
                        <a:off x="0" y="0"/>
                        <a:ext cx="238124" cy="209340"/>
                      </a:xfrm>
                      <a:prstGeom prst="rect">
                        <a:avLst/>
                      </a:prstGeom>
                      <a:noFill/>
                      <a:ln w="6350" cap="flat" cmpd="sng">
                        <a:noFill/>
                        <a:prstDash val="solid"/>
                        <a:round/>
                      </a:ln>
                    </wps:spPr>
                    <wps:txbx>
                      <w:txbxContent>
                        <w:p w14:paraId="41B4D8DD">
                          <w:pPr>
                            <w:pStyle w:val="29"/>
                          </w:pPr>
                        </w:p>
                      </w:txbxContent>
                    </wps:txbx>
                    <wps:bodyPr vert="horz" wrap="none" lIns="0" tIns="0" rIns="0" bIns="0" anchor="t" anchorCtr="0" upright="0">
                      <a:spAutoFit/>
                    </wps:bodyPr>
                  </wps:wsp>
                </a:graphicData>
              </a:graphic>
            </wp:anchor>
          </w:drawing>
        </mc:Choice>
        <mc:Fallback>
          <w:pict>
            <v:rect id="文本框 4" o:spid="_x0000_s1026" o:spt="1" style="position:absolute;left:0pt;margin-left:215.2pt;margin-top:0pt;height:16.5pt;width:18.75pt;mso-position-horizontal-relative:margin;mso-wrap-style:none;z-index:251666432;mso-width-relative:page;mso-height-relative:page;" filled="f" stroked="f" coordsize="21600,21600" o:gfxdata="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8viVNdoAAAAHAQAADwAAAAAAAAABACAAAAAiAAAA&#10;ZHJzL2Rvd25yZXYueG1sUEsBAhQAFAAAAAgAh07iQDdOzNEFAgAA9QMAAA4AAAAAAAAAAQAgAAAA&#10;KQEAAGRycy9lMm9Eb2MueG1sUEsFBgAAAAAGAAYAWQEAAKAFAAAAAA==&#10;">
              <v:fill on="f" focussize="0,0"/>
              <v:stroke on="f" weight="0.5pt" joinstyle="round"/>
              <v:imagedata o:title=""/>
              <o:lock v:ext="edit" aspectratio="f"/>
              <v:textbox inset="0mm,0mm,0mm,0mm" style="mso-fit-shape-to-text:t;">
                <w:txbxContent>
                  <w:p w14:paraId="41B4D8DD">
                    <w:pPr>
                      <w:pStyle w:val="29"/>
                    </w:pPr>
                  </w:p>
                </w:txbxContent>
              </v:textbox>
            </v:rect>
          </w:pict>
        </mc:Fallback>
      </mc:AlternateContent>
    </w:r>
    <w:r>
      <w:rPr>
        <w:rFonts w:hint="eastAsia" w:ascii="宋体" w:hAnsi="宋体" w:eastAsia="宋体" w:cs="宋体"/>
        <w:i/>
        <w:iCs/>
      </w:rPr>
      <w:t xml:space="preserve">                               </w:t>
    </w:r>
    <w:r>
      <w:rPr>
        <w:rFonts w:hint="eastAsia" w:ascii="宋体" w:hAnsi="宋体" w:eastAsia="宋体" w:cs="宋体"/>
        <w:i/>
        <w:iCs/>
        <w:lang w:val="en-US" w:eastAsia="zh-CN"/>
      </w:rPr>
      <w:t xml:space="preserve">   </w:t>
    </w:r>
    <w:r>
      <w:rPr>
        <w:rFonts w:hint="eastAsia" w:ascii="宋体" w:hAnsi="宋体" w:eastAsia="宋体" w:cs="宋体"/>
        <w:i/>
        <w:iCs/>
        <w:lang w:eastAsia="zh-CN"/>
      </w:rPr>
      <w:t>西安航天基地新经济产业园北区3幢2层</w:t>
    </w:r>
    <w:r>
      <w:rPr>
        <w:sz w:val="20"/>
      </w:rPr>
      <mc:AlternateContent>
        <mc:Choice Requires="wps">
          <w:drawing>
            <wp:anchor distT="0" distB="0" distL="113665" distR="113665" simplePos="0" relativeHeight="251668480" behindDoc="0" locked="0" layoutInCell="1" allowOverlap="1">
              <wp:simplePos x="0" y="0"/>
              <wp:positionH relativeFrom="margin">
                <wp:posOffset>2861310</wp:posOffset>
              </wp:positionH>
              <wp:positionV relativeFrom="paragraph">
                <wp:posOffset>0</wp:posOffset>
              </wp:positionV>
              <wp:extent cx="238125" cy="209550"/>
              <wp:effectExtent l="0" t="0" r="0" b="0"/>
              <wp:wrapNone/>
              <wp:docPr id="13" name="文本框 2"/>
              <wp:cNvGraphicFramePr/>
              <a:graphic xmlns:a="http://schemas.openxmlformats.org/drawingml/2006/main">
                <a:graphicData uri="http://schemas.microsoft.com/office/word/2010/wordprocessingShape">
                  <wps:wsp>
                    <wps:cNvSpPr/>
                    <wps:spPr>
                      <a:xfrm>
                        <a:off x="0" y="0"/>
                        <a:ext cx="238124" cy="209340"/>
                      </a:xfrm>
                      <a:prstGeom prst="rect">
                        <a:avLst/>
                      </a:prstGeom>
                      <a:noFill/>
                      <a:ln w="6350" cap="flat" cmpd="sng">
                        <a:noFill/>
                        <a:prstDash val="solid"/>
                        <a:round/>
                      </a:ln>
                    </wps:spPr>
                    <wps:txbx>
                      <w:txbxContent>
                        <w:p w14:paraId="15F93D9A">
                          <w:pPr>
                            <w:pStyle w:val="29"/>
                            <w:pBdr>
                              <w:top w:val="none" w:color="auto" w:sz="0" w:space="0"/>
                              <w:left w:val="none" w:color="auto" w:sz="0" w:space="0"/>
                              <w:bottom w:val="none" w:color="auto" w:sz="0" w:space="0"/>
                              <w:right w:val="none" w:color="auto" w:sz="0" w:space="0"/>
                              <w:between w:val="none" w:color="auto" w:sz="0" w:space="0"/>
                            </w:pBdr>
                          </w:pPr>
                        </w:p>
                      </w:txbxContent>
                    </wps:txbx>
                    <wps:bodyPr vert="horz" wrap="none" lIns="0" tIns="0" rIns="0" bIns="0" anchor="t" anchorCtr="0" upright="0">
                      <a:spAutoFit/>
                    </wps:bodyPr>
                  </wps:wsp>
                </a:graphicData>
              </a:graphic>
            </wp:anchor>
          </w:drawing>
        </mc:Choice>
        <mc:Fallback>
          <w:pict>
            <v:rect id="文本框 2" o:spid="_x0000_s1026" o:spt="1" style="position:absolute;left:0pt;margin-left:225.3pt;margin-top:0pt;height:16.5pt;width:18.75pt;mso-position-horizontal-relative:margin;mso-wrap-style:none;z-index:251668480;mso-width-relative:page;mso-height-relative:page;" filled="f" stroked="f" coordsize="21600,21600" o:gfxdata="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Kb7+pNoAAAAHAQAADwAAAAAAAAABACAAAAAiAAAA&#10;ZHJzL2Rvd25yZXYueG1sUEsBAhQAFAAAAAgAh07iQJ8fWxcFAgAA9QMAAA4AAAAAAAAAAQAgAAAA&#10;KQEAAGRycy9lMm9Eb2MueG1sUEsFBgAAAAAGAAYAWQEAAKAFAAAAAA==&#10;">
              <v:fill on="f" focussize="0,0"/>
              <v:stroke on="f" weight="0.5pt" joinstyle="round"/>
              <v:imagedata o:title=""/>
              <o:lock v:ext="edit" aspectratio="f"/>
              <v:textbox inset="0mm,0mm,0mm,0mm" style="mso-fit-shape-to-text:t;">
                <w:txbxContent>
                  <w:p w14:paraId="15F93D9A">
                    <w:pPr>
                      <w:pStyle w:val="29"/>
                      <w:pBdr>
                        <w:top w:val="none" w:color="auto" w:sz="0" w:space="0"/>
                        <w:left w:val="none" w:color="auto" w:sz="0" w:space="0"/>
                        <w:bottom w:val="none" w:color="auto" w:sz="0" w:space="0"/>
                        <w:right w:val="none" w:color="auto" w:sz="0" w:space="0"/>
                        <w:between w:val="none" w:color="auto" w:sz="0" w:space="0"/>
                      </w:pBdr>
                    </w:pPr>
                  </w:p>
                </w:txbxContent>
              </v:textbox>
            </v:rect>
          </w:pict>
        </mc:Fallback>
      </mc:AlternateContent>
    </w:r>
    <w:r>
      <w:rPr>
        <w:sz w:val="20"/>
      </w:rPr>
      <mc:AlternateContent>
        <mc:Choice Requires="wps">
          <w:drawing>
            <wp:anchor distT="0" distB="0" distL="113665" distR="113665" simplePos="0" relativeHeight="251666432" behindDoc="0" locked="0" layoutInCell="1" allowOverlap="1">
              <wp:simplePos x="0" y="0"/>
              <wp:positionH relativeFrom="margin">
                <wp:align>center</wp:align>
              </wp:positionH>
              <wp:positionV relativeFrom="paragraph">
                <wp:posOffset>0</wp:posOffset>
              </wp:positionV>
              <wp:extent cx="238125" cy="209550"/>
              <wp:effectExtent l="0" t="0" r="0" b="0"/>
              <wp:wrapNone/>
              <wp:docPr id="14" name="文本框 2"/>
              <wp:cNvGraphicFramePr/>
              <a:graphic xmlns:a="http://schemas.openxmlformats.org/drawingml/2006/main">
                <a:graphicData uri="http://schemas.microsoft.com/office/word/2010/wordprocessingShape">
                  <wps:wsp>
                    <wps:cNvSpPr/>
                    <wps:spPr>
                      <a:xfrm>
                        <a:off x="0" y="0"/>
                        <a:ext cx="238124" cy="209340"/>
                      </a:xfrm>
                      <a:prstGeom prst="rect">
                        <a:avLst/>
                      </a:prstGeom>
                      <a:noFill/>
                      <a:ln w="6350" cap="flat" cmpd="sng">
                        <a:noFill/>
                        <a:prstDash val="solid"/>
                        <a:round/>
                      </a:ln>
                    </wps:spPr>
                    <wps:txbx>
                      <w:txbxContent>
                        <w:p w14:paraId="0DEC01DE">
                          <w:pPr>
                            <w:pStyle w:val="29"/>
                          </w:pPr>
                        </w:p>
                      </w:txbxContent>
                    </wps:txbx>
                    <wps:bodyPr vert="horz" wrap="none" lIns="0" tIns="0" rIns="0" bIns="0" anchor="t" anchorCtr="0" upright="0">
                      <a:spAutoFit/>
                    </wps:bodyPr>
                  </wps:wsp>
                </a:graphicData>
              </a:graphic>
            </wp:anchor>
          </w:drawing>
        </mc:Choice>
        <mc:Fallback>
          <w:pict>
            <v:rect id="文本框 2" o:spid="_x0000_s1026" o:spt="1" style="position:absolute;left:0pt;margin-top:0pt;height:16.5pt;width:18.75pt;mso-position-horizontal:center;mso-position-horizontal-relative:margin;mso-wrap-style:none;z-index:251666432;mso-width-relative:page;mso-height-relative:page;" filled="f" stroked="f" coordsize="21600,21600" o:gfxdata="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9kMc9cAAAADAQAADwAAAAAAAAABACAAAAAiAAAAZHJz&#10;L2Rvd25yZXYueG1sUEsBAhQAFAAAAAgAh07iQJsSF5MFAgAA9QMAAA4AAAAAAAAAAQAgAAAAJgEA&#10;AGRycy9lMm9Eb2MueG1sUEsFBgAAAAAGAAYAWQEAAJ0FAAAAAA==&#10;">
              <v:fill on="f" focussize="0,0"/>
              <v:stroke on="f" weight="0.5pt" joinstyle="round"/>
              <v:imagedata o:title=""/>
              <o:lock v:ext="edit" aspectratio="f"/>
              <v:textbox inset="0mm,0mm,0mm,0mm" style="mso-fit-shape-to-text:t;">
                <w:txbxContent>
                  <w:p w14:paraId="0DEC01DE">
                    <w:pPr>
                      <w:pStyle w:val="29"/>
                    </w:pP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96C34">
    <w:pPr>
      <w:widowControl w:val="0"/>
      <w:snapToGrid w:val="0"/>
      <w:jc w:val="left"/>
      <w:rPr>
        <w:rFonts w:ascii="Times New Roman" w:hAnsi="Times New Roman" w:eastAsia="宋体" w:cs="Times New Roman"/>
        <w:kern w:val="2"/>
        <w:sz w:val="28"/>
        <w:szCs w:val="28"/>
        <w:lang w:val="en-US" w:eastAsia="zh-CN" w:bidi="ar-SA"/>
      </w:rPr>
    </w:pPr>
    <w:r>
      <w:rPr>
        <w:rFonts w:ascii="Times New Roman" w:hAnsi="Times New Roman" w:eastAsia="宋体" w:cs="Times New Roman"/>
        <w:kern w:val="2"/>
        <w:sz w:val="28"/>
        <w:szCs w:val="28"/>
        <w:lang w:val="en-US" w:eastAsia="zh-CN" w:bidi="ar-SA"/>
      </w:rPr>
      <w:fldChar w:fldCharType="begin"/>
    </w:r>
    <w:r>
      <w:rPr>
        <w:rFonts w:ascii="Times New Roman" w:hAnsi="Times New Roman" w:eastAsia="宋体" w:cs="Times New Roman"/>
        <w:kern w:val="2"/>
        <w:sz w:val="28"/>
        <w:szCs w:val="28"/>
        <w:lang w:val="en-US" w:eastAsia="zh-CN" w:bidi="ar-SA"/>
      </w:rPr>
      <w:instrText xml:space="preserve"> PAGE   \* MERGEFORMAT </w:instrText>
    </w:r>
    <w:r>
      <w:rPr>
        <w:rFonts w:ascii="Times New Roman" w:hAnsi="Times New Roman" w:eastAsia="宋体" w:cs="Times New Roman"/>
        <w:kern w:val="2"/>
        <w:sz w:val="28"/>
        <w:szCs w:val="28"/>
        <w:lang w:val="en-US" w:eastAsia="zh-CN" w:bidi="ar-SA"/>
      </w:rPr>
      <w:fldChar w:fldCharType="separate"/>
    </w:r>
    <w:r>
      <w:rPr>
        <w:rFonts w:ascii="Times New Roman" w:hAnsi="Times New Roman" w:eastAsia="宋体" w:cs="Times New Roman"/>
        <w:kern w:val="2"/>
        <w:sz w:val="28"/>
        <w:szCs w:val="28"/>
        <w:lang w:val="zh-CN" w:eastAsia="zh-CN" w:bidi="ar-SA"/>
      </w:rPr>
      <w:t>-</w:t>
    </w:r>
    <w:r>
      <w:rPr>
        <w:rFonts w:ascii="Times New Roman" w:hAnsi="Times New Roman" w:eastAsia="宋体" w:cs="Times New Roman"/>
        <w:kern w:val="2"/>
        <w:sz w:val="28"/>
        <w:szCs w:val="28"/>
        <w:lang w:val="en-US" w:eastAsia="zh-CN" w:bidi="ar-SA"/>
      </w:rPr>
      <w:t xml:space="preserve"> 14 -</w:t>
    </w:r>
    <w:r>
      <w:rPr>
        <w:rFonts w:ascii="Times New Roman" w:hAnsi="Times New Roman" w:eastAsia="宋体" w:cs="Times New Roman"/>
        <w:kern w:val="2"/>
        <w:sz w:val="28"/>
        <w:szCs w:val="28"/>
        <w:lang w:val="en-US" w:eastAsia="zh-CN" w:bidi="ar-SA"/>
      </w:rPr>
      <w:fldChar w:fldCharType="end"/>
    </w:r>
  </w:p>
  <w:p w14:paraId="5DF3AA20">
    <w:pPr>
      <w:widowControl w:val="0"/>
      <w:snapToGrid w:val="0"/>
      <w:ind w:right="360" w:firstLine="360"/>
      <w:jc w:val="left"/>
      <w:rPr>
        <w:rFonts w:ascii="Times New Roman" w:hAnsi="Times New Roman" w:eastAsia="宋体"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0C02B">
    <w:pPr>
      <w:pStyle w:val="30"/>
      <w:widowControl w:val="0"/>
      <w:pBdr>
        <w:top w:val="none" w:color="auto" w:sz="0" w:space="0"/>
        <w:left w:val="none" w:color="auto" w:sz="0" w:space="0"/>
        <w:bottom w:val="none" w:color="auto" w:sz="0" w:space="0"/>
        <w:right w:val="none" w:color="auto" w:sz="0" w:space="0"/>
        <w:between w:val="none" w:color="auto" w:sz="0" w:space="0"/>
      </w:pBdr>
      <w:tabs>
        <w:tab w:val="left" w:pos="5750"/>
        <w:tab w:val="clear" w:pos="4153"/>
      </w:tabs>
      <w:snapToGrid w:val="0"/>
      <w:spacing w:line="240" w:lineRule="auto"/>
      <w:ind w:left="0" w:leftChars="0" w:right="-60" w:rightChars="-25" w:firstLine="360" w:firstLineChars="200"/>
      <w:jc w:val="both"/>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F96AD0">
                          <w:pPr>
                            <w:pStyle w:val="29"/>
                          </w:pPr>
                          <w:r>
                            <w:t xml:space="preserve">第 </w:t>
                          </w:r>
                          <w:r>
                            <w:fldChar w:fldCharType="begin"/>
                          </w:r>
                          <w:r>
                            <w:instrText xml:space="preserve"> PAGE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8F96AD0">
                    <w:pPr>
                      <w:pStyle w:val="29"/>
                    </w:pPr>
                    <w:r>
                      <w:t xml:space="preserve">第 </w:t>
                    </w:r>
                    <w:r>
                      <w:fldChar w:fldCharType="begin"/>
                    </w:r>
                    <w:r>
                      <w:instrText xml:space="preserve"> PAGE  \* MERGEFORMAT </w:instrText>
                    </w:r>
                    <w:r>
                      <w:fldChar w:fldCharType="separate"/>
                    </w:r>
                    <w:r>
                      <w:t>25</w:t>
                    </w:r>
                    <w:r>
                      <w:fldChar w:fldCharType="end"/>
                    </w:r>
                    <w:r>
                      <w:t xml:space="preserve"> 页</w:t>
                    </w:r>
                  </w:p>
                </w:txbxContent>
              </v:textbox>
            </v:shape>
          </w:pict>
        </mc:Fallback>
      </mc:AlternateContent>
    </w:r>
    <w:r>
      <w:rPr>
        <w:rFonts w:hint="eastAsia" w:ascii="宋体" w:hAnsi="宋体" w:eastAsia="宋体" w:cs="宋体"/>
        <w:i/>
        <w:iCs/>
      </w:rPr>
      <w:t>陕西四方衡裕项目管理有限公司</w:t>
    </w:r>
    <w:r>
      <w:rPr>
        <w:rFonts w:hint="eastAsia" w:ascii="宋体" w:hAnsi="宋体" w:eastAsia="宋体" w:cs="宋体"/>
      </w:rPr>
      <mc:AlternateContent>
        <mc:Choice Requires="wps">
          <w:drawing>
            <wp:anchor distT="0" distB="0" distL="113665" distR="113665" simplePos="0" relativeHeight="251664384" behindDoc="0" locked="0" layoutInCell="1" allowOverlap="1">
              <wp:simplePos x="0" y="0"/>
              <wp:positionH relativeFrom="margin">
                <wp:posOffset>2733040</wp:posOffset>
              </wp:positionH>
              <wp:positionV relativeFrom="paragraph">
                <wp:posOffset>0</wp:posOffset>
              </wp:positionV>
              <wp:extent cx="238125" cy="209550"/>
              <wp:effectExtent l="0" t="0" r="0" b="0"/>
              <wp:wrapNone/>
              <wp:docPr id="9" name="文本框 4"/>
              <wp:cNvGraphicFramePr/>
              <a:graphic xmlns:a="http://schemas.openxmlformats.org/drawingml/2006/main">
                <a:graphicData uri="http://schemas.microsoft.com/office/word/2010/wordprocessingShape">
                  <wps:wsp>
                    <wps:cNvSpPr/>
                    <wps:spPr>
                      <a:xfrm>
                        <a:off x="0" y="0"/>
                        <a:ext cx="238124" cy="209340"/>
                      </a:xfrm>
                      <a:prstGeom prst="rect">
                        <a:avLst/>
                      </a:prstGeom>
                      <a:noFill/>
                      <a:ln w="6350" cap="flat" cmpd="sng">
                        <a:noFill/>
                        <a:prstDash val="solid"/>
                        <a:round/>
                      </a:ln>
                    </wps:spPr>
                    <wps:txbx>
                      <w:txbxContent>
                        <w:p w14:paraId="75BFB7A9">
                          <w:pPr>
                            <w:pStyle w:val="29"/>
                          </w:pPr>
                        </w:p>
                      </w:txbxContent>
                    </wps:txbx>
                    <wps:bodyPr vert="horz" wrap="none" lIns="0" tIns="0" rIns="0" bIns="0" anchor="t" anchorCtr="0" upright="0">
                      <a:spAutoFit/>
                    </wps:bodyPr>
                  </wps:wsp>
                </a:graphicData>
              </a:graphic>
            </wp:anchor>
          </w:drawing>
        </mc:Choice>
        <mc:Fallback>
          <w:pict>
            <v:rect id="文本框 4" o:spid="_x0000_s1026" o:spt="1" style="position:absolute;left:0pt;margin-left:215.2pt;margin-top:0pt;height:16.5pt;width:18.75pt;mso-position-horizontal-relative:margin;mso-wrap-style:none;z-index:251664384;mso-width-relative:page;mso-height-relative:page;" filled="f" stroked="f" coordsize="21600,21600" o:gfxdata="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8viVNdoAAAAHAQAADwAAAAAAAAABACAAAAAiAAAA&#10;ZHJzL2Rvd25yZXYueG1sUEsBAhQAFAAAAAgAh07iQBBoILAFAgAA9AMAAA4AAAAAAAAAAQAgAAAA&#10;KQEAAGRycy9lMm9Eb2MueG1sUEsFBgAAAAAGAAYAWQEAAKAFAAAAAA==&#10;">
              <v:fill on="f" focussize="0,0"/>
              <v:stroke on="f" weight="0.5pt" joinstyle="round"/>
              <v:imagedata o:title=""/>
              <o:lock v:ext="edit" aspectratio="f"/>
              <v:textbox inset="0mm,0mm,0mm,0mm" style="mso-fit-shape-to-text:t;">
                <w:txbxContent>
                  <w:p w14:paraId="75BFB7A9">
                    <w:pPr>
                      <w:pStyle w:val="29"/>
                    </w:pPr>
                  </w:p>
                </w:txbxContent>
              </v:textbox>
            </v:rect>
          </w:pict>
        </mc:Fallback>
      </mc:AlternateContent>
    </w:r>
    <w:r>
      <w:rPr>
        <w:rFonts w:hint="eastAsia" w:ascii="宋体" w:hAnsi="宋体" w:eastAsia="宋体" w:cs="宋体"/>
        <w:i/>
        <w:iCs/>
      </w:rPr>
      <w:t xml:space="preserve">                          </w:t>
    </w:r>
    <w:r>
      <w:rPr>
        <w:rFonts w:hint="eastAsia" w:ascii="宋体" w:hAnsi="宋体" w:eastAsia="宋体" w:cs="宋体"/>
        <w:i/>
        <w:iCs/>
        <w:lang w:val="en-US" w:eastAsia="zh-CN"/>
      </w:rPr>
      <w:t xml:space="preserve">                                          </w:t>
    </w:r>
    <w:r>
      <w:rPr>
        <w:rFonts w:hint="eastAsia" w:ascii="宋体" w:hAnsi="宋体" w:eastAsia="宋体" w:cs="宋体"/>
        <w:i/>
        <w:iCs/>
      </w:rPr>
      <w:t xml:space="preserve">    </w:t>
    </w:r>
    <w:r>
      <w:rPr>
        <w:rFonts w:hint="eastAsia" w:ascii="宋体" w:hAnsi="宋体" w:eastAsia="宋体" w:cs="宋体"/>
        <w:i/>
        <w:iCs/>
        <w:lang w:val="en-US" w:eastAsia="zh-CN"/>
      </w:rPr>
      <w:t xml:space="preserve">   </w:t>
    </w:r>
    <w:r>
      <w:rPr>
        <w:rFonts w:hint="eastAsia" w:ascii="宋体" w:hAnsi="宋体" w:eastAsia="宋体" w:cs="宋体"/>
        <w:i/>
        <w:iCs/>
        <w:lang w:eastAsia="zh-CN"/>
      </w:rPr>
      <w:t>西安航天基地新经济产业园北区3幢2层</w:t>
    </w:r>
    <w:r>
      <w:rPr>
        <w:sz w:val="20"/>
      </w:rPr>
      <mc:AlternateContent>
        <mc:Choice Requires="wps">
          <w:drawing>
            <wp:anchor distT="0" distB="0" distL="113665" distR="113665" simplePos="0" relativeHeight="251664384" behindDoc="0" locked="0" layoutInCell="1" allowOverlap="1">
              <wp:simplePos x="0" y="0"/>
              <wp:positionH relativeFrom="margin">
                <wp:align>center</wp:align>
              </wp:positionH>
              <wp:positionV relativeFrom="paragraph">
                <wp:posOffset>0</wp:posOffset>
              </wp:positionV>
              <wp:extent cx="238125" cy="209550"/>
              <wp:effectExtent l="0" t="0" r="0" b="0"/>
              <wp:wrapNone/>
              <wp:docPr id="11" name="文本框 2"/>
              <wp:cNvGraphicFramePr/>
              <a:graphic xmlns:a="http://schemas.openxmlformats.org/drawingml/2006/main">
                <a:graphicData uri="http://schemas.microsoft.com/office/word/2010/wordprocessingShape">
                  <wps:wsp>
                    <wps:cNvSpPr/>
                    <wps:spPr>
                      <a:xfrm>
                        <a:off x="0" y="0"/>
                        <a:ext cx="238124" cy="209340"/>
                      </a:xfrm>
                      <a:prstGeom prst="rect">
                        <a:avLst/>
                      </a:prstGeom>
                      <a:noFill/>
                      <a:ln w="6350" cap="flat" cmpd="sng">
                        <a:noFill/>
                        <a:prstDash val="solid"/>
                        <a:round/>
                      </a:ln>
                    </wps:spPr>
                    <wps:txbx>
                      <w:txbxContent>
                        <w:p w14:paraId="1E319174">
                          <w:pPr>
                            <w:pStyle w:val="29"/>
                          </w:pPr>
                        </w:p>
                      </w:txbxContent>
                    </wps:txbx>
                    <wps:bodyPr vert="horz" wrap="none" lIns="0" tIns="0" rIns="0" bIns="0" anchor="t" anchorCtr="0" upright="0">
                      <a:spAutoFit/>
                    </wps:bodyPr>
                  </wps:wsp>
                </a:graphicData>
              </a:graphic>
            </wp:anchor>
          </w:drawing>
        </mc:Choice>
        <mc:Fallback>
          <w:pict>
            <v:rect id="文本框 2" o:spid="_x0000_s1026" o:spt="1" style="position:absolute;left:0pt;margin-top:0pt;height:16.5pt;width:18.75pt;mso-position-horizontal:center;mso-position-horizontal-relative:margin;mso-wrap-style:none;z-index:251664384;mso-width-relative:page;mso-height-relative:page;" filled="f" stroked="f" coordsize="21600,21600" o:gfxdata="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9kMc9cAAAADAQAADwAAAAAAAAABACAAAAAiAAAAZHJz&#10;L2Rvd25yZXYueG1sUEsBAhQAFAAAAAgAh07iQHHDk/MFAgAA9QMAAA4AAAAAAAAAAQAgAAAAJgEA&#10;AGRycy9lMm9Eb2MueG1sUEsFBgAAAAAGAAYAWQEAAJ0FAAAAAA==&#10;">
              <v:fill on="f" focussize="0,0"/>
              <v:stroke on="f" weight="0.5pt" joinstyle="round"/>
              <v:imagedata o:title=""/>
              <o:lock v:ext="edit" aspectratio="f"/>
              <v:textbox inset="0mm,0mm,0mm,0mm" style="mso-fit-shape-to-text:t;">
                <w:txbxContent>
                  <w:p w14:paraId="1E319174">
                    <w:pPr>
                      <w:pStyle w:val="29"/>
                    </w:pP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50820">
    <w:pPr>
      <w:pStyle w:val="29"/>
      <w:rPr>
        <w:rFonts w:hint="eastAsia"/>
        <w:sz w:val="24"/>
        <w:szCs w:val="24"/>
      </w:rPr>
    </w:pPr>
    <w:r>
      <w:rPr>
        <w:rFonts w:hint="eastAsia" w:ascii="宋体" w:hAnsi="宋体" w:eastAsia="宋体" w:cs="宋体"/>
        <w:i/>
        <w:iCs/>
      </w:rPr>
      <w:t xml:space="preserve"> </w:t>
    </w:r>
    <w:r>
      <w:rPr>
        <w:rFonts w:hint="eastAsia" w:ascii="宋体" w:hAnsi="宋体" w:eastAsia="宋体" w:cs="宋体"/>
        <w:i/>
        <w:iCs/>
        <w:lang w:val="en-US" w:eastAsia="zh-CN"/>
      </w:rPr>
      <w:t xml:space="preserve">         </w:t>
    </w:r>
  </w:p>
  <w:p w14:paraId="6AF10912">
    <w:pPr>
      <w:pStyle w:val="30"/>
      <w:pBdr>
        <w:top w:val="none" w:color="auto" w:sz="0" w:space="1"/>
        <w:left w:val="none" w:color="auto" w:sz="0" w:space="0"/>
        <w:bottom w:val="none" w:color="auto" w:sz="0" w:space="0"/>
        <w:right w:val="none" w:color="auto" w:sz="0" w:space="0"/>
        <w:between w:val="none" w:color="auto" w:sz="0" w:space="0"/>
      </w:pBdr>
      <w:tabs>
        <w:tab w:val="left" w:pos="6291"/>
        <w:tab w:val="clear" w:pos="4153"/>
      </w:tabs>
      <w:ind w:firstLine="0" w:firstLineChars="0"/>
      <w:rPr>
        <w:rFonts w:hint="eastAsia"/>
        <w:sz w:val="28"/>
        <w:szCs w:val="28"/>
      </w:rPr>
    </w:pPr>
    <w:r>
      <w:rPr>
        <w:rFonts w:hint="eastAsia" w:ascii="宋体" w:hAnsi="宋体" w:eastAsia="宋体" w:cs="宋体"/>
        <w:i/>
        <w:iCs/>
        <w:lang w:val="en-US" w:eastAsia="zh-CN"/>
      </w:rPr>
      <w:t xml:space="preserve">  陕西四方衡裕项目管理有限公司                                      </w:t>
    </w:r>
    <w:r>
      <w:rPr>
        <w:rFonts w:hint="eastAsia" w:ascii="宋体" w:hAnsi="宋体" w:eastAsia="宋体" w:cs="宋体"/>
        <w:i/>
        <w:iCs/>
        <w:lang w:eastAsia="zh-CN"/>
      </w:rPr>
      <w:t>西安航天基地新经济产业园北区3幢2层</w:t>
    </w: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A8096">
                          <w:pPr>
                            <w:pStyle w:val="29"/>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C8A8096">
                    <w:pPr>
                      <w:pStyle w:val="29"/>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776CF">
    <w:pPr>
      <w:pStyle w:val="29"/>
      <w:pBdr>
        <w:top w:val="none" w:color="auto" w:sz="0" w:space="0"/>
        <w:left w:val="none" w:color="auto" w:sz="0" w:space="0"/>
        <w:bottom w:val="none" w:color="auto" w:sz="0" w:space="0"/>
        <w:right w:val="none" w:color="auto" w:sz="0" w:space="0"/>
        <w:between w:val="none" w:color="auto" w:sz="0" w:space="0"/>
      </w:pBdr>
      <w:ind w:left="0" w:leftChars="0" w:firstLine="0" w:firstLineChars="0"/>
      <w:jc w:val="both"/>
      <w:rPr>
        <w:rFonts w:hint="eastAsia"/>
        <w:sz w:val="24"/>
        <w:szCs w:val="24"/>
      </w:rPr>
    </w:pPr>
    <w:r>
      <w:rPr>
        <w:rFonts w:hint="eastAsia" w:ascii="宋体" w:hAnsi="宋体" w:eastAsia="宋体" w:cs="宋体"/>
        <w:i/>
        <w:iCs/>
        <w:lang w:val="en-US" w:eastAsia="zh-CN"/>
      </w:rPr>
      <w:t xml:space="preserve">陕西四方衡裕项目管理有限公司                                                                              </w:t>
    </w:r>
    <w:r>
      <w:rPr>
        <w:rFonts w:hint="eastAsia" w:ascii="宋体" w:hAnsi="宋体" w:eastAsia="宋体" w:cs="宋体"/>
        <w:i/>
        <w:iCs/>
        <w:lang w:eastAsia="zh-CN"/>
      </w:rPr>
      <w:t>西安航天基地新经济产业园北区3幢2层</w:t>
    </w: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D97164">
                          <w:pPr>
                            <w:pStyle w:val="29"/>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65D97164">
                    <w:pPr>
                      <w:pStyle w:val="29"/>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20136">
    <w:pPr>
      <w:pStyle w:val="29"/>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w:t>
    </w:r>
    <w:r>
      <w:rPr>
        <w:sz w:val="28"/>
        <w:szCs w:val="28"/>
      </w:rPr>
      <w:t xml:space="preserve"> 2 -</w:t>
    </w:r>
    <w:r>
      <w:rPr>
        <w:sz w:val="28"/>
        <w:szCs w:val="28"/>
      </w:rPr>
      <w:fldChar w:fldCharType="end"/>
    </w:r>
  </w:p>
  <w:p w14:paraId="5B1588C7">
    <w:pPr>
      <w:pStyle w:val="29"/>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97CC6">
    <w:pPr>
      <w:pStyle w:val="29"/>
      <w:pBdr>
        <w:top w:val="none" w:color="auto" w:sz="0" w:space="0"/>
        <w:left w:val="none" w:color="auto" w:sz="0" w:space="0"/>
        <w:bottom w:val="none" w:color="auto" w:sz="0" w:space="0"/>
        <w:right w:val="none" w:color="auto" w:sz="0" w:space="0"/>
        <w:between w:val="none" w:color="auto" w:sz="0" w:space="0"/>
      </w:pBdr>
      <w:ind w:left="0" w:leftChars="0" w:firstLine="0" w:firstLineChars="0"/>
      <w:jc w:val="both"/>
      <w:rPr>
        <w:rFonts w:hint="eastAsia"/>
        <w:sz w:val="24"/>
        <w:szCs w:val="24"/>
      </w:rPr>
    </w:pPr>
    <w:r>
      <w:rPr>
        <w:rFonts w:hint="eastAsia" w:ascii="宋体" w:hAnsi="宋体" w:eastAsia="宋体" w:cs="宋体"/>
        <w:i/>
        <w:iCs/>
        <w:lang w:val="en-US" w:eastAsia="zh-CN"/>
      </w:rPr>
      <w:t xml:space="preserve">陕西四方衡裕项目管理有限公司                                        </w:t>
    </w:r>
    <w:r>
      <w:rPr>
        <w:rFonts w:hint="eastAsia" w:ascii="宋体" w:hAnsi="宋体" w:eastAsia="宋体" w:cs="宋体"/>
        <w:i/>
        <w:iCs/>
        <w:lang w:eastAsia="zh-CN"/>
      </w:rPr>
      <w:t>西安航天基地新经济产业园北区3幢2层</w:t>
    </w: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069096">
                          <w:pPr>
                            <w:pStyle w:val="29"/>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E069096">
                    <w:pPr>
                      <w:pStyle w:val="29"/>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7ED64">
    <w:pPr>
      <w:pStyle w:val="30"/>
      <w:pBdr>
        <w:top w:val="none" w:color="auto" w:sz="0" w:space="0"/>
        <w:left w:val="none" w:color="auto" w:sz="0" w:space="0"/>
        <w:bottom w:val="none" w:color="auto" w:sz="0" w:space="1"/>
        <w:right w:val="none" w:color="auto" w:sz="0" w:space="0"/>
        <w:between w:val="none" w:color="auto" w:sz="0" w:space="0"/>
      </w:pBdr>
      <w:jc w:val="right"/>
      <w:rPr>
        <w:rFonts w:hint="eastAsia" w:ascii="宋体" w:hAnsi="宋体" w:eastAsia="宋体" w:cs="宋体"/>
        <w:i/>
        <w:i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F7470">
    <w:pPr>
      <w:widowControl w:val="0"/>
      <w:pBdr>
        <w:bottom w:val="none" w:color="auto" w:sz="0" w:space="0"/>
      </w:pBdr>
      <w:snapToGrid w:val="0"/>
      <w:jc w:val="center"/>
      <w:rPr>
        <w:rFonts w:ascii="Times New Roman" w:hAnsi="Times New Roman" w:eastAsia="宋体" w:cs="Times New Roman"/>
        <w:kern w:val="2"/>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6D65E">
    <w:pPr>
      <w:widowControl w:val="0"/>
      <w:pBdr>
        <w:bottom w:val="none" w:color="auto" w:sz="0" w:space="1"/>
      </w:pBdr>
      <w:tabs>
        <w:tab w:val="left" w:pos="5341"/>
      </w:tabs>
      <w:snapToGrid w:val="0"/>
      <w:jc w:val="left"/>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ab/>
    </w:r>
    <w:r>
      <w:rPr>
        <w:rFonts w:hint="eastAsia" w:ascii="Times New Roman" w:hAnsi="Times New Roman" w:eastAsia="宋体" w:cs="Times New Roman"/>
        <w:kern w:val="2"/>
        <w:sz w:val="18"/>
        <w:szCs w:val="18"/>
        <w:lang w:val="en-US" w:eastAsia="zh-CN" w:bidi="ar-SA"/>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A7155">
    <w:pPr>
      <w:pStyle w:val="3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36396">
    <w:pPr>
      <w:pStyle w:val="30"/>
      <w:pBdr>
        <w:top w:val="none" w:color="auto" w:sz="0" w:space="0"/>
        <w:left w:val="none" w:color="auto" w:sz="0" w:space="0"/>
        <w:bottom w:val="none" w:color="auto" w:sz="0" w:space="0"/>
        <w:right w:val="none" w:color="auto" w:sz="0" w:space="0"/>
        <w:between w:val="none" w:color="auto" w:sz="0" w:space="0"/>
      </w:pBdr>
      <w:jc w:val="right"/>
      <w:rPr>
        <w:rFonts w:hint="default" w:eastAsia="楷体"/>
        <w:lang w:val="en-US"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26DD0">
    <w:pPr>
      <w:pStyle w:val="30"/>
      <w:pBdr>
        <w:bottom w:val="none" w:color="auto" w:sz="0" w:space="1"/>
      </w:pBdr>
      <w:tabs>
        <w:tab w:val="left" w:pos="5341"/>
      </w:tabs>
      <w:jc w:val="left"/>
      <w:rPr>
        <w:rFonts w:hint="eastAsia"/>
      </w:rPr>
    </w:pPr>
    <w:r>
      <w:rPr>
        <w:rFonts w:hint="eastAsia"/>
      </w:rPr>
      <w:tab/>
    </w:r>
    <w:r>
      <w:rPr>
        <w:rFonts w:hint="eastAsia"/>
      </w:rP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3B876">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DD8F3A"/>
    <w:multiLevelType w:val="singleLevel"/>
    <w:tmpl w:val="A3DD8F3A"/>
    <w:lvl w:ilvl="0" w:tentative="0">
      <w:start w:val="1"/>
      <w:numFmt w:val="decimal"/>
      <w:suff w:val="nothing"/>
      <w:lvlText w:val="%1、"/>
      <w:lvlJc w:val="left"/>
      <w:pPr>
        <w:tabs>
          <w:tab w:val="left" w:pos="0"/>
        </w:tabs>
        <w:ind w:left="0" w:firstLine="0"/>
      </w:pPr>
    </w:lvl>
  </w:abstractNum>
  <w:abstractNum w:abstractNumId="1">
    <w:nsid w:val="CFFC45C4"/>
    <w:multiLevelType w:val="singleLevel"/>
    <w:tmpl w:val="CFFC45C4"/>
    <w:lvl w:ilvl="0" w:tentative="0">
      <w:start w:val="1"/>
      <w:numFmt w:val="decimal"/>
      <w:suff w:val="nothing"/>
      <w:lvlText w:val="%1、"/>
      <w:lvlJc w:val="left"/>
      <w:pPr>
        <w:tabs>
          <w:tab w:val="left" w:pos="0"/>
        </w:tabs>
        <w:ind w:left="0" w:firstLine="0"/>
      </w:pPr>
    </w:lvl>
  </w:abstractNum>
  <w:abstractNum w:abstractNumId="2">
    <w:nsid w:val="E5CAA03C"/>
    <w:multiLevelType w:val="singleLevel"/>
    <w:tmpl w:val="E5CAA03C"/>
    <w:lvl w:ilvl="0" w:tentative="0">
      <w:start w:val="1"/>
      <w:numFmt w:val="decimal"/>
      <w:suff w:val="nothing"/>
      <w:lvlText w:val="%1、"/>
      <w:lvlJc w:val="left"/>
      <w:pPr>
        <w:tabs>
          <w:tab w:val="left" w:pos="0"/>
        </w:tabs>
        <w:ind w:left="0" w:firstLine="0"/>
      </w:pPr>
    </w:lvl>
  </w:abstractNum>
  <w:abstractNum w:abstractNumId="3">
    <w:nsid w:val="0176D871"/>
    <w:multiLevelType w:val="multilevel"/>
    <w:tmpl w:val="0176D871"/>
    <w:lvl w:ilvl="0" w:tentative="0">
      <w:start w:val="1"/>
      <w:numFmt w:val="chineseCounting"/>
      <w:pStyle w:val="2"/>
      <w:suff w:val="nothing"/>
      <w:lvlText w:val="第%1章 "/>
      <w:lvlJc w:val="left"/>
      <w:pPr>
        <w:tabs>
          <w:tab w:val="left" w:pos="0"/>
        </w:tabs>
        <w:ind w:left="0" w:firstLine="402"/>
      </w:pPr>
      <w:rPr>
        <w:rFonts w:hint="eastAsia"/>
        <w:b/>
        <w:bCs/>
        <w:sz w:val="44"/>
        <w:szCs w:val="44"/>
      </w:rPr>
    </w:lvl>
    <w:lvl w:ilvl="1" w:tentative="0">
      <w:start w:val="1"/>
      <w:numFmt w:val="chineseCounting"/>
      <w:suff w:val="nothing"/>
      <w:lvlText w:val="%2、"/>
      <w:lvlJc w:val="left"/>
      <w:pPr>
        <w:tabs>
          <w:tab w:val="left" w:pos="0"/>
        </w:tabs>
        <w:ind w:left="0" w:firstLine="402"/>
      </w:pPr>
      <w:rPr>
        <w:rFonts w:hint="eastAsia"/>
      </w:rPr>
    </w:lvl>
    <w:lvl w:ilvl="2" w:tentative="0">
      <w:start w:val="1"/>
      <w:numFmt w:val="decimal"/>
      <w:suff w:val="nothing"/>
      <w:lvlText w:val="%3．"/>
      <w:lvlJc w:val="left"/>
      <w:pPr>
        <w:tabs>
          <w:tab w:val="left" w:pos="0"/>
        </w:tabs>
        <w:ind w:left="0" w:firstLine="402"/>
      </w:pPr>
      <w:rPr>
        <w:rFonts w:hint="eastAsia"/>
      </w:rPr>
    </w:lvl>
    <w:lvl w:ilvl="3" w:tentative="0">
      <w:start w:val="1"/>
      <w:numFmt w:val="decimal"/>
      <w:suff w:val="nothing"/>
      <w:lvlText w:val="（%4）"/>
      <w:lvlJc w:val="left"/>
      <w:pPr>
        <w:tabs>
          <w:tab w:val="left" w:pos="0"/>
        </w:tabs>
        <w:ind w:left="0" w:firstLine="402"/>
      </w:pPr>
      <w:rPr>
        <w:rFonts w:hint="eastAsia"/>
      </w:rPr>
    </w:lvl>
    <w:lvl w:ilvl="4" w:tentative="0">
      <w:start w:val="1"/>
      <w:numFmt w:val="decimalEnclosedCircleChinese"/>
      <w:suff w:val="nothing"/>
      <w:lvlText w:val="%5 "/>
      <w:lvlJc w:val="left"/>
      <w:pPr>
        <w:tabs>
          <w:tab w:val="left" w:pos="0"/>
        </w:tabs>
        <w:ind w:left="0" w:firstLine="402"/>
      </w:pPr>
      <w:rPr>
        <w:rFonts w:hint="eastAsia"/>
      </w:rPr>
    </w:lvl>
    <w:lvl w:ilvl="5" w:tentative="0">
      <w:start w:val="1"/>
      <w:numFmt w:val="decimal"/>
      <w:suff w:val="nothing"/>
      <w:lvlText w:val="%6）"/>
      <w:lvlJc w:val="left"/>
      <w:pPr>
        <w:tabs>
          <w:tab w:val="left" w:pos="0"/>
        </w:tabs>
        <w:ind w:left="0" w:firstLine="402"/>
      </w:pPr>
      <w:rPr>
        <w:rFonts w:hint="eastAsia"/>
      </w:rPr>
    </w:lvl>
    <w:lvl w:ilvl="6" w:tentative="0">
      <w:start w:val="1"/>
      <w:numFmt w:val="lowerLetter"/>
      <w:suff w:val="nothing"/>
      <w:lvlText w:val="%7．"/>
      <w:lvlJc w:val="left"/>
      <w:pPr>
        <w:tabs>
          <w:tab w:val="left" w:pos="0"/>
        </w:tabs>
        <w:ind w:left="0" w:firstLine="402"/>
      </w:pPr>
      <w:rPr>
        <w:rFonts w:hint="eastAsia"/>
      </w:rPr>
    </w:lvl>
    <w:lvl w:ilvl="7" w:tentative="0">
      <w:start w:val="1"/>
      <w:numFmt w:val="lowerLetter"/>
      <w:suff w:val="nothing"/>
      <w:lvlText w:val="%8）"/>
      <w:lvlJc w:val="left"/>
      <w:pPr>
        <w:tabs>
          <w:tab w:val="left" w:pos="0"/>
        </w:tabs>
        <w:ind w:left="0" w:firstLine="402"/>
      </w:pPr>
      <w:rPr>
        <w:rFonts w:hint="eastAsia"/>
      </w:rPr>
    </w:lvl>
    <w:lvl w:ilvl="8" w:tentative="0">
      <w:start w:val="1"/>
      <w:numFmt w:val="lowerRoman"/>
      <w:suff w:val="nothing"/>
      <w:lvlText w:val="%9. "/>
      <w:lvlJc w:val="left"/>
      <w:pPr>
        <w:tabs>
          <w:tab w:val="left" w:pos="0"/>
        </w:tabs>
        <w:ind w:left="0" w:firstLine="402"/>
      </w:pPr>
      <w:rPr>
        <w:rFonts w:hint="eastAsia"/>
      </w:rPr>
    </w:lvl>
  </w:abstractNum>
  <w:abstractNum w:abstractNumId="4">
    <w:nsid w:val="03992AA9"/>
    <w:multiLevelType w:val="multilevel"/>
    <w:tmpl w:val="03992AA9"/>
    <w:lvl w:ilvl="0" w:tentative="0">
      <w:start w:val="1"/>
      <w:numFmt w:val="bullet"/>
      <w:pStyle w:val="106"/>
      <w:lvlText w:val=""/>
      <w:lvlJc w:val="left"/>
      <w:pPr>
        <w:tabs>
          <w:tab w:val="left" w:pos="0"/>
        </w:tabs>
        <w:ind w:left="840" w:hanging="420"/>
      </w:pPr>
      <w:rPr>
        <w:rFonts w:hint="default" w:ascii="Wingdings" w:hAnsi="Wingdings"/>
      </w:rPr>
    </w:lvl>
    <w:lvl w:ilvl="1" w:tentative="0">
      <w:start w:val="1"/>
      <w:numFmt w:val="bullet"/>
      <w:lvlText w:val=""/>
      <w:lvlJc w:val="left"/>
      <w:pPr>
        <w:tabs>
          <w:tab w:val="left" w:pos="0"/>
        </w:tabs>
        <w:ind w:left="1260" w:hanging="420"/>
      </w:pPr>
      <w:rPr>
        <w:rFonts w:hint="default" w:ascii="Wingdings" w:hAnsi="Wingdings"/>
      </w:rPr>
    </w:lvl>
    <w:lvl w:ilvl="2" w:tentative="0">
      <w:start w:val="1"/>
      <w:numFmt w:val="bullet"/>
      <w:lvlText w:val=""/>
      <w:lvlJc w:val="left"/>
      <w:pPr>
        <w:tabs>
          <w:tab w:val="left" w:pos="0"/>
        </w:tabs>
        <w:ind w:left="1680" w:hanging="420"/>
      </w:pPr>
      <w:rPr>
        <w:rFonts w:hint="default" w:ascii="Wingdings" w:hAnsi="Wingdings"/>
      </w:rPr>
    </w:lvl>
    <w:lvl w:ilvl="3" w:tentative="0">
      <w:start w:val="1"/>
      <w:numFmt w:val="bullet"/>
      <w:lvlText w:val=""/>
      <w:lvlJc w:val="left"/>
      <w:pPr>
        <w:tabs>
          <w:tab w:val="left" w:pos="0"/>
        </w:tabs>
        <w:ind w:left="2100" w:hanging="420"/>
      </w:pPr>
      <w:rPr>
        <w:rFonts w:hint="default" w:ascii="Wingdings" w:hAnsi="Wingdings"/>
      </w:rPr>
    </w:lvl>
    <w:lvl w:ilvl="4" w:tentative="0">
      <w:start w:val="1"/>
      <w:numFmt w:val="bullet"/>
      <w:lvlText w:val=""/>
      <w:lvlJc w:val="left"/>
      <w:pPr>
        <w:tabs>
          <w:tab w:val="left" w:pos="0"/>
        </w:tabs>
        <w:ind w:left="2520" w:hanging="420"/>
      </w:pPr>
      <w:rPr>
        <w:rFonts w:hint="default" w:ascii="Wingdings" w:hAnsi="Wingdings"/>
      </w:rPr>
    </w:lvl>
    <w:lvl w:ilvl="5" w:tentative="0">
      <w:start w:val="1"/>
      <w:numFmt w:val="bullet"/>
      <w:lvlText w:val=""/>
      <w:lvlJc w:val="left"/>
      <w:pPr>
        <w:tabs>
          <w:tab w:val="left" w:pos="0"/>
        </w:tabs>
        <w:ind w:left="2940" w:hanging="420"/>
      </w:pPr>
      <w:rPr>
        <w:rFonts w:hint="default" w:ascii="Wingdings" w:hAnsi="Wingdings"/>
      </w:rPr>
    </w:lvl>
    <w:lvl w:ilvl="6" w:tentative="0">
      <w:start w:val="1"/>
      <w:numFmt w:val="bullet"/>
      <w:lvlText w:val=""/>
      <w:lvlJc w:val="left"/>
      <w:pPr>
        <w:tabs>
          <w:tab w:val="left" w:pos="0"/>
        </w:tabs>
        <w:ind w:left="3360" w:hanging="420"/>
      </w:pPr>
      <w:rPr>
        <w:rFonts w:hint="default" w:ascii="Wingdings" w:hAnsi="Wingdings"/>
      </w:rPr>
    </w:lvl>
    <w:lvl w:ilvl="7" w:tentative="0">
      <w:start w:val="1"/>
      <w:numFmt w:val="bullet"/>
      <w:lvlText w:val=""/>
      <w:lvlJc w:val="left"/>
      <w:pPr>
        <w:tabs>
          <w:tab w:val="left" w:pos="0"/>
        </w:tabs>
        <w:ind w:left="3780" w:hanging="420"/>
      </w:pPr>
      <w:rPr>
        <w:rFonts w:hint="default" w:ascii="Wingdings" w:hAnsi="Wingdings"/>
      </w:rPr>
    </w:lvl>
    <w:lvl w:ilvl="8" w:tentative="0">
      <w:start w:val="1"/>
      <w:numFmt w:val="bullet"/>
      <w:lvlText w:val=""/>
      <w:lvlJc w:val="left"/>
      <w:pPr>
        <w:tabs>
          <w:tab w:val="left" w:pos="0"/>
        </w:tabs>
        <w:ind w:left="4200" w:hanging="420"/>
      </w:pPr>
      <w:rPr>
        <w:rFonts w:hint="default" w:ascii="Wingdings" w:hAnsi="Wingdings"/>
      </w:rPr>
    </w:lvl>
  </w:abstractNum>
  <w:abstractNum w:abstractNumId="5">
    <w:nsid w:val="0F979441"/>
    <w:multiLevelType w:val="multilevel"/>
    <w:tmpl w:val="0F979441"/>
    <w:lvl w:ilvl="0" w:tentative="0">
      <w:start w:val="1"/>
      <w:numFmt w:val="chineseCounting"/>
      <w:suff w:val="nothing"/>
      <w:lvlText w:val="第%1章 "/>
      <w:lvlJc w:val="left"/>
      <w:pPr>
        <w:tabs>
          <w:tab w:val="left" w:pos="0"/>
        </w:tabs>
        <w:ind w:left="0" w:firstLine="402"/>
      </w:pPr>
      <w:rPr>
        <w:rFonts w:hint="eastAsia"/>
      </w:rPr>
    </w:lvl>
    <w:lvl w:ilvl="1" w:tentative="0">
      <w:start w:val="1"/>
      <w:numFmt w:val="chineseCounting"/>
      <w:pStyle w:val="4"/>
      <w:suff w:val="nothing"/>
      <w:lvlText w:val="%2、"/>
      <w:lvlJc w:val="left"/>
      <w:pPr>
        <w:tabs>
          <w:tab w:val="left" w:pos="0"/>
        </w:tabs>
        <w:ind w:left="0" w:firstLine="402"/>
      </w:pPr>
      <w:rPr>
        <w:rFonts w:hint="eastAsia"/>
      </w:rPr>
    </w:lvl>
    <w:lvl w:ilvl="2" w:tentative="0">
      <w:start w:val="1"/>
      <w:numFmt w:val="decimal"/>
      <w:suff w:val="nothing"/>
      <w:lvlText w:val="%3．"/>
      <w:lvlJc w:val="left"/>
      <w:pPr>
        <w:tabs>
          <w:tab w:val="left" w:pos="0"/>
        </w:tabs>
        <w:ind w:left="0" w:firstLine="402"/>
      </w:pPr>
      <w:rPr>
        <w:rFonts w:hint="eastAsia"/>
      </w:rPr>
    </w:lvl>
    <w:lvl w:ilvl="3" w:tentative="0">
      <w:start w:val="1"/>
      <w:numFmt w:val="decimal"/>
      <w:suff w:val="nothing"/>
      <w:lvlText w:val="（%4）"/>
      <w:lvlJc w:val="left"/>
      <w:pPr>
        <w:tabs>
          <w:tab w:val="left" w:pos="0"/>
        </w:tabs>
        <w:ind w:left="0" w:firstLine="402"/>
      </w:pPr>
      <w:rPr>
        <w:rFonts w:hint="eastAsia"/>
      </w:rPr>
    </w:lvl>
    <w:lvl w:ilvl="4" w:tentative="0">
      <w:start w:val="1"/>
      <w:numFmt w:val="decimalEnclosedCircleChinese"/>
      <w:suff w:val="nothing"/>
      <w:lvlText w:val="%5 "/>
      <w:lvlJc w:val="left"/>
      <w:pPr>
        <w:tabs>
          <w:tab w:val="left" w:pos="0"/>
        </w:tabs>
        <w:ind w:left="0" w:firstLine="402"/>
      </w:pPr>
      <w:rPr>
        <w:rFonts w:hint="eastAsia"/>
      </w:rPr>
    </w:lvl>
    <w:lvl w:ilvl="5" w:tentative="0">
      <w:start w:val="1"/>
      <w:numFmt w:val="decimal"/>
      <w:suff w:val="nothing"/>
      <w:lvlText w:val="%6）"/>
      <w:lvlJc w:val="left"/>
      <w:pPr>
        <w:tabs>
          <w:tab w:val="left" w:pos="0"/>
        </w:tabs>
        <w:ind w:left="0" w:firstLine="402"/>
      </w:pPr>
      <w:rPr>
        <w:rFonts w:hint="eastAsia"/>
      </w:rPr>
    </w:lvl>
    <w:lvl w:ilvl="6" w:tentative="0">
      <w:start w:val="1"/>
      <w:numFmt w:val="lowerLetter"/>
      <w:suff w:val="nothing"/>
      <w:lvlText w:val="%7．"/>
      <w:lvlJc w:val="left"/>
      <w:pPr>
        <w:tabs>
          <w:tab w:val="left" w:pos="0"/>
        </w:tabs>
        <w:ind w:left="0" w:firstLine="402"/>
      </w:pPr>
      <w:rPr>
        <w:rFonts w:hint="eastAsia"/>
      </w:rPr>
    </w:lvl>
    <w:lvl w:ilvl="7" w:tentative="0">
      <w:start w:val="1"/>
      <w:numFmt w:val="lowerLetter"/>
      <w:suff w:val="nothing"/>
      <w:lvlText w:val="%8）"/>
      <w:lvlJc w:val="left"/>
      <w:pPr>
        <w:tabs>
          <w:tab w:val="left" w:pos="0"/>
        </w:tabs>
        <w:ind w:left="0" w:firstLine="402"/>
      </w:pPr>
      <w:rPr>
        <w:rFonts w:hint="eastAsia"/>
      </w:rPr>
    </w:lvl>
    <w:lvl w:ilvl="8" w:tentative="0">
      <w:start w:val="1"/>
      <w:numFmt w:val="lowerRoman"/>
      <w:suff w:val="nothing"/>
      <w:lvlText w:val="%9. "/>
      <w:lvlJc w:val="left"/>
      <w:pPr>
        <w:tabs>
          <w:tab w:val="left" w:pos="0"/>
        </w:tabs>
        <w:ind w:left="0" w:firstLine="402"/>
      </w:pPr>
      <w:rPr>
        <w:rFonts w:hint="eastAsia"/>
      </w:rPr>
    </w:lvl>
  </w:abstractNum>
  <w:abstractNum w:abstractNumId="6">
    <w:nsid w:val="328F66A4"/>
    <w:multiLevelType w:val="singleLevel"/>
    <w:tmpl w:val="328F66A4"/>
    <w:lvl w:ilvl="0" w:tentative="0">
      <w:start w:val="1"/>
      <w:numFmt w:val="chineseCounting"/>
      <w:suff w:val="nothing"/>
      <w:lvlText w:val="%1、"/>
      <w:lvlJc w:val="left"/>
      <w:rPr>
        <w:rFonts w:hint="eastAsia"/>
      </w:rPr>
    </w:lvl>
  </w:abstractNum>
  <w:abstractNum w:abstractNumId="7">
    <w:nsid w:val="3B94741F"/>
    <w:multiLevelType w:val="singleLevel"/>
    <w:tmpl w:val="3B94741F"/>
    <w:lvl w:ilvl="0" w:tentative="0">
      <w:start w:val="1"/>
      <w:numFmt w:val="decimal"/>
      <w:suff w:val="nothing"/>
      <w:lvlText w:val="%1、"/>
      <w:lvlJc w:val="left"/>
      <w:pPr>
        <w:tabs>
          <w:tab w:val="left" w:pos="0"/>
        </w:tabs>
        <w:ind w:left="0" w:firstLine="0"/>
      </w:pPr>
    </w:lvl>
  </w:abstractNum>
  <w:abstractNum w:abstractNumId="8">
    <w:nsid w:val="3CF50408"/>
    <w:multiLevelType w:val="multilevel"/>
    <w:tmpl w:val="3CF50408"/>
    <w:lvl w:ilvl="0" w:tentative="0">
      <w:start w:val="1"/>
      <w:numFmt w:val="decimal"/>
      <w:lvlText w:val="%1."/>
      <w:lvlJc w:val="left"/>
      <w:pPr>
        <w:tabs>
          <w:tab w:val="left" w:pos="0"/>
        </w:tabs>
        <w:ind w:left="432" w:hanging="432"/>
      </w:pPr>
      <w:rPr>
        <w:rFonts w:hint="default"/>
      </w:rPr>
    </w:lvl>
    <w:lvl w:ilvl="1" w:tentative="0">
      <w:start w:val="1"/>
      <w:numFmt w:val="decimal"/>
      <w:lvlText w:val="%1.%2."/>
      <w:lvlJc w:val="left"/>
      <w:pPr>
        <w:tabs>
          <w:tab w:val="left" w:pos="0"/>
        </w:tabs>
        <w:ind w:left="575" w:hanging="575"/>
      </w:pPr>
      <w:rPr>
        <w:rFonts w:hint="default"/>
      </w:rPr>
    </w:lvl>
    <w:lvl w:ilvl="2" w:tentative="0">
      <w:start w:val="1"/>
      <w:numFmt w:val="decimal"/>
      <w:pStyle w:val="5"/>
      <w:lvlText w:val="%1.%2.%3."/>
      <w:lvlJc w:val="left"/>
      <w:pPr>
        <w:tabs>
          <w:tab w:val="left" w:pos="0"/>
        </w:tabs>
        <w:ind w:left="720" w:hanging="720"/>
      </w:pPr>
      <w:rPr>
        <w:rFonts w:hint="default"/>
      </w:rPr>
    </w:lvl>
    <w:lvl w:ilvl="3" w:tentative="0">
      <w:start w:val="1"/>
      <w:numFmt w:val="decimal"/>
      <w:pStyle w:val="6"/>
      <w:lvlText w:val="%1.%2.%3.%4."/>
      <w:lvlJc w:val="left"/>
      <w:pPr>
        <w:tabs>
          <w:tab w:val="left" w:pos="0"/>
        </w:tabs>
        <w:ind w:left="864" w:hanging="864"/>
      </w:pPr>
      <w:rPr>
        <w:rFonts w:hint="default"/>
      </w:rPr>
    </w:lvl>
    <w:lvl w:ilvl="4" w:tentative="0">
      <w:start w:val="1"/>
      <w:numFmt w:val="decimal"/>
      <w:pStyle w:val="7"/>
      <w:lvlText w:val="%1.%2.%3.%4.%5."/>
      <w:lvlJc w:val="left"/>
      <w:pPr>
        <w:tabs>
          <w:tab w:val="left" w:pos="0"/>
        </w:tabs>
        <w:ind w:left="1008" w:hanging="1008"/>
      </w:pPr>
      <w:rPr>
        <w:rFonts w:hint="default"/>
      </w:rPr>
    </w:lvl>
    <w:lvl w:ilvl="5" w:tentative="0">
      <w:start w:val="1"/>
      <w:numFmt w:val="decimal"/>
      <w:pStyle w:val="8"/>
      <w:lvlText w:val="%1.%2.%3.%4.%5.%6."/>
      <w:lvlJc w:val="left"/>
      <w:pPr>
        <w:tabs>
          <w:tab w:val="left" w:pos="0"/>
        </w:tabs>
        <w:ind w:left="1151" w:hanging="1151"/>
      </w:pPr>
      <w:rPr>
        <w:rFonts w:hint="default"/>
      </w:rPr>
    </w:lvl>
    <w:lvl w:ilvl="6" w:tentative="0">
      <w:start w:val="1"/>
      <w:numFmt w:val="decimal"/>
      <w:pStyle w:val="9"/>
      <w:lvlText w:val="%1.%2.%3.%4.%5.%6.%7."/>
      <w:lvlJc w:val="left"/>
      <w:pPr>
        <w:tabs>
          <w:tab w:val="left" w:pos="0"/>
        </w:tabs>
        <w:ind w:left="1296" w:hanging="1296"/>
      </w:pPr>
      <w:rPr>
        <w:rFonts w:hint="default"/>
      </w:rPr>
    </w:lvl>
    <w:lvl w:ilvl="7" w:tentative="0">
      <w:start w:val="1"/>
      <w:numFmt w:val="decimal"/>
      <w:pStyle w:val="10"/>
      <w:lvlText w:val="%1.%2.%3.%4.%5.%6.%7.%8."/>
      <w:lvlJc w:val="left"/>
      <w:pPr>
        <w:tabs>
          <w:tab w:val="left" w:pos="0"/>
        </w:tabs>
        <w:ind w:left="1440" w:hanging="1440"/>
      </w:pPr>
      <w:rPr>
        <w:rFonts w:hint="default"/>
      </w:rPr>
    </w:lvl>
    <w:lvl w:ilvl="8" w:tentative="0">
      <w:start w:val="1"/>
      <w:numFmt w:val="decimal"/>
      <w:pStyle w:val="11"/>
      <w:lvlText w:val="%1.%2.%3.%4.%5.%6.%7.%8.%9."/>
      <w:lvlJc w:val="left"/>
      <w:pPr>
        <w:tabs>
          <w:tab w:val="left" w:pos="0"/>
        </w:tabs>
        <w:ind w:left="1583" w:hanging="1583"/>
      </w:pPr>
      <w:rPr>
        <w:rFonts w:hint="default"/>
      </w:rPr>
    </w:lvl>
  </w:abstractNum>
  <w:num w:numId="1">
    <w:abstractNumId w:val="3"/>
  </w:num>
  <w:num w:numId="2">
    <w:abstractNumId w:val="5"/>
  </w:num>
  <w:num w:numId="3">
    <w:abstractNumId w:val="8"/>
  </w:num>
  <w:num w:numId="4">
    <w:abstractNumId w:val="4"/>
  </w:num>
  <w:num w:numId="5">
    <w:abstractNumId w:val="0"/>
  </w:num>
  <w:num w:numId="6">
    <w:abstractNumId w:val="2"/>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oZGlkIjoiY2RkMDQ1NzRlYjkyNzI1MDFlMWZkOTdjNWZlNTc2N2MifQ=="/>
  </w:docVars>
  <w:rsids>
    <w:rsidRoot w:val="00000000"/>
    <w:rsid w:val="00181149"/>
    <w:rsid w:val="001A4716"/>
    <w:rsid w:val="002E3746"/>
    <w:rsid w:val="003577A2"/>
    <w:rsid w:val="00554EF5"/>
    <w:rsid w:val="0055574E"/>
    <w:rsid w:val="00665BAD"/>
    <w:rsid w:val="00730FDE"/>
    <w:rsid w:val="00885B23"/>
    <w:rsid w:val="008D313A"/>
    <w:rsid w:val="0099734C"/>
    <w:rsid w:val="00A83AD0"/>
    <w:rsid w:val="00EB60B2"/>
    <w:rsid w:val="010B405F"/>
    <w:rsid w:val="013206CC"/>
    <w:rsid w:val="01565C22"/>
    <w:rsid w:val="01944054"/>
    <w:rsid w:val="019838F5"/>
    <w:rsid w:val="01993D60"/>
    <w:rsid w:val="01BF5575"/>
    <w:rsid w:val="01C0309B"/>
    <w:rsid w:val="01CE57B8"/>
    <w:rsid w:val="01E943A0"/>
    <w:rsid w:val="02054F52"/>
    <w:rsid w:val="020E094A"/>
    <w:rsid w:val="02377801"/>
    <w:rsid w:val="024261A6"/>
    <w:rsid w:val="02581525"/>
    <w:rsid w:val="026659F0"/>
    <w:rsid w:val="026954E1"/>
    <w:rsid w:val="027520D7"/>
    <w:rsid w:val="02866093"/>
    <w:rsid w:val="028F0155"/>
    <w:rsid w:val="0295277A"/>
    <w:rsid w:val="02A3576A"/>
    <w:rsid w:val="02B524D4"/>
    <w:rsid w:val="02C60B85"/>
    <w:rsid w:val="02DB54C0"/>
    <w:rsid w:val="02E33125"/>
    <w:rsid w:val="02E37041"/>
    <w:rsid w:val="02ED4364"/>
    <w:rsid w:val="03165668"/>
    <w:rsid w:val="032161D9"/>
    <w:rsid w:val="03304250"/>
    <w:rsid w:val="033C0E47"/>
    <w:rsid w:val="03535B3A"/>
    <w:rsid w:val="035A307B"/>
    <w:rsid w:val="035B0555"/>
    <w:rsid w:val="036C52BA"/>
    <w:rsid w:val="036F2FCB"/>
    <w:rsid w:val="037B196F"/>
    <w:rsid w:val="03824AAC"/>
    <w:rsid w:val="03887BE8"/>
    <w:rsid w:val="038F541B"/>
    <w:rsid w:val="03923AF1"/>
    <w:rsid w:val="03924BD6"/>
    <w:rsid w:val="03A34A22"/>
    <w:rsid w:val="03B52CAB"/>
    <w:rsid w:val="03C2134C"/>
    <w:rsid w:val="03D270B5"/>
    <w:rsid w:val="03D41080"/>
    <w:rsid w:val="03D96696"/>
    <w:rsid w:val="03E77005"/>
    <w:rsid w:val="041871BE"/>
    <w:rsid w:val="041B2008"/>
    <w:rsid w:val="042E253E"/>
    <w:rsid w:val="0433224A"/>
    <w:rsid w:val="043A35D9"/>
    <w:rsid w:val="044004C3"/>
    <w:rsid w:val="04441D61"/>
    <w:rsid w:val="044C1627"/>
    <w:rsid w:val="044E2BE0"/>
    <w:rsid w:val="045E7AF3"/>
    <w:rsid w:val="046046C1"/>
    <w:rsid w:val="047343F5"/>
    <w:rsid w:val="047E0019"/>
    <w:rsid w:val="048605CC"/>
    <w:rsid w:val="04A15406"/>
    <w:rsid w:val="04A24CDA"/>
    <w:rsid w:val="04AE7B23"/>
    <w:rsid w:val="04C07C25"/>
    <w:rsid w:val="04C42EA2"/>
    <w:rsid w:val="04D05CEB"/>
    <w:rsid w:val="04E470A0"/>
    <w:rsid w:val="05023C83"/>
    <w:rsid w:val="05045994"/>
    <w:rsid w:val="050866C7"/>
    <w:rsid w:val="050D2A9B"/>
    <w:rsid w:val="05143E2A"/>
    <w:rsid w:val="05162819"/>
    <w:rsid w:val="051E6A56"/>
    <w:rsid w:val="053242B0"/>
    <w:rsid w:val="05485881"/>
    <w:rsid w:val="0560706F"/>
    <w:rsid w:val="05615ED2"/>
    <w:rsid w:val="056703FD"/>
    <w:rsid w:val="05760640"/>
    <w:rsid w:val="05A0746B"/>
    <w:rsid w:val="05F872A7"/>
    <w:rsid w:val="060043AE"/>
    <w:rsid w:val="06020126"/>
    <w:rsid w:val="062F6A41"/>
    <w:rsid w:val="063D4CBA"/>
    <w:rsid w:val="066E7569"/>
    <w:rsid w:val="06896EF2"/>
    <w:rsid w:val="068F128E"/>
    <w:rsid w:val="06982838"/>
    <w:rsid w:val="069D7E4F"/>
    <w:rsid w:val="06B07B82"/>
    <w:rsid w:val="06B156A8"/>
    <w:rsid w:val="06DF3FC3"/>
    <w:rsid w:val="06E21639"/>
    <w:rsid w:val="06E7254B"/>
    <w:rsid w:val="06F23CF7"/>
    <w:rsid w:val="06F53C79"/>
    <w:rsid w:val="0701218C"/>
    <w:rsid w:val="070B4DB8"/>
    <w:rsid w:val="071E5DD5"/>
    <w:rsid w:val="07320597"/>
    <w:rsid w:val="073211C9"/>
    <w:rsid w:val="073B10E6"/>
    <w:rsid w:val="07571DAC"/>
    <w:rsid w:val="0768220B"/>
    <w:rsid w:val="07754928"/>
    <w:rsid w:val="07936671"/>
    <w:rsid w:val="079528D4"/>
    <w:rsid w:val="079B25E0"/>
    <w:rsid w:val="07A0544C"/>
    <w:rsid w:val="07AF3996"/>
    <w:rsid w:val="07B2792A"/>
    <w:rsid w:val="07B45450"/>
    <w:rsid w:val="07B524D0"/>
    <w:rsid w:val="07B70A9C"/>
    <w:rsid w:val="07C32889"/>
    <w:rsid w:val="07D4164E"/>
    <w:rsid w:val="07DC0503"/>
    <w:rsid w:val="07E3599F"/>
    <w:rsid w:val="07E76EF1"/>
    <w:rsid w:val="07F2105E"/>
    <w:rsid w:val="07F25F78"/>
    <w:rsid w:val="08193505"/>
    <w:rsid w:val="08370704"/>
    <w:rsid w:val="083C7B04"/>
    <w:rsid w:val="084D5DDE"/>
    <w:rsid w:val="085E716A"/>
    <w:rsid w:val="086E3851"/>
    <w:rsid w:val="08744BDF"/>
    <w:rsid w:val="08762705"/>
    <w:rsid w:val="08872B64"/>
    <w:rsid w:val="08A54D99"/>
    <w:rsid w:val="08B1198F"/>
    <w:rsid w:val="08C9611E"/>
    <w:rsid w:val="08DE6637"/>
    <w:rsid w:val="08F57ACE"/>
    <w:rsid w:val="091268D2"/>
    <w:rsid w:val="0923288D"/>
    <w:rsid w:val="09267C87"/>
    <w:rsid w:val="09354E08"/>
    <w:rsid w:val="09645F3F"/>
    <w:rsid w:val="09687854"/>
    <w:rsid w:val="09864BCA"/>
    <w:rsid w:val="09BF7EBE"/>
    <w:rsid w:val="09D27E0F"/>
    <w:rsid w:val="09DC0C8E"/>
    <w:rsid w:val="09E04B47"/>
    <w:rsid w:val="09E74593"/>
    <w:rsid w:val="09EB2C7F"/>
    <w:rsid w:val="0A314B36"/>
    <w:rsid w:val="0A382368"/>
    <w:rsid w:val="0A8458FD"/>
    <w:rsid w:val="0A8B0C6D"/>
    <w:rsid w:val="0A8F3F52"/>
    <w:rsid w:val="0AB614DF"/>
    <w:rsid w:val="0AD6392F"/>
    <w:rsid w:val="0AE20526"/>
    <w:rsid w:val="0AFB1D94"/>
    <w:rsid w:val="0AFB5144"/>
    <w:rsid w:val="0B0E4E77"/>
    <w:rsid w:val="0B25494B"/>
    <w:rsid w:val="0B2B5845"/>
    <w:rsid w:val="0B2E01D0"/>
    <w:rsid w:val="0B310B66"/>
    <w:rsid w:val="0B56325A"/>
    <w:rsid w:val="0B5733AB"/>
    <w:rsid w:val="0B8909A2"/>
    <w:rsid w:val="0B9556A5"/>
    <w:rsid w:val="0BC303AF"/>
    <w:rsid w:val="0BC639A4"/>
    <w:rsid w:val="0BDB744F"/>
    <w:rsid w:val="0BDE6F3F"/>
    <w:rsid w:val="0BE23551"/>
    <w:rsid w:val="0BEA7692"/>
    <w:rsid w:val="0BFA364D"/>
    <w:rsid w:val="0C0A3890"/>
    <w:rsid w:val="0C393B45"/>
    <w:rsid w:val="0C3A2EC8"/>
    <w:rsid w:val="0C7D5F83"/>
    <w:rsid w:val="0C923886"/>
    <w:rsid w:val="0CA77331"/>
    <w:rsid w:val="0CB63A18"/>
    <w:rsid w:val="0CDB522D"/>
    <w:rsid w:val="0CE71E24"/>
    <w:rsid w:val="0CF1750F"/>
    <w:rsid w:val="0CF84031"/>
    <w:rsid w:val="0CFD1647"/>
    <w:rsid w:val="0CFD51A3"/>
    <w:rsid w:val="0CFF716D"/>
    <w:rsid w:val="0D131F6C"/>
    <w:rsid w:val="0D444B80"/>
    <w:rsid w:val="0D49663A"/>
    <w:rsid w:val="0D4B23B2"/>
    <w:rsid w:val="0D4B3CD1"/>
    <w:rsid w:val="0D523741"/>
    <w:rsid w:val="0D533015"/>
    <w:rsid w:val="0D5D0E44"/>
    <w:rsid w:val="0D645222"/>
    <w:rsid w:val="0D7F205C"/>
    <w:rsid w:val="0D814026"/>
    <w:rsid w:val="0D906017"/>
    <w:rsid w:val="0D9765FA"/>
    <w:rsid w:val="0D98311E"/>
    <w:rsid w:val="0D984ECC"/>
    <w:rsid w:val="0DA33F9D"/>
    <w:rsid w:val="0DB22432"/>
    <w:rsid w:val="0DB735A4"/>
    <w:rsid w:val="0DDD1B71"/>
    <w:rsid w:val="0E010CC3"/>
    <w:rsid w:val="0E1924B1"/>
    <w:rsid w:val="0E3A4EE9"/>
    <w:rsid w:val="0E483689"/>
    <w:rsid w:val="0E650A67"/>
    <w:rsid w:val="0E6B25E0"/>
    <w:rsid w:val="0E9953A0"/>
    <w:rsid w:val="0E9D4E90"/>
    <w:rsid w:val="0EA0228A"/>
    <w:rsid w:val="0EB2020F"/>
    <w:rsid w:val="0EB45D35"/>
    <w:rsid w:val="0EB60EDD"/>
    <w:rsid w:val="0EC20452"/>
    <w:rsid w:val="0EC87A33"/>
    <w:rsid w:val="0EDB32C2"/>
    <w:rsid w:val="0EF4625B"/>
    <w:rsid w:val="0EF54480"/>
    <w:rsid w:val="0F080657"/>
    <w:rsid w:val="0F144A26"/>
    <w:rsid w:val="0F18154E"/>
    <w:rsid w:val="0F1913F0"/>
    <w:rsid w:val="0F220EF1"/>
    <w:rsid w:val="0F366D4F"/>
    <w:rsid w:val="0F4E618A"/>
    <w:rsid w:val="0F5045ED"/>
    <w:rsid w:val="0F59068B"/>
    <w:rsid w:val="0F5F2145"/>
    <w:rsid w:val="0F625791"/>
    <w:rsid w:val="0F721E6B"/>
    <w:rsid w:val="0F81030D"/>
    <w:rsid w:val="0F865924"/>
    <w:rsid w:val="0FB32491"/>
    <w:rsid w:val="0FB73D2F"/>
    <w:rsid w:val="0FC1695C"/>
    <w:rsid w:val="0FD06B9F"/>
    <w:rsid w:val="0FE443F8"/>
    <w:rsid w:val="0FF16C11"/>
    <w:rsid w:val="10014FAA"/>
    <w:rsid w:val="10274C2E"/>
    <w:rsid w:val="103C4234"/>
    <w:rsid w:val="103E61FE"/>
    <w:rsid w:val="103F3D25"/>
    <w:rsid w:val="104906FF"/>
    <w:rsid w:val="104A11DC"/>
    <w:rsid w:val="10AF4A06"/>
    <w:rsid w:val="10D41233"/>
    <w:rsid w:val="10EF5495"/>
    <w:rsid w:val="110765F0"/>
    <w:rsid w:val="111927C8"/>
    <w:rsid w:val="112154CE"/>
    <w:rsid w:val="113A4C18"/>
    <w:rsid w:val="115D4462"/>
    <w:rsid w:val="11676D9C"/>
    <w:rsid w:val="11763776"/>
    <w:rsid w:val="117A3266"/>
    <w:rsid w:val="1182211B"/>
    <w:rsid w:val="11A326FA"/>
    <w:rsid w:val="11A55E09"/>
    <w:rsid w:val="11BA5F58"/>
    <w:rsid w:val="11DE2F5E"/>
    <w:rsid w:val="1245053B"/>
    <w:rsid w:val="12493D5A"/>
    <w:rsid w:val="12520120"/>
    <w:rsid w:val="12575356"/>
    <w:rsid w:val="12577104"/>
    <w:rsid w:val="12584489"/>
    <w:rsid w:val="12791770"/>
    <w:rsid w:val="12856C39"/>
    <w:rsid w:val="129245E0"/>
    <w:rsid w:val="12A6008B"/>
    <w:rsid w:val="12B24C82"/>
    <w:rsid w:val="12F901BB"/>
    <w:rsid w:val="12FB3F33"/>
    <w:rsid w:val="130767C4"/>
    <w:rsid w:val="13106DBD"/>
    <w:rsid w:val="133E6515"/>
    <w:rsid w:val="13531FC1"/>
    <w:rsid w:val="13581385"/>
    <w:rsid w:val="135950FD"/>
    <w:rsid w:val="13653AA2"/>
    <w:rsid w:val="139C352F"/>
    <w:rsid w:val="13B3480E"/>
    <w:rsid w:val="13C62793"/>
    <w:rsid w:val="13EB21F9"/>
    <w:rsid w:val="13EE5846"/>
    <w:rsid w:val="140B464A"/>
    <w:rsid w:val="14131750"/>
    <w:rsid w:val="14186D67"/>
    <w:rsid w:val="141A3C20"/>
    <w:rsid w:val="144135AB"/>
    <w:rsid w:val="145F6743"/>
    <w:rsid w:val="145F7336"/>
    <w:rsid w:val="148A7C64"/>
    <w:rsid w:val="148F527B"/>
    <w:rsid w:val="14A54A84"/>
    <w:rsid w:val="14AA3E63"/>
    <w:rsid w:val="14B364C3"/>
    <w:rsid w:val="14BE2AD6"/>
    <w:rsid w:val="14D27219"/>
    <w:rsid w:val="14EB6229"/>
    <w:rsid w:val="14F926F4"/>
    <w:rsid w:val="152754B3"/>
    <w:rsid w:val="1528329E"/>
    <w:rsid w:val="152A4FA3"/>
    <w:rsid w:val="15417707"/>
    <w:rsid w:val="158C5316"/>
    <w:rsid w:val="159358B8"/>
    <w:rsid w:val="159E3260"/>
    <w:rsid w:val="15CA5E3E"/>
    <w:rsid w:val="16070E41"/>
    <w:rsid w:val="16104199"/>
    <w:rsid w:val="161A6DC6"/>
    <w:rsid w:val="163634D4"/>
    <w:rsid w:val="16491459"/>
    <w:rsid w:val="164D5520"/>
    <w:rsid w:val="1651030E"/>
    <w:rsid w:val="16551BAC"/>
    <w:rsid w:val="165D6CB3"/>
    <w:rsid w:val="166B7621"/>
    <w:rsid w:val="166E0EC0"/>
    <w:rsid w:val="16753FFC"/>
    <w:rsid w:val="16866E92"/>
    <w:rsid w:val="16A070E1"/>
    <w:rsid w:val="16FB6BF7"/>
    <w:rsid w:val="1706559C"/>
    <w:rsid w:val="171B34AD"/>
    <w:rsid w:val="1720040C"/>
    <w:rsid w:val="17306175"/>
    <w:rsid w:val="17396CFA"/>
    <w:rsid w:val="173B2F36"/>
    <w:rsid w:val="175372AA"/>
    <w:rsid w:val="175A398A"/>
    <w:rsid w:val="175E2E86"/>
    <w:rsid w:val="176D0D38"/>
    <w:rsid w:val="179F33BE"/>
    <w:rsid w:val="17BB1EE3"/>
    <w:rsid w:val="17BD20FF"/>
    <w:rsid w:val="17D42FA4"/>
    <w:rsid w:val="17E05DED"/>
    <w:rsid w:val="17F81389"/>
    <w:rsid w:val="18363C5F"/>
    <w:rsid w:val="18383533"/>
    <w:rsid w:val="187272F1"/>
    <w:rsid w:val="187327BD"/>
    <w:rsid w:val="187F5606"/>
    <w:rsid w:val="189638C3"/>
    <w:rsid w:val="18AB63FB"/>
    <w:rsid w:val="18B74406"/>
    <w:rsid w:val="18CB25F9"/>
    <w:rsid w:val="18DA6CE0"/>
    <w:rsid w:val="18E66D77"/>
    <w:rsid w:val="18FA3AAC"/>
    <w:rsid w:val="18FC6C57"/>
    <w:rsid w:val="190242AE"/>
    <w:rsid w:val="19050A6D"/>
    <w:rsid w:val="19286073"/>
    <w:rsid w:val="192D0BBE"/>
    <w:rsid w:val="19371A3D"/>
    <w:rsid w:val="193C52A5"/>
    <w:rsid w:val="19541C10"/>
    <w:rsid w:val="19584082"/>
    <w:rsid w:val="195E346D"/>
    <w:rsid w:val="197902A7"/>
    <w:rsid w:val="198253AE"/>
    <w:rsid w:val="199D2A18"/>
    <w:rsid w:val="19A83F84"/>
    <w:rsid w:val="19AC242B"/>
    <w:rsid w:val="19B86668"/>
    <w:rsid w:val="19CE23A1"/>
    <w:rsid w:val="19D96F98"/>
    <w:rsid w:val="19E36B3C"/>
    <w:rsid w:val="19F122BA"/>
    <w:rsid w:val="19F93196"/>
    <w:rsid w:val="1A0E6C42"/>
    <w:rsid w:val="1A295829"/>
    <w:rsid w:val="1A312930"/>
    <w:rsid w:val="1A4762E8"/>
    <w:rsid w:val="1A5D1977"/>
    <w:rsid w:val="1A6525DA"/>
    <w:rsid w:val="1A824F3A"/>
    <w:rsid w:val="1A8567D8"/>
    <w:rsid w:val="1A903AFB"/>
    <w:rsid w:val="1AA9696A"/>
    <w:rsid w:val="1AB53561"/>
    <w:rsid w:val="1AD339E7"/>
    <w:rsid w:val="1AE23C2A"/>
    <w:rsid w:val="1AEF5A10"/>
    <w:rsid w:val="1B00513A"/>
    <w:rsid w:val="1B006806"/>
    <w:rsid w:val="1B3721C8"/>
    <w:rsid w:val="1B3C333B"/>
    <w:rsid w:val="1B48128F"/>
    <w:rsid w:val="1B5C1C2F"/>
    <w:rsid w:val="1B66485B"/>
    <w:rsid w:val="1B890B51"/>
    <w:rsid w:val="1BA23620"/>
    <w:rsid w:val="1BA26DBE"/>
    <w:rsid w:val="1BA564FE"/>
    <w:rsid w:val="1BAC575C"/>
    <w:rsid w:val="1BD17F27"/>
    <w:rsid w:val="1BD277A1"/>
    <w:rsid w:val="1BD94E2F"/>
    <w:rsid w:val="1BEA2D97"/>
    <w:rsid w:val="1C0F4065"/>
    <w:rsid w:val="1C0F4EF3"/>
    <w:rsid w:val="1C1C4F1A"/>
    <w:rsid w:val="1C1D2CF2"/>
    <w:rsid w:val="1C211E8B"/>
    <w:rsid w:val="1C2C0EED"/>
    <w:rsid w:val="1C4032FE"/>
    <w:rsid w:val="1C5F1071"/>
    <w:rsid w:val="1C623275"/>
    <w:rsid w:val="1C715266"/>
    <w:rsid w:val="1C781BA2"/>
    <w:rsid w:val="1C7A236C"/>
    <w:rsid w:val="1C9D50E0"/>
    <w:rsid w:val="1CA67605"/>
    <w:rsid w:val="1CAE2016"/>
    <w:rsid w:val="1CBF4223"/>
    <w:rsid w:val="1CCC06EE"/>
    <w:rsid w:val="1CD51C99"/>
    <w:rsid w:val="1D176B88"/>
    <w:rsid w:val="1D24677C"/>
    <w:rsid w:val="1D3E15EC"/>
    <w:rsid w:val="1D4F79D3"/>
    <w:rsid w:val="1D644DCB"/>
    <w:rsid w:val="1D6A0633"/>
    <w:rsid w:val="1D835251"/>
    <w:rsid w:val="1D903E12"/>
    <w:rsid w:val="1DA67191"/>
    <w:rsid w:val="1DA85E9D"/>
    <w:rsid w:val="1DBC4C07"/>
    <w:rsid w:val="1DD43CFE"/>
    <w:rsid w:val="1DE173E2"/>
    <w:rsid w:val="1DE6190B"/>
    <w:rsid w:val="1E14059F"/>
    <w:rsid w:val="1E1E4F79"/>
    <w:rsid w:val="1E2153AA"/>
    <w:rsid w:val="1E3E73CA"/>
    <w:rsid w:val="1E403142"/>
    <w:rsid w:val="1E4E5203"/>
    <w:rsid w:val="1E58492F"/>
    <w:rsid w:val="1E5D0198"/>
    <w:rsid w:val="1EA062D6"/>
    <w:rsid w:val="1EA23DFC"/>
    <w:rsid w:val="1EAB0F03"/>
    <w:rsid w:val="1EBB1BB4"/>
    <w:rsid w:val="1EC21DA9"/>
    <w:rsid w:val="1ECC0E79"/>
    <w:rsid w:val="1ED3045A"/>
    <w:rsid w:val="1ED369E2"/>
    <w:rsid w:val="1EEC5078"/>
    <w:rsid w:val="1EEE7042"/>
    <w:rsid w:val="1F10520A"/>
    <w:rsid w:val="1F2230EE"/>
    <w:rsid w:val="1F26058A"/>
    <w:rsid w:val="1F262338"/>
    <w:rsid w:val="1F2C661D"/>
    <w:rsid w:val="1F354C71"/>
    <w:rsid w:val="1F37270B"/>
    <w:rsid w:val="1F3A2109"/>
    <w:rsid w:val="1F3D6BD9"/>
    <w:rsid w:val="1F525822"/>
    <w:rsid w:val="1F5A0233"/>
    <w:rsid w:val="1F6B41EE"/>
    <w:rsid w:val="1F7342BE"/>
    <w:rsid w:val="1F7E6617"/>
    <w:rsid w:val="1F9279CD"/>
    <w:rsid w:val="1FAD2A59"/>
    <w:rsid w:val="1FB43DE7"/>
    <w:rsid w:val="1FC3227C"/>
    <w:rsid w:val="1FD75D28"/>
    <w:rsid w:val="1FF30A26"/>
    <w:rsid w:val="1FF6754B"/>
    <w:rsid w:val="20142AD8"/>
    <w:rsid w:val="2020147D"/>
    <w:rsid w:val="20340A84"/>
    <w:rsid w:val="203E5DA7"/>
    <w:rsid w:val="205904EB"/>
    <w:rsid w:val="206F7D0E"/>
    <w:rsid w:val="208F42E0"/>
    <w:rsid w:val="209F6845"/>
    <w:rsid w:val="20C52024"/>
    <w:rsid w:val="20DE353F"/>
    <w:rsid w:val="20EE3C07"/>
    <w:rsid w:val="20F546B7"/>
    <w:rsid w:val="20F92D39"/>
    <w:rsid w:val="210448FA"/>
    <w:rsid w:val="211663DC"/>
    <w:rsid w:val="21425423"/>
    <w:rsid w:val="21470C8B"/>
    <w:rsid w:val="21494A03"/>
    <w:rsid w:val="216D6944"/>
    <w:rsid w:val="21752A73"/>
    <w:rsid w:val="21A67760"/>
    <w:rsid w:val="21B52099"/>
    <w:rsid w:val="21B856E5"/>
    <w:rsid w:val="21C33296"/>
    <w:rsid w:val="21C978F2"/>
    <w:rsid w:val="21D44DC9"/>
    <w:rsid w:val="21F87E8C"/>
    <w:rsid w:val="22145011"/>
    <w:rsid w:val="2217065D"/>
    <w:rsid w:val="22185FA8"/>
    <w:rsid w:val="2228286B"/>
    <w:rsid w:val="222B4109"/>
    <w:rsid w:val="22356D36"/>
    <w:rsid w:val="22421B7E"/>
    <w:rsid w:val="22596EC8"/>
    <w:rsid w:val="227635D6"/>
    <w:rsid w:val="22821F7B"/>
    <w:rsid w:val="22853819"/>
    <w:rsid w:val="22A75E85"/>
    <w:rsid w:val="22B943FC"/>
    <w:rsid w:val="22BC4355"/>
    <w:rsid w:val="22BE6D2B"/>
    <w:rsid w:val="22C834C1"/>
    <w:rsid w:val="22DC10C3"/>
    <w:rsid w:val="22EF2030"/>
    <w:rsid w:val="22EF3388"/>
    <w:rsid w:val="230A1F70"/>
    <w:rsid w:val="2311569C"/>
    <w:rsid w:val="234F5BD5"/>
    <w:rsid w:val="237815D0"/>
    <w:rsid w:val="2378512C"/>
    <w:rsid w:val="23826A28"/>
    <w:rsid w:val="23871813"/>
    <w:rsid w:val="23977CA8"/>
    <w:rsid w:val="23E34C9B"/>
    <w:rsid w:val="23FE1AD5"/>
    <w:rsid w:val="24137A94"/>
    <w:rsid w:val="24217571"/>
    <w:rsid w:val="242B6642"/>
    <w:rsid w:val="245816A6"/>
    <w:rsid w:val="24653902"/>
    <w:rsid w:val="247022A7"/>
    <w:rsid w:val="247C0C4C"/>
    <w:rsid w:val="247E6364"/>
    <w:rsid w:val="24967F5F"/>
    <w:rsid w:val="2497077F"/>
    <w:rsid w:val="249D12EE"/>
    <w:rsid w:val="24A01F70"/>
    <w:rsid w:val="24B16B47"/>
    <w:rsid w:val="24B71C84"/>
    <w:rsid w:val="24B959FC"/>
    <w:rsid w:val="24C26FA6"/>
    <w:rsid w:val="24CF3471"/>
    <w:rsid w:val="24DA2DF4"/>
    <w:rsid w:val="24E0742D"/>
    <w:rsid w:val="250C1FD0"/>
    <w:rsid w:val="250D5433"/>
    <w:rsid w:val="25140E84"/>
    <w:rsid w:val="25216A19"/>
    <w:rsid w:val="25284930"/>
    <w:rsid w:val="252A06A8"/>
    <w:rsid w:val="252F3F10"/>
    <w:rsid w:val="25545725"/>
    <w:rsid w:val="256736AA"/>
    <w:rsid w:val="258778A8"/>
    <w:rsid w:val="25987D07"/>
    <w:rsid w:val="259E5DEF"/>
    <w:rsid w:val="25A8619C"/>
    <w:rsid w:val="25DE1BBE"/>
    <w:rsid w:val="25EB42DB"/>
    <w:rsid w:val="2604539D"/>
    <w:rsid w:val="260D5FFF"/>
    <w:rsid w:val="262F241A"/>
    <w:rsid w:val="26357304"/>
    <w:rsid w:val="263578E4"/>
    <w:rsid w:val="26413EFB"/>
    <w:rsid w:val="26571970"/>
    <w:rsid w:val="265C6F87"/>
    <w:rsid w:val="265E5320"/>
    <w:rsid w:val="266F6CBA"/>
    <w:rsid w:val="267B63A3"/>
    <w:rsid w:val="269009DE"/>
    <w:rsid w:val="26A33239"/>
    <w:rsid w:val="26B32BB5"/>
    <w:rsid w:val="26B4291F"/>
    <w:rsid w:val="26B66697"/>
    <w:rsid w:val="26C568DA"/>
    <w:rsid w:val="26CF1507"/>
    <w:rsid w:val="26EA27E4"/>
    <w:rsid w:val="26EC1CEB"/>
    <w:rsid w:val="26FF3706"/>
    <w:rsid w:val="270D0281"/>
    <w:rsid w:val="2714160F"/>
    <w:rsid w:val="272555CB"/>
    <w:rsid w:val="27286E69"/>
    <w:rsid w:val="27475541"/>
    <w:rsid w:val="27702CEA"/>
    <w:rsid w:val="27B30E28"/>
    <w:rsid w:val="27B5694E"/>
    <w:rsid w:val="27BF5A1F"/>
    <w:rsid w:val="27CA6CDC"/>
    <w:rsid w:val="27D86AE1"/>
    <w:rsid w:val="27DF5779"/>
    <w:rsid w:val="27DF7272"/>
    <w:rsid w:val="27F52DCC"/>
    <w:rsid w:val="27F82CDF"/>
    <w:rsid w:val="27FA0805"/>
    <w:rsid w:val="28074CD0"/>
    <w:rsid w:val="28130B42"/>
    <w:rsid w:val="281318C7"/>
    <w:rsid w:val="2813381D"/>
    <w:rsid w:val="281C7223"/>
    <w:rsid w:val="283F26BC"/>
    <w:rsid w:val="28550131"/>
    <w:rsid w:val="28724840"/>
    <w:rsid w:val="28A16ED3"/>
    <w:rsid w:val="28AD3ACA"/>
    <w:rsid w:val="28B27332"/>
    <w:rsid w:val="28C4738F"/>
    <w:rsid w:val="28E05C4D"/>
    <w:rsid w:val="28E434BB"/>
    <w:rsid w:val="29003BF9"/>
    <w:rsid w:val="29164D24"/>
    <w:rsid w:val="29192F0D"/>
    <w:rsid w:val="291E6775"/>
    <w:rsid w:val="29211DC2"/>
    <w:rsid w:val="292D0766"/>
    <w:rsid w:val="29332221"/>
    <w:rsid w:val="29385A89"/>
    <w:rsid w:val="29455AB0"/>
    <w:rsid w:val="294C32E2"/>
    <w:rsid w:val="295F078B"/>
    <w:rsid w:val="2987256D"/>
    <w:rsid w:val="2988071C"/>
    <w:rsid w:val="29986528"/>
    <w:rsid w:val="29C72969"/>
    <w:rsid w:val="29D368B5"/>
    <w:rsid w:val="29F415AE"/>
    <w:rsid w:val="29F703AF"/>
    <w:rsid w:val="29FF65A7"/>
    <w:rsid w:val="2A2E0998"/>
    <w:rsid w:val="2A3260ED"/>
    <w:rsid w:val="2A3B54B5"/>
    <w:rsid w:val="2A3E70CF"/>
    <w:rsid w:val="2A467D32"/>
    <w:rsid w:val="2A4B17EC"/>
    <w:rsid w:val="2A4F574A"/>
    <w:rsid w:val="2A594E1B"/>
    <w:rsid w:val="2A5C44C4"/>
    <w:rsid w:val="2A810D6A"/>
    <w:rsid w:val="2A872E75"/>
    <w:rsid w:val="2A8D5961"/>
    <w:rsid w:val="2A9F7442"/>
    <w:rsid w:val="2AB32EED"/>
    <w:rsid w:val="2AC82E3D"/>
    <w:rsid w:val="2AD57308"/>
    <w:rsid w:val="2AD904BB"/>
    <w:rsid w:val="2AEC525C"/>
    <w:rsid w:val="2AF23A16"/>
    <w:rsid w:val="2AFB4FC0"/>
    <w:rsid w:val="2B116592"/>
    <w:rsid w:val="2B2362C5"/>
    <w:rsid w:val="2B2A31B0"/>
    <w:rsid w:val="2B34402E"/>
    <w:rsid w:val="2B481888"/>
    <w:rsid w:val="2B4F2C16"/>
    <w:rsid w:val="2B5244B4"/>
    <w:rsid w:val="2B6C1A1A"/>
    <w:rsid w:val="2B710DDE"/>
    <w:rsid w:val="2B766E03"/>
    <w:rsid w:val="2BC43604"/>
    <w:rsid w:val="2BCE7FDF"/>
    <w:rsid w:val="2BD31A99"/>
    <w:rsid w:val="2BE315B0"/>
    <w:rsid w:val="2BE9306B"/>
    <w:rsid w:val="2C26606D"/>
    <w:rsid w:val="2C395116"/>
    <w:rsid w:val="2C3A38C6"/>
    <w:rsid w:val="2C3F0EDD"/>
    <w:rsid w:val="2C445FA0"/>
    <w:rsid w:val="2C504E98"/>
    <w:rsid w:val="2C520C10"/>
    <w:rsid w:val="2C574478"/>
    <w:rsid w:val="2C626979"/>
    <w:rsid w:val="2C640943"/>
    <w:rsid w:val="2C6426F1"/>
    <w:rsid w:val="2C7212B2"/>
    <w:rsid w:val="2C72245B"/>
    <w:rsid w:val="2C7B145F"/>
    <w:rsid w:val="2CB76CC5"/>
    <w:rsid w:val="2CB84379"/>
    <w:rsid w:val="2CBD7E4E"/>
    <w:rsid w:val="2CC118F2"/>
    <w:rsid w:val="2CCB6C84"/>
    <w:rsid w:val="2CEE4A0A"/>
    <w:rsid w:val="2CFB12A7"/>
    <w:rsid w:val="2D03015C"/>
    <w:rsid w:val="2D087520"/>
    <w:rsid w:val="2D102879"/>
    <w:rsid w:val="2D410C84"/>
    <w:rsid w:val="2D510EC7"/>
    <w:rsid w:val="2D684463"/>
    <w:rsid w:val="2D776454"/>
    <w:rsid w:val="2D786062"/>
    <w:rsid w:val="2D825525"/>
    <w:rsid w:val="2DA90D03"/>
    <w:rsid w:val="2DF210A6"/>
    <w:rsid w:val="2DFE5EF0"/>
    <w:rsid w:val="2E156399"/>
    <w:rsid w:val="2E2C36E3"/>
    <w:rsid w:val="2E4427DA"/>
    <w:rsid w:val="2E5073D1"/>
    <w:rsid w:val="2E5549E7"/>
    <w:rsid w:val="2E657152"/>
    <w:rsid w:val="2E6764C9"/>
    <w:rsid w:val="2E68576D"/>
    <w:rsid w:val="2E6E5AA9"/>
    <w:rsid w:val="2E82607B"/>
    <w:rsid w:val="2E9175B4"/>
    <w:rsid w:val="2E9815E7"/>
    <w:rsid w:val="2EB01C1E"/>
    <w:rsid w:val="2EC8419E"/>
    <w:rsid w:val="2ECF6C02"/>
    <w:rsid w:val="2EDF69A7"/>
    <w:rsid w:val="2EE45D6B"/>
    <w:rsid w:val="2EF53AD4"/>
    <w:rsid w:val="2F1E19DF"/>
    <w:rsid w:val="2F1E302B"/>
    <w:rsid w:val="2F25260C"/>
    <w:rsid w:val="2F3106E5"/>
    <w:rsid w:val="2F34284F"/>
    <w:rsid w:val="2F370591"/>
    <w:rsid w:val="2FA63021"/>
    <w:rsid w:val="2FAF6379"/>
    <w:rsid w:val="2FB90FA6"/>
    <w:rsid w:val="2FC35981"/>
    <w:rsid w:val="2FC55B9D"/>
    <w:rsid w:val="2FCA14B6"/>
    <w:rsid w:val="2FCF07C9"/>
    <w:rsid w:val="2FD46B82"/>
    <w:rsid w:val="30030473"/>
    <w:rsid w:val="30085A89"/>
    <w:rsid w:val="30121A9A"/>
    <w:rsid w:val="30142680"/>
    <w:rsid w:val="301743AC"/>
    <w:rsid w:val="302F3016"/>
    <w:rsid w:val="303C2E9C"/>
    <w:rsid w:val="30442F65"/>
    <w:rsid w:val="304E5B92"/>
    <w:rsid w:val="305B205D"/>
    <w:rsid w:val="309612E7"/>
    <w:rsid w:val="30A21A3A"/>
    <w:rsid w:val="30AE4883"/>
    <w:rsid w:val="30DC4F4C"/>
    <w:rsid w:val="30F06C49"/>
    <w:rsid w:val="31077AEF"/>
    <w:rsid w:val="31132938"/>
    <w:rsid w:val="31142535"/>
    <w:rsid w:val="311A5A74"/>
    <w:rsid w:val="31344D88"/>
    <w:rsid w:val="313F65CC"/>
    <w:rsid w:val="317258B0"/>
    <w:rsid w:val="318019B3"/>
    <w:rsid w:val="31864EB8"/>
    <w:rsid w:val="31975317"/>
    <w:rsid w:val="3199108F"/>
    <w:rsid w:val="319F5F79"/>
    <w:rsid w:val="31A17F44"/>
    <w:rsid w:val="31A812D2"/>
    <w:rsid w:val="31AC1C27"/>
    <w:rsid w:val="31B71515"/>
    <w:rsid w:val="31CA1248"/>
    <w:rsid w:val="31CF2D03"/>
    <w:rsid w:val="32125567"/>
    <w:rsid w:val="32794A1C"/>
    <w:rsid w:val="327F2033"/>
    <w:rsid w:val="32894C60"/>
    <w:rsid w:val="329F4B49"/>
    <w:rsid w:val="32AD714D"/>
    <w:rsid w:val="32B37F2E"/>
    <w:rsid w:val="32BA2DEB"/>
    <w:rsid w:val="32C4038E"/>
    <w:rsid w:val="32CB5278"/>
    <w:rsid w:val="32DA54BB"/>
    <w:rsid w:val="32EE20E5"/>
    <w:rsid w:val="33122EA7"/>
    <w:rsid w:val="33274289"/>
    <w:rsid w:val="334353D9"/>
    <w:rsid w:val="334B63B9"/>
    <w:rsid w:val="33707BCD"/>
    <w:rsid w:val="337A0AEF"/>
    <w:rsid w:val="339C6C14"/>
    <w:rsid w:val="33A61841"/>
    <w:rsid w:val="33A93D7F"/>
    <w:rsid w:val="33C61EE3"/>
    <w:rsid w:val="33C70135"/>
    <w:rsid w:val="33E04D53"/>
    <w:rsid w:val="33F16F60"/>
    <w:rsid w:val="341E0659"/>
    <w:rsid w:val="34232E92"/>
    <w:rsid w:val="343432F1"/>
    <w:rsid w:val="345E4584"/>
    <w:rsid w:val="34685EE2"/>
    <w:rsid w:val="346F60D7"/>
    <w:rsid w:val="34A34585"/>
    <w:rsid w:val="34A437E9"/>
    <w:rsid w:val="34AA710F"/>
    <w:rsid w:val="34AB7B06"/>
    <w:rsid w:val="34B15EB8"/>
    <w:rsid w:val="34DA3E98"/>
    <w:rsid w:val="351630EA"/>
    <w:rsid w:val="35527ED3"/>
    <w:rsid w:val="35617D15"/>
    <w:rsid w:val="35643762"/>
    <w:rsid w:val="35812566"/>
    <w:rsid w:val="35814314"/>
    <w:rsid w:val="35A46254"/>
    <w:rsid w:val="35B4113B"/>
    <w:rsid w:val="35D94B6D"/>
    <w:rsid w:val="366D12C5"/>
    <w:rsid w:val="369E4A52"/>
    <w:rsid w:val="36A22794"/>
    <w:rsid w:val="36B349A1"/>
    <w:rsid w:val="36EE6CA0"/>
    <w:rsid w:val="36F62AE0"/>
    <w:rsid w:val="37076A9B"/>
    <w:rsid w:val="370C5E5F"/>
    <w:rsid w:val="371A5B4C"/>
    <w:rsid w:val="372C02AF"/>
    <w:rsid w:val="3745765C"/>
    <w:rsid w:val="375021F0"/>
    <w:rsid w:val="375717D0"/>
    <w:rsid w:val="376C4221"/>
    <w:rsid w:val="378325C5"/>
    <w:rsid w:val="3791746E"/>
    <w:rsid w:val="37A442EA"/>
    <w:rsid w:val="37B062B8"/>
    <w:rsid w:val="37B564F7"/>
    <w:rsid w:val="37C26D2D"/>
    <w:rsid w:val="37C8447C"/>
    <w:rsid w:val="37D23698"/>
    <w:rsid w:val="37E06B19"/>
    <w:rsid w:val="38042FDA"/>
    <w:rsid w:val="380D1E8F"/>
    <w:rsid w:val="38156F95"/>
    <w:rsid w:val="38172D0E"/>
    <w:rsid w:val="38207A3C"/>
    <w:rsid w:val="382A61E7"/>
    <w:rsid w:val="382C7B39"/>
    <w:rsid w:val="382F0057"/>
    <w:rsid w:val="38327B47"/>
    <w:rsid w:val="383C026B"/>
    <w:rsid w:val="38415FDC"/>
    <w:rsid w:val="38422A01"/>
    <w:rsid w:val="384855BD"/>
    <w:rsid w:val="38561A88"/>
    <w:rsid w:val="38606463"/>
    <w:rsid w:val="38680551"/>
    <w:rsid w:val="386F3913"/>
    <w:rsid w:val="3870508A"/>
    <w:rsid w:val="387B14EE"/>
    <w:rsid w:val="388446DA"/>
    <w:rsid w:val="388D2FD0"/>
    <w:rsid w:val="38B77C74"/>
    <w:rsid w:val="38CE5AC2"/>
    <w:rsid w:val="38D62BC9"/>
    <w:rsid w:val="38F4304F"/>
    <w:rsid w:val="38F65019"/>
    <w:rsid w:val="390037A2"/>
    <w:rsid w:val="39134AD2"/>
    <w:rsid w:val="39233C53"/>
    <w:rsid w:val="3929719C"/>
    <w:rsid w:val="393618B9"/>
    <w:rsid w:val="39365415"/>
    <w:rsid w:val="39382F3B"/>
    <w:rsid w:val="394B1D27"/>
    <w:rsid w:val="39800CF5"/>
    <w:rsid w:val="399D7242"/>
    <w:rsid w:val="399F120C"/>
    <w:rsid w:val="39B5458C"/>
    <w:rsid w:val="39EC3D26"/>
    <w:rsid w:val="39EE7A9E"/>
    <w:rsid w:val="39F41558"/>
    <w:rsid w:val="3A0729B6"/>
    <w:rsid w:val="3A192D6D"/>
    <w:rsid w:val="3A3C6A5B"/>
    <w:rsid w:val="3A6B7341"/>
    <w:rsid w:val="3A6F0BDF"/>
    <w:rsid w:val="3A8A5A19"/>
    <w:rsid w:val="3AA82343"/>
    <w:rsid w:val="3AB64A60"/>
    <w:rsid w:val="3AC40AFD"/>
    <w:rsid w:val="3AFC2F42"/>
    <w:rsid w:val="3B007373"/>
    <w:rsid w:val="3B102E3D"/>
    <w:rsid w:val="3B1B2B15"/>
    <w:rsid w:val="3B3460C0"/>
    <w:rsid w:val="3B4E0FE7"/>
    <w:rsid w:val="3B762441"/>
    <w:rsid w:val="3B7B35B3"/>
    <w:rsid w:val="3B9603ED"/>
    <w:rsid w:val="3B984165"/>
    <w:rsid w:val="3BA26D92"/>
    <w:rsid w:val="3BD04C7A"/>
    <w:rsid w:val="3BD17677"/>
    <w:rsid w:val="3BF03FA1"/>
    <w:rsid w:val="3BFF41E4"/>
    <w:rsid w:val="3C0B7252"/>
    <w:rsid w:val="3C0D3E4B"/>
    <w:rsid w:val="3C1557B6"/>
    <w:rsid w:val="3C1D5751"/>
    <w:rsid w:val="3C430575"/>
    <w:rsid w:val="3C495460"/>
    <w:rsid w:val="3C4B742A"/>
    <w:rsid w:val="3C824BB9"/>
    <w:rsid w:val="3CB6436A"/>
    <w:rsid w:val="3CEF3FE4"/>
    <w:rsid w:val="3CEF4259"/>
    <w:rsid w:val="3CF47AC1"/>
    <w:rsid w:val="3D125367"/>
    <w:rsid w:val="3D17730C"/>
    <w:rsid w:val="3D2959BD"/>
    <w:rsid w:val="3D4948ED"/>
    <w:rsid w:val="3D4A148F"/>
    <w:rsid w:val="3D4C16AB"/>
    <w:rsid w:val="3D577C0B"/>
    <w:rsid w:val="3D646231"/>
    <w:rsid w:val="3D687B67"/>
    <w:rsid w:val="3D714C6E"/>
    <w:rsid w:val="3D8A5D30"/>
    <w:rsid w:val="3D931088"/>
    <w:rsid w:val="3DA5112B"/>
    <w:rsid w:val="3DB149FB"/>
    <w:rsid w:val="3DC01751"/>
    <w:rsid w:val="3DD91F25"/>
    <w:rsid w:val="3DEB2C72"/>
    <w:rsid w:val="3DEC3425"/>
    <w:rsid w:val="3DF15DAF"/>
    <w:rsid w:val="3DF633C5"/>
    <w:rsid w:val="3E060E52"/>
    <w:rsid w:val="3E285C74"/>
    <w:rsid w:val="3E3846CE"/>
    <w:rsid w:val="3E3F1D54"/>
    <w:rsid w:val="3E481E73"/>
    <w:rsid w:val="3E502554"/>
    <w:rsid w:val="3E5C3201"/>
    <w:rsid w:val="3E662CC3"/>
    <w:rsid w:val="3E7824D5"/>
    <w:rsid w:val="3E7A1D13"/>
    <w:rsid w:val="3E976E68"/>
    <w:rsid w:val="3E9F32CC"/>
    <w:rsid w:val="3EB07A18"/>
    <w:rsid w:val="3EC040FF"/>
    <w:rsid w:val="3EE37DED"/>
    <w:rsid w:val="3EFB0C93"/>
    <w:rsid w:val="3F1B7587"/>
    <w:rsid w:val="3F1F4411"/>
    <w:rsid w:val="3F3643C1"/>
    <w:rsid w:val="3F3A1267"/>
    <w:rsid w:val="3F3B5533"/>
    <w:rsid w:val="3F497C8E"/>
    <w:rsid w:val="3F4F3430"/>
    <w:rsid w:val="3F7647BE"/>
    <w:rsid w:val="3F9472A1"/>
    <w:rsid w:val="3F9B5FD2"/>
    <w:rsid w:val="3FBC4412"/>
    <w:rsid w:val="3FC419CD"/>
    <w:rsid w:val="3FCA68B7"/>
    <w:rsid w:val="3FDA11F0"/>
    <w:rsid w:val="3FEE6A4A"/>
    <w:rsid w:val="3FFC1746"/>
    <w:rsid w:val="400A3A69"/>
    <w:rsid w:val="40112738"/>
    <w:rsid w:val="401E041B"/>
    <w:rsid w:val="4020549C"/>
    <w:rsid w:val="402A7AD7"/>
    <w:rsid w:val="402D7572"/>
    <w:rsid w:val="4032450B"/>
    <w:rsid w:val="40452F0E"/>
    <w:rsid w:val="404843AC"/>
    <w:rsid w:val="404C551E"/>
    <w:rsid w:val="40703903"/>
    <w:rsid w:val="407927B7"/>
    <w:rsid w:val="407F76A2"/>
    <w:rsid w:val="40855E87"/>
    <w:rsid w:val="408D0011"/>
    <w:rsid w:val="40970E8F"/>
    <w:rsid w:val="40A11D0E"/>
    <w:rsid w:val="40BC6398"/>
    <w:rsid w:val="40F94DDB"/>
    <w:rsid w:val="41244870"/>
    <w:rsid w:val="41285F8B"/>
    <w:rsid w:val="412D70FE"/>
    <w:rsid w:val="415D0F3E"/>
    <w:rsid w:val="415E7BFF"/>
    <w:rsid w:val="416C5E78"/>
    <w:rsid w:val="416E7E42"/>
    <w:rsid w:val="417B60BB"/>
    <w:rsid w:val="417C1E33"/>
    <w:rsid w:val="418A6C90"/>
    <w:rsid w:val="419158DF"/>
    <w:rsid w:val="41984EBF"/>
    <w:rsid w:val="41B617E9"/>
    <w:rsid w:val="41D40D9C"/>
    <w:rsid w:val="41E55C2A"/>
    <w:rsid w:val="41FB544E"/>
    <w:rsid w:val="420A0C6C"/>
    <w:rsid w:val="420F0B18"/>
    <w:rsid w:val="421A1D78"/>
    <w:rsid w:val="421F2EEA"/>
    <w:rsid w:val="4250579A"/>
    <w:rsid w:val="426054B0"/>
    <w:rsid w:val="42611755"/>
    <w:rsid w:val="426D634C"/>
    <w:rsid w:val="427A45C5"/>
    <w:rsid w:val="42A31D6D"/>
    <w:rsid w:val="42B15B0D"/>
    <w:rsid w:val="42B35A22"/>
    <w:rsid w:val="42BD098E"/>
    <w:rsid w:val="42C43A92"/>
    <w:rsid w:val="42C94FD6"/>
    <w:rsid w:val="42D145D5"/>
    <w:rsid w:val="42DE2DA6"/>
    <w:rsid w:val="43106CD7"/>
    <w:rsid w:val="43180E0C"/>
    <w:rsid w:val="431B75F7"/>
    <w:rsid w:val="434D211E"/>
    <w:rsid w:val="434F5A51"/>
    <w:rsid w:val="43620726"/>
    <w:rsid w:val="436314FD"/>
    <w:rsid w:val="43713C1A"/>
    <w:rsid w:val="43754D8C"/>
    <w:rsid w:val="437E6337"/>
    <w:rsid w:val="43B34232"/>
    <w:rsid w:val="43C24475"/>
    <w:rsid w:val="43C31F9B"/>
    <w:rsid w:val="43C875B2"/>
    <w:rsid w:val="43CD4BC8"/>
    <w:rsid w:val="43D1290A"/>
    <w:rsid w:val="43E43509"/>
    <w:rsid w:val="43E7082E"/>
    <w:rsid w:val="43F6411F"/>
    <w:rsid w:val="43F87E97"/>
    <w:rsid w:val="440209A9"/>
    <w:rsid w:val="44022AC4"/>
    <w:rsid w:val="44076EEB"/>
    <w:rsid w:val="44224F14"/>
    <w:rsid w:val="443E4443"/>
    <w:rsid w:val="444E3841"/>
    <w:rsid w:val="445175A7"/>
    <w:rsid w:val="4475773A"/>
    <w:rsid w:val="44890AEF"/>
    <w:rsid w:val="44A042A4"/>
    <w:rsid w:val="44DF1057"/>
    <w:rsid w:val="44EC04DA"/>
    <w:rsid w:val="44ED5522"/>
    <w:rsid w:val="44EE3048"/>
    <w:rsid w:val="44F92119"/>
    <w:rsid w:val="45137D99"/>
    <w:rsid w:val="451505D5"/>
    <w:rsid w:val="451A6B73"/>
    <w:rsid w:val="45294080"/>
    <w:rsid w:val="452F78E8"/>
    <w:rsid w:val="453942C3"/>
    <w:rsid w:val="453C2005"/>
    <w:rsid w:val="45554E75"/>
    <w:rsid w:val="4556693E"/>
    <w:rsid w:val="45854277"/>
    <w:rsid w:val="45963EE5"/>
    <w:rsid w:val="45A8769B"/>
    <w:rsid w:val="45B419D3"/>
    <w:rsid w:val="45D264C6"/>
    <w:rsid w:val="45EA1A61"/>
    <w:rsid w:val="45F97EF6"/>
    <w:rsid w:val="46245506"/>
    <w:rsid w:val="46284338"/>
    <w:rsid w:val="464C0148"/>
    <w:rsid w:val="4674757D"/>
    <w:rsid w:val="46971BE9"/>
    <w:rsid w:val="469D6AD4"/>
    <w:rsid w:val="46B75DE7"/>
    <w:rsid w:val="46CC0C37"/>
    <w:rsid w:val="46F74436"/>
    <w:rsid w:val="47321912"/>
    <w:rsid w:val="473E5F44"/>
    <w:rsid w:val="474927B8"/>
    <w:rsid w:val="475F022D"/>
    <w:rsid w:val="475F1FDB"/>
    <w:rsid w:val="47A20071"/>
    <w:rsid w:val="47A735E5"/>
    <w:rsid w:val="47AF35CA"/>
    <w:rsid w:val="47BE4F54"/>
    <w:rsid w:val="47C50090"/>
    <w:rsid w:val="47DE73A4"/>
    <w:rsid w:val="47E33329"/>
    <w:rsid w:val="47E524E0"/>
    <w:rsid w:val="47EA3F9B"/>
    <w:rsid w:val="47ED75E7"/>
    <w:rsid w:val="47F24BFD"/>
    <w:rsid w:val="47FC5A7C"/>
    <w:rsid w:val="48043481"/>
    <w:rsid w:val="480E2342"/>
    <w:rsid w:val="480F755D"/>
    <w:rsid w:val="482A083B"/>
    <w:rsid w:val="484D551F"/>
    <w:rsid w:val="485B09F4"/>
    <w:rsid w:val="48677399"/>
    <w:rsid w:val="486A6E89"/>
    <w:rsid w:val="486D24D6"/>
    <w:rsid w:val="48740B49"/>
    <w:rsid w:val="488243C5"/>
    <w:rsid w:val="48907370"/>
    <w:rsid w:val="48A4239B"/>
    <w:rsid w:val="48B14AB8"/>
    <w:rsid w:val="48D44319"/>
    <w:rsid w:val="48EC54A5"/>
    <w:rsid w:val="48FF5824"/>
    <w:rsid w:val="490B5F77"/>
    <w:rsid w:val="49153299"/>
    <w:rsid w:val="49514522"/>
    <w:rsid w:val="495A0CAC"/>
    <w:rsid w:val="49695393"/>
    <w:rsid w:val="497D499A"/>
    <w:rsid w:val="49A563CB"/>
    <w:rsid w:val="49A62143"/>
    <w:rsid w:val="49A87C69"/>
    <w:rsid w:val="49B22896"/>
    <w:rsid w:val="49BD484D"/>
    <w:rsid w:val="49C83572"/>
    <w:rsid w:val="49D15B7B"/>
    <w:rsid w:val="49F64E79"/>
    <w:rsid w:val="49FB423D"/>
    <w:rsid w:val="4A05330E"/>
    <w:rsid w:val="4A2C2648"/>
    <w:rsid w:val="4A3B288C"/>
    <w:rsid w:val="4A674FE6"/>
    <w:rsid w:val="4A8204BA"/>
    <w:rsid w:val="4A891411"/>
    <w:rsid w:val="4A925BAC"/>
    <w:rsid w:val="4AA246B9"/>
    <w:rsid w:val="4AA93C99"/>
    <w:rsid w:val="4AB60164"/>
    <w:rsid w:val="4AD54A8E"/>
    <w:rsid w:val="4AD87C28"/>
    <w:rsid w:val="4ADE269C"/>
    <w:rsid w:val="4ADE2F2D"/>
    <w:rsid w:val="4AE80DAC"/>
    <w:rsid w:val="4B221C9D"/>
    <w:rsid w:val="4B296B88"/>
    <w:rsid w:val="4B2E0642"/>
    <w:rsid w:val="4B3B005B"/>
    <w:rsid w:val="4B5005B9"/>
    <w:rsid w:val="4B7C13AE"/>
    <w:rsid w:val="4B7D39AD"/>
    <w:rsid w:val="4B8D5369"/>
    <w:rsid w:val="4B944949"/>
    <w:rsid w:val="4BA20C56"/>
    <w:rsid w:val="4BBC17AA"/>
    <w:rsid w:val="4BC30D8B"/>
    <w:rsid w:val="4BC73382"/>
    <w:rsid w:val="4BD73AAE"/>
    <w:rsid w:val="4BDD55A8"/>
    <w:rsid w:val="4BE56F53"/>
    <w:rsid w:val="4BE62CCB"/>
    <w:rsid w:val="4BF21670"/>
    <w:rsid w:val="4C03387D"/>
    <w:rsid w:val="4C1A4723"/>
    <w:rsid w:val="4C215AB1"/>
    <w:rsid w:val="4C26756B"/>
    <w:rsid w:val="4C2A705C"/>
    <w:rsid w:val="4C39104D"/>
    <w:rsid w:val="4C3D6D8F"/>
    <w:rsid w:val="4C59524B"/>
    <w:rsid w:val="4C60482B"/>
    <w:rsid w:val="4C903E21"/>
    <w:rsid w:val="4CC272A4"/>
    <w:rsid w:val="4CDB0356"/>
    <w:rsid w:val="4CFB27A6"/>
    <w:rsid w:val="4D042FDA"/>
    <w:rsid w:val="4D167942"/>
    <w:rsid w:val="4D213CEF"/>
    <w:rsid w:val="4D3833FE"/>
    <w:rsid w:val="4D3D2DBF"/>
    <w:rsid w:val="4D4001B9"/>
    <w:rsid w:val="4D4E6D7A"/>
    <w:rsid w:val="4D7D31BB"/>
    <w:rsid w:val="4DA90454"/>
    <w:rsid w:val="4DBC3CE3"/>
    <w:rsid w:val="4DDD59C1"/>
    <w:rsid w:val="4DE8672B"/>
    <w:rsid w:val="4DFA0CB0"/>
    <w:rsid w:val="4E0062C6"/>
    <w:rsid w:val="4E030D7C"/>
    <w:rsid w:val="4E1D7181"/>
    <w:rsid w:val="4E233D34"/>
    <w:rsid w:val="4E4D7031"/>
    <w:rsid w:val="4E611FC4"/>
    <w:rsid w:val="4E6323B1"/>
    <w:rsid w:val="4E6F6FA8"/>
    <w:rsid w:val="4E915170"/>
    <w:rsid w:val="4EA40FCB"/>
    <w:rsid w:val="4EA76741"/>
    <w:rsid w:val="4EAA7FE0"/>
    <w:rsid w:val="4EAC4696"/>
    <w:rsid w:val="4EB71E4D"/>
    <w:rsid w:val="4ECF5C98"/>
    <w:rsid w:val="4ED908C5"/>
    <w:rsid w:val="4EDB63EB"/>
    <w:rsid w:val="4F056A76"/>
    <w:rsid w:val="4F0973FC"/>
    <w:rsid w:val="4F1162B1"/>
    <w:rsid w:val="4F1D2EA8"/>
    <w:rsid w:val="4F365D17"/>
    <w:rsid w:val="4F3B332E"/>
    <w:rsid w:val="4F3E53F4"/>
    <w:rsid w:val="4F485A53"/>
    <w:rsid w:val="4F5A37B4"/>
    <w:rsid w:val="4F6E725F"/>
    <w:rsid w:val="4FA01CF4"/>
    <w:rsid w:val="4FAC7D88"/>
    <w:rsid w:val="4FB07878"/>
    <w:rsid w:val="4FD712A8"/>
    <w:rsid w:val="4FD95020"/>
    <w:rsid w:val="4FDA48F5"/>
    <w:rsid w:val="4FF16D31"/>
    <w:rsid w:val="4FFC486B"/>
    <w:rsid w:val="501716A5"/>
    <w:rsid w:val="50354221"/>
    <w:rsid w:val="509B22D6"/>
    <w:rsid w:val="50D37CC2"/>
    <w:rsid w:val="50F33EC0"/>
    <w:rsid w:val="510C6D30"/>
    <w:rsid w:val="5119769F"/>
    <w:rsid w:val="51224968"/>
    <w:rsid w:val="512C73D2"/>
    <w:rsid w:val="51493AE0"/>
    <w:rsid w:val="515801C7"/>
    <w:rsid w:val="51654692"/>
    <w:rsid w:val="516C77CE"/>
    <w:rsid w:val="517725F4"/>
    <w:rsid w:val="518C60C3"/>
    <w:rsid w:val="519A258E"/>
    <w:rsid w:val="519E7C40"/>
    <w:rsid w:val="51A67184"/>
    <w:rsid w:val="51CE176D"/>
    <w:rsid w:val="51D21B13"/>
    <w:rsid w:val="51DB6702"/>
    <w:rsid w:val="51E1640E"/>
    <w:rsid w:val="520E0886"/>
    <w:rsid w:val="521340EE"/>
    <w:rsid w:val="521A547C"/>
    <w:rsid w:val="521D4F6D"/>
    <w:rsid w:val="52262073"/>
    <w:rsid w:val="522956BF"/>
    <w:rsid w:val="52391DA6"/>
    <w:rsid w:val="523C53F3"/>
    <w:rsid w:val="524644C3"/>
    <w:rsid w:val="52497B10"/>
    <w:rsid w:val="524D13AE"/>
    <w:rsid w:val="52636E23"/>
    <w:rsid w:val="52642B9B"/>
    <w:rsid w:val="529274B0"/>
    <w:rsid w:val="52A116FA"/>
    <w:rsid w:val="52A120B9"/>
    <w:rsid w:val="52AE4A26"/>
    <w:rsid w:val="52B16C9E"/>
    <w:rsid w:val="52D02C2A"/>
    <w:rsid w:val="52DB10B0"/>
    <w:rsid w:val="52F31E79"/>
    <w:rsid w:val="530C1269"/>
    <w:rsid w:val="531D3476"/>
    <w:rsid w:val="533D4D64"/>
    <w:rsid w:val="534B409A"/>
    <w:rsid w:val="536C1D08"/>
    <w:rsid w:val="5371731E"/>
    <w:rsid w:val="537D2167"/>
    <w:rsid w:val="53961C8B"/>
    <w:rsid w:val="539B25ED"/>
    <w:rsid w:val="53A1135E"/>
    <w:rsid w:val="53C03E02"/>
    <w:rsid w:val="53E144A4"/>
    <w:rsid w:val="53E429D7"/>
    <w:rsid w:val="53E43F94"/>
    <w:rsid w:val="53F8359B"/>
    <w:rsid w:val="53FB308C"/>
    <w:rsid w:val="54080994"/>
    <w:rsid w:val="540939FA"/>
    <w:rsid w:val="540C7047"/>
    <w:rsid w:val="5415197C"/>
    <w:rsid w:val="54161C73"/>
    <w:rsid w:val="542720D3"/>
    <w:rsid w:val="5438608E"/>
    <w:rsid w:val="54622402"/>
    <w:rsid w:val="54660E4D"/>
    <w:rsid w:val="54694499"/>
    <w:rsid w:val="54901A26"/>
    <w:rsid w:val="54A14C0D"/>
    <w:rsid w:val="54AA6F8B"/>
    <w:rsid w:val="54E12281"/>
    <w:rsid w:val="54F9581D"/>
    <w:rsid w:val="54FA281B"/>
    <w:rsid w:val="552503C0"/>
    <w:rsid w:val="55366A71"/>
    <w:rsid w:val="55432F3C"/>
    <w:rsid w:val="555415A8"/>
    <w:rsid w:val="55672A14"/>
    <w:rsid w:val="557E23A2"/>
    <w:rsid w:val="55872E29"/>
    <w:rsid w:val="5596306C"/>
    <w:rsid w:val="55983288"/>
    <w:rsid w:val="559B2D78"/>
    <w:rsid w:val="55A007F9"/>
    <w:rsid w:val="55A17900"/>
    <w:rsid w:val="55AE4859"/>
    <w:rsid w:val="55BD2CEE"/>
    <w:rsid w:val="55C958CD"/>
    <w:rsid w:val="55E22755"/>
    <w:rsid w:val="55F81F79"/>
    <w:rsid w:val="561346BC"/>
    <w:rsid w:val="561609D5"/>
    <w:rsid w:val="56170651"/>
    <w:rsid w:val="56217ECF"/>
    <w:rsid w:val="5647080A"/>
    <w:rsid w:val="5659425C"/>
    <w:rsid w:val="5661367A"/>
    <w:rsid w:val="56B33555"/>
    <w:rsid w:val="56B55E6C"/>
    <w:rsid w:val="56BA722E"/>
    <w:rsid w:val="56C80086"/>
    <w:rsid w:val="56DC71A4"/>
    <w:rsid w:val="56E12A0D"/>
    <w:rsid w:val="56ED315F"/>
    <w:rsid w:val="56F97D56"/>
    <w:rsid w:val="570A1F63"/>
    <w:rsid w:val="57355610"/>
    <w:rsid w:val="57362D58"/>
    <w:rsid w:val="573B211D"/>
    <w:rsid w:val="57407733"/>
    <w:rsid w:val="575E405D"/>
    <w:rsid w:val="576553EC"/>
    <w:rsid w:val="577D2735"/>
    <w:rsid w:val="579E26AC"/>
    <w:rsid w:val="57B313AC"/>
    <w:rsid w:val="57B40121"/>
    <w:rsid w:val="57BD5228"/>
    <w:rsid w:val="57D515B3"/>
    <w:rsid w:val="57DB3900"/>
    <w:rsid w:val="57F752FC"/>
    <w:rsid w:val="57F86260"/>
    <w:rsid w:val="57FD5624"/>
    <w:rsid w:val="58022C3B"/>
    <w:rsid w:val="58031097"/>
    <w:rsid w:val="580C3AB9"/>
    <w:rsid w:val="58207565"/>
    <w:rsid w:val="58337298"/>
    <w:rsid w:val="58474AF1"/>
    <w:rsid w:val="585C67EF"/>
    <w:rsid w:val="5866141B"/>
    <w:rsid w:val="587A0A23"/>
    <w:rsid w:val="58831FCD"/>
    <w:rsid w:val="588F67F6"/>
    <w:rsid w:val="58A61818"/>
    <w:rsid w:val="58B07C24"/>
    <w:rsid w:val="58D345D7"/>
    <w:rsid w:val="58D8399B"/>
    <w:rsid w:val="59091DA7"/>
    <w:rsid w:val="590D7AE9"/>
    <w:rsid w:val="59126EAD"/>
    <w:rsid w:val="591D6019"/>
    <w:rsid w:val="5926565E"/>
    <w:rsid w:val="593C217C"/>
    <w:rsid w:val="594162BE"/>
    <w:rsid w:val="59575208"/>
    <w:rsid w:val="596D2336"/>
    <w:rsid w:val="59A1611D"/>
    <w:rsid w:val="59CC3500"/>
    <w:rsid w:val="59DD395F"/>
    <w:rsid w:val="59FB5B93"/>
    <w:rsid w:val="5A0556CE"/>
    <w:rsid w:val="5A094754"/>
    <w:rsid w:val="5A1B4488"/>
    <w:rsid w:val="5A250E62"/>
    <w:rsid w:val="5A33357F"/>
    <w:rsid w:val="5A44578C"/>
    <w:rsid w:val="5A4532B2"/>
    <w:rsid w:val="5A5654C0"/>
    <w:rsid w:val="5A581238"/>
    <w:rsid w:val="5A6C083F"/>
    <w:rsid w:val="5A6D5F1E"/>
    <w:rsid w:val="5A6F6F32"/>
    <w:rsid w:val="5A7C4F26"/>
    <w:rsid w:val="5A90452E"/>
    <w:rsid w:val="5AA97E5E"/>
    <w:rsid w:val="5AB83A84"/>
    <w:rsid w:val="5AC93EE4"/>
    <w:rsid w:val="5ADD34EB"/>
    <w:rsid w:val="5AE76118"/>
    <w:rsid w:val="5AE91E90"/>
    <w:rsid w:val="5AF34ABD"/>
    <w:rsid w:val="5AF70A51"/>
    <w:rsid w:val="5B264E92"/>
    <w:rsid w:val="5B2C5407"/>
    <w:rsid w:val="5B2F01EA"/>
    <w:rsid w:val="5B350177"/>
    <w:rsid w:val="5B433C96"/>
    <w:rsid w:val="5B557525"/>
    <w:rsid w:val="5B5E462C"/>
    <w:rsid w:val="5B703577"/>
    <w:rsid w:val="5B8111EA"/>
    <w:rsid w:val="5B885B4D"/>
    <w:rsid w:val="5BC30933"/>
    <w:rsid w:val="5BD743DE"/>
    <w:rsid w:val="5C0056E3"/>
    <w:rsid w:val="5C0C052C"/>
    <w:rsid w:val="5C1B42CB"/>
    <w:rsid w:val="5C317F92"/>
    <w:rsid w:val="5C5B01E8"/>
    <w:rsid w:val="5C6739B4"/>
    <w:rsid w:val="5C846314"/>
    <w:rsid w:val="5C8956D8"/>
    <w:rsid w:val="5C8E0F41"/>
    <w:rsid w:val="5C95407D"/>
    <w:rsid w:val="5CA249EC"/>
    <w:rsid w:val="5CA97B29"/>
    <w:rsid w:val="5CC74453"/>
    <w:rsid w:val="5CD66444"/>
    <w:rsid w:val="5D017965"/>
    <w:rsid w:val="5D3A654F"/>
    <w:rsid w:val="5D3E4715"/>
    <w:rsid w:val="5D5472D5"/>
    <w:rsid w:val="5D5E6B65"/>
    <w:rsid w:val="5D6F2B20"/>
    <w:rsid w:val="5D704AEA"/>
    <w:rsid w:val="5D7E7207"/>
    <w:rsid w:val="5D8F33A7"/>
    <w:rsid w:val="5D924A61"/>
    <w:rsid w:val="5D953B1E"/>
    <w:rsid w:val="5D9C58DF"/>
    <w:rsid w:val="5DA51B22"/>
    <w:rsid w:val="5DAD3649"/>
    <w:rsid w:val="5DAF73C1"/>
    <w:rsid w:val="5DB36443"/>
    <w:rsid w:val="5DBB3FB7"/>
    <w:rsid w:val="5DD62B9F"/>
    <w:rsid w:val="5DFB0858"/>
    <w:rsid w:val="5E055233"/>
    <w:rsid w:val="5E086D76"/>
    <w:rsid w:val="5E1E19F8"/>
    <w:rsid w:val="5E2D6537"/>
    <w:rsid w:val="5E3957EE"/>
    <w:rsid w:val="5E473A9D"/>
    <w:rsid w:val="5E50299E"/>
    <w:rsid w:val="5E581923"/>
    <w:rsid w:val="5E6A0ACA"/>
    <w:rsid w:val="5E8A07E4"/>
    <w:rsid w:val="5E8C325E"/>
    <w:rsid w:val="5E9640DD"/>
    <w:rsid w:val="5EC4256C"/>
    <w:rsid w:val="5ED115B9"/>
    <w:rsid w:val="5EF05EE3"/>
    <w:rsid w:val="5EFA46C2"/>
    <w:rsid w:val="5F0279C4"/>
    <w:rsid w:val="5F094B10"/>
    <w:rsid w:val="5F3C4F00"/>
    <w:rsid w:val="5F4E2C09"/>
    <w:rsid w:val="5F5244A8"/>
    <w:rsid w:val="5FA16A24"/>
    <w:rsid w:val="5FB707AE"/>
    <w:rsid w:val="5FC52ECB"/>
    <w:rsid w:val="5FCD7FD2"/>
    <w:rsid w:val="5FD05C56"/>
    <w:rsid w:val="5FF217E7"/>
    <w:rsid w:val="5FF23595"/>
    <w:rsid w:val="5FF94E2C"/>
    <w:rsid w:val="5FFC2665"/>
    <w:rsid w:val="600D5F92"/>
    <w:rsid w:val="60145C01"/>
    <w:rsid w:val="6026216E"/>
    <w:rsid w:val="60326087"/>
    <w:rsid w:val="60457B68"/>
    <w:rsid w:val="6062610E"/>
    <w:rsid w:val="608A7C71"/>
    <w:rsid w:val="609E54CA"/>
    <w:rsid w:val="609F6707"/>
    <w:rsid w:val="60C95281"/>
    <w:rsid w:val="60CE4002"/>
    <w:rsid w:val="60D1056A"/>
    <w:rsid w:val="60D60409"/>
    <w:rsid w:val="60EA57BB"/>
    <w:rsid w:val="60F459C0"/>
    <w:rsid w:val="61073070"/>
    <w:rsid w:val="611F2AAF"/>
    <w:rsid w:val="615A292A"/>
    <w:rsid w:val="6171498D"/>
    <w:rsid w:val="61736957"/>
    <w:rsid w:val="61783F6D"/>
    <w:rsid w:val="6181501A"/>
    <w:rsid w:val="61840B64"/>
    <w:rsid w:val="61D1061E"/>
    <w:rsid w:val="61DC62AA"/>
    <w:rsid w:val="61DE0274"/>
    <w:rsid w:val="61EA6C19"/>
    <w:rsid w:val="621C2B4B"/>
    <w:rsid w:val="622F75CB"/>
    <w:rsid w:val="623954AB"/>
    <w:rsid w:val="62397BA1"/>
    <w:rsid w:val="624852D9"/>
    <w:rsid w:val="624B3430"/>
    <w:rsid w:val="625247BE"/>
    <w:rsid w:val="62654D0B"/>
    <w:rsid w:val="62896847"/>
    <w:rsid w:val="62A72D5C"/>
    <w:rsid w:val="62C90F25"/>
    <w:rsid w:val="62C94A79"/>
    <w:rsid w:val="62EF025F"/>
    <w:rsid w:val="6311598D"/>
    <w:rsid w:val="632443AD"/>
    <w:rsid w:val="634467FD"/>
    <w:rsid w:val="63536A40"/>
    <w:rsid w:val="639332E1"/>
    <w:rsid w:val="63A252D2"/>
    <w:rsid w:val="63C31EC1"/>
    <w:rsid w:val="63D556A7"/>
    <w:rsid w:val="63D86307"/>
    <w:rsid w:val="63E53D7E"/>
    <w:rsid w:val="63F0428F"/>
    <w:rsid w:val="63F773CC"/>
    <w:rsid w:val="63F975E8"/>
    <w:rsid w:val="63FC2C34"/>
    <w:rsid w:val="64095351"/>
    <w:rsid w:val="640A6E61"/>
    <w:rsid w:val="641A130C"/>
    <w:rsid w:val="64264155"/>
    <w:rsid w:val="644A1BF1"/>
    <w:rsid w:val="64504D2E"/>
    <w:rsid w:val="64552344"/>
    <w:rsid w:val="64656A2B"/>
    <w:rsid w:val="64721148"/>
    <w:rsid w:val="64746C6E"/>
    <w:rsid w:val="649D4417"/>
    <w:rsid w:val="64AD3F2E"/>
    <w:rsid w:val="64B124D0"/>
    <w:rsid w:val="64B90B25"/>
    <w:rsid w:val="64EE6A20"/>
    <w:rsid w:val="64F16511"/>
    <w:rsid w:val="65085608"/>
    <w:rsid w:val="6511270F"/>
    <w:rsid w:val="653528A1"/>
    <w:rsid w:val="6578278E"/>
    <w:rsid w:val="658C7FE7"/>
    <w:rsid w:val="659F41BF"/>
    <w:rsid w:val="659F5F6D"/>
    <w:rsid w:val="65A0073D"/>
    <w:rsid w:val="65AA07D1"/>
    <w:rsid w:val="65B65064"/>
    <w:rsid w:val="65BF216B"/>
    <w:rsid w:val="65E2648E"/>
    <w:rsid w:val="65F77B57"/>
    <w:rsid w:val="65F86668"/>
    <w:rsid w:val="660D737A"/>
    <w:rsid w:val="663A67DB"/>
    <w:rsid w:val="664B7EA3"/>
    <w:rsid w:val="668F5FE1"/>
    <w:rsid w:val="669205AB"/>
    <w:rsid w:val="6694184A"/>
    <w:rsid w:val="669C5B77"/>
    <w:rsid w:val="66A125DB"/>
    <w:rsid w:val="66BA3FC9"/>
    <w:rsid w:val="66BB6DD6"/>
    <w:rsid w:val="66CA526B"/>
    <w:rsid w:val="670C13E0"/>
    <w:rsid w:val="67121A97"/>
    <w:rsid w:val="675E79C9"/>
    <w:rsid w:val="6773320D"/>
    <w:rsid w:val="67917B37"/>
    <w:rsid w:val="679A69EC"/>
    <w:rsid w:val="67A61834"/>
    <w:rsid w:val="67A755AC"/>
    <w:rsid w:val="67BE7CFD"/>
    <w:rsid w:val="67D35D00"/>
    <w:rsid w:val="67F00D02"/>
    <w:rsid w:val="6807684D"/>
    <w:rsid w:val="680E1188"/>
    <w:rsid w:val="683706DE"/>
    <w:rsid w:val="687436E1"/>
    <w:rsid w:val="68916BE9"/>
    <w:rsid w:val="68993147"/>
    <w:rsid w:val="68994EF5"/>
    <w:rsid w:val="689E69AF"/>
    <w:rsid w:val="68B27D65"/>
    <w:rsid w:val="68E36170"/>
    <w:rsid w:val="68F375F5"/>
    <w:rsid w:val="69131A7D"/>
    <w:rsid w:val="691E3E6B"/>
    <w:rsid w:val="69366BE8"/>
    <w:rsid w:val="693A3776"/>
    <w:rsid w:val="693D5E8F"/>
    <w:rsid w:val="694E694E"/>
    <w:rsid w:val="695B664F"/>
    <w:rsid w:val="69623539"/>
    <w:rsid w:val="696A6892"/>
    <w:rsid w:val="696F3EA8"/>
    <w:rsid w:val="69735746"/>
    <w:rsid w:val="69847953"/>
    <w:rsid w:val="698536CB"/>
    <w:rsid w:val="69C97A5C"/>
    <w:rsid w:val="69FF4345"/>
    <w:rsid w:val="6A0B3BD1"/>
    <w:rsid w:val="6A0D5B9B"/>
    <w:rsid w:val="6A22716C"/>
    <w:rsid w:val="6A266C5C"/>
    <w:rsid w:val="6A2B6021"/>
    <w:rsid w:val="6A372C18"/>
    <w:rsid w:val="6A3C6480"/>
    <w:rsid w:val="6A576E16"/>
    <w:rsid w:val="6A5A6906"/>
    <w:rsid w:val="6A7C687C"/>
    <w:rsid w:val="6A9C0CCD"/>
    <w:rsid w:val="6AA3205B"/>
    <w:rsid w:val="6ABF49BB"/>
    <w:rsid w:val="6AC35A86"/>
    <w:rsid w:val="6AC71C2C"/>
    <w:rsid w:val="6AE01E1B"/>
    <w:rsid w:val="6AE508C6"/>
    <w:rsid w:val="6AF02DC7"/>
    <w:rsid w:val="6B056517"/>
    <w:rsid w:val="6B0F5943"/>
    <w:rsid w:val="6B2111D2"/>
    <w:rsid w:val="6B250CC2"/>
    <w:rsid w:val="6B451364"/>
    <w:rsid w:val="6B4D0219"/>
    <w:rsid w:val="6B4E4D23"/>
    <w:rsid w:val="6B4F3947"/>
    <w:rsid w:val="6B511AB7"/>
    <w:rsid w:val="6B61794E"/>
    <w:rsid w:val="6B633598"/>
    <w:rsid w:val="6B6C4B43"/>
    <w:rsid w:val="6B742A91"/>
    <w:rsid w:val="6B7C465A"/>
    <w:rsid w:val="6B96571C"/>
    <w:rsid w:val="6B9F1107"/>
    <w:rsid w:val="6BB65DBE"/>
    <w:rsid w:val="6BBB33D4"/>
    <w:rsid w:val="6BCC55E2"/>
    <w:rsid w:val="6BE1357B"/>
    <w:rsid w:val="6BEC7A32"/>
    <w:rsid w:val="6C1E5314"/>
    <w:rsid w:val="6C6C46CF"/>
    <w:rsid w:val="6C9205D9"/>
    <w:rsid w:val="6C9E6F7E"/>
    <w:rsid w:val="6CA81BAB"/>
    <w:rsid w:val="6CA976D1"/>
    <w:rsid w:val="6CC12C6C"/>
    <w:rsid w:val="6CD209D6"/>
    <w:rsid w:val="6CDA5ADC"/>
    <w:rsid w:val="6CF90658"/>
    <w:rsid w:val="6CFA7F2C"/>
    <w:rsid w:val="6D0B3EE8"/>
    <w:rsid w:val="6D203E37"/>
    <w:rsid w:val="6D2D296A"/>
    <w:rsid w:val="6D2E205E"/>
    <w:rsid w:val="6D567073"/>
    <w:rsid w:val="6D622450"/>
    <w:rsid w:val="6D716441"/>
    <w:rsid w:val="6D747CDF"/>
    <w:rsid w:val="6D882F0B"/>
    <w:rsid w:val="6D885538"/>
    <w:rsid w:val="6D9263B7"/>
    <w:rsid w:val="6DAD39D9"/>
    <w:rsid w:val="6DB97DE8"/>
    <w:rsid w:val="6DC347C2"/>
    <w:rsid w:val="6DC647FB"/>
    <w:rsid w:val="6DC9002B"/>
    <w:rsid w:val="6DCE3893"/>
    <w:rsid w:val="6DD24183"/>
    <w:rsid w:val="6DDB5ED7"/>
    <w:rsid w:val="6DE94229"/>
    <w:rsid w:val="6E337B9A"/>
    <w:rsid w:val="6E492F1A"/>
    <w:rsid w:val="6E4E22DE"/>
    <w:rsid w:val="6E745711"/>
    <w:rsid w:val="6E752B1D"/>
    <w:rsid w:val="6E753D0F"/>
    <w:rsid w:val="6E7D7067"/>
    <w:rsid w:val="6E9D3265"/>
    <w:rsid w:val="6EA97E5C"/>
    <w:rsid w:val="6EAD79CD"/>
    <w:rsid w:val="6EAF7AC1"/>
    <w:rsid w:val="6EE47C27"/>
    <w:rsid w:val="6EFF182A"/>
    <w:rsid w:val="6F003164"/>
    <w:rsid w:val="6F03131A"/>
    <w:rsid w:val="6F084B83"/>
    <w:rsid w:val="6F0B7294"/>
    <w:rsid w:val="6F0F4163"/>
    <w:rsid w:val="6F23376B"/>
    <w:rsid w:val="6F3239AE"/>
    <w:rsid w:val="6F3516F0"/>
    <w:rsid w:val="6F425889"/>
    <w:rsid w:val="6F4F1391"/>
    <w:rsid w:val="6F526EDE"/>
    <w:rsid w:val="6F541B76"/>
    <w:rsid w:val="6F5C0EDE"/>
    <w:rsid w:val="6F6124E5"/>
    <w:rsid w:val="6F675D4D"/>
    <w:rsid w:val="6F6C2EE8"/>
    <w:rsid w:val="6F8A5598"/>
    <w:rsid w:val="6F8C7562"/>
    <w:rsid w:val="6F9603E0"/>
    <w:rsid w:val="6FCC5BB0"/>
    <w:rsid w:val="6FE3114C"/>
    <w:rsid w:val="6FEC1DAE"/>
    <w:rsid w:val="70111815"/>
    <w:rsid w:val="70205EFC"/>
    <w:rsid w:val="702A0B29"/>
    <w:rsid w:val="702E0619"/>
    <w:rsid w:val="70305275"/>
    <w:rsid w:val="703674CE"/>
    <w:rsid w:val="705E3501"/>
    <w:rsid w:val="708E3A71"/>
    <w:rsid w:val="70A628A5"/>
    <w:rsid w:val="70C1148D"/>
    <w:rsid w:val="70C37742"/>
    <w:rsid w:val="70D0347E"/>
    <w:rsid w:val="70FC7F1F"/>
    <w:rsid w:val="710C3FE4"/>
    <w:rsid w:val="7113780F"/>
    <w:rsid w:val="711D6AEF"/>
    <w:rsid w:val="7121017E"/>
    <w:rsid w:val="712D6B22"/>
    <w:rsid w:val="712E370E"/>
    <w:rsid w:val="713C6D66"/>
    <w:rsid w:val="713F5B44"/>
    <w:rsid w:val="71516E2C"/>
    <w:rsid w:val="71642E04"/>
    <w:rsid w:val="71716953"/>
    <w:rsid w:val="717E737E"/>
    <w:rsid w:val="717F6C52"/>
    <w:rsid w:val="71881426"/>
    <w:rsid w:val="71883D59"/>
    <w:rsid w:val="71932C2E"/>
    <w:rsid w:val="71A1306D"/>
    <w:rsid w:val="71B936E0"/>
    <w:rsid w:val="71BB5EDC"/>
    <w:rsid w:val="71C72AD3"/>
    <w:rsid w:val="72031631"/>
    <w:rsid w:val="720553A9"/>
    <w:rsid w:val="7218332F"/>
    <w:rsid w:val="72275320"/>
    <w:rsid w:val="72275593"/>
    <w:rsid w:val="72395053"/>
    <w:rsid w:val="723D4B43"/>
    <w:rsid w:val="727147ED"/>
    <w:rsid w:val="728704B4"/>
    <w:rsid w:val="72923BB4"/>
    <w:rsid w:val="72A70177"/>
    <w:rsid w:val="72A75159"/>
    <w:rsid w:val="72B376AB"/>
    <w:rsid w:val="72B50B7E"/>
    <w:rsid w:val="72CA214F"/>
    <w:rsid w:val="72D72C38"/>
    <w:rsid w:val="72DD00D4"/>
    <w:rsid w:val="72EB0A43"/>
    <w:rsid w:val="72F316A6"/>
    <w:rsid w:val="72F46A5F"/>
    <w:rsid w:val="72F61B41"/>
    <w:rsid w:val="72FF44EF"/>
    <w:rsid w:val="73006427"/>
    <w:rsid w:val="730520A6"/>
    <w:rsid w:val="730B13FD"/>
    <w:rsid w:val="730B4AB1"/>
    <w:rsid w:val="730E4732"/>
    <w:rsid w:val="731D25EF"/>
    <w:rsid w:val="73283146"/>
    <w:rsid w:val="732A70DC"/>
    <w:rsid w:val="73386E6E"/>
    <w:rsid w:val="734458D4"/>
    <w:rsid w:val="73595916"/>
    <w:rsid w:val="738B18DE"/>
    <w:rsid w:val="73BC4896"/>
    <w:rsid w:val="73BC5F3C"/>
    <w:rsid w:val="73C82B32"/>
    <w:rsid w:val="73D72D76"/>
    <w:rsid w:val="73DF13EF"/>
    <w:rsid w:val="73ED201C"/>
    <w:rsid w:val="73ED2AB0"/>
    <w:rsid w:val="73F120BF"/>
    <w:rsid w:val="74105AC2"/>
    <w:rsid w:val="742C4E6F"/>
    <w:rsid w:val="743326A2"/>
    <w:rsid w:val="744C6E54"/>
    <w:rsid w:val="7453787F"/>
    <w:rsid w:val="745E5245"/>
    <w:rsid w:val="74793E2D"/>
    <w:rsid w:val="74886692"/>
    <w:rsid w:val="74AA2238"/>
    <w:rsid w:val="74B15375"/>
    <w:rsid w:val="74B310ED"/>
    <w:rsid w:val="74B46C3F"/>
    <w:rsid w:val="74CE23CA"/>
    <w:rsid w:val="74D84FF7"/>
    <w:rsid w:val="74D86DA5"/>
    <w:rsid w:val="74E039E8"/>
    <w:rsid w:val="74FD4A5E"/>
    <w:rsid w:val="751D1132"/>
    <w:rsid w:val="7548217D"/>
    <w:rsid w:val="755E374E"/>
    <w:rsid w:val="757B7164"/>
    <w:rsid w:val="759A04FF"/>
    <w:rsid w:val="75D27C98"/>
    <w:rsid w:val="7608190C"/>
    <w:rsid w:val="76171B4F"/>
    <w:rsid w:val="7621652A"/>
    <w:rsid w:val="764A2688"/>
    <w:rsid w:val="76516E0F"/>
    <w:rsid w:val="765B7C8E"/>
    <w:rsid w:val="765E152C"/>
    <w:rsid w:val="766A1C7F"/>
    <w:rsid w:val="766E5C13"/>
    <w:rsid w:val="76911902"/>
    <w:rsid w:val="769136B0"/>
    <w:rsid w:val="76952B0B"/>
    <w:rsid w:val="76982C90"/>
    <w:rsid w:val="76AA4771"/>
    <w:rsid w:val="76BD44A5"/>
    <w:rsid w:val="76C03F95"/>
    <w:rsid w:val="76C45833"/>
    <w:rsid w:val="76F113CF"/>
    <w:rsid w:val="76FA74A7"/>
    <w:rsid w:val="77166977"/>
    <w:rsid w:val="771B741D"/>
    <w:rsid w:val="776B3F01"/>
    <w:rsid w:val="77764653"/>
    <w:rsid w:val="77EB5041"/>
    <w:rsid w:val="782D178F"/>
    <w:rsid w:val="784A7FBA"/>
    <w:rsid w:val="784F79FB"/>
    <w:rsid w:val="78715547"/>
    <w:rsid w:val="7875156C"/>
    <w:rsid w:val="7879089F"/>
    <w:rsid w:val="787A407F"/>
    <w:rsid w:val="789B6A68"/>
    <w:rsid w:val="78A21BA4"/>
    <w:rsid w:val="78CF4963"/>
    <w:rsid w:val="78E81581"/>
    <w:rsid w:val="78FA19E0"/>
    <w:rsid w:val="790276F6"/>
    <w:rsid w:val="790A7749"/>
    <w:rsid w:val="790F4D60"/>
    <w:rsid w:val="79112886"/>
    <w:rsid w:val="79425EA8"/>
    <w:rsid w:val="79570BE0"/>
    <w:rsid w:val="796909E3"/>
    <w:rsid w:val="79AD0119"/>
    <w:rsid w:val="79AE6327"/>
    <w:rsid w:val="79BA4CCB"/>
    <w:rsid w:val="79C33CF6"/>
    <w:rsid w:val="79D815F5"/>
    <w:rsid w:val="79FD2E0A"/>
    <w:rsid w:val="79FE105C"/>
    <w:rsid w:val="7A170370"/>
    <w:rsid w:val="7A335039"/>
    <w:rsid w:val="7A392094"/>
    <w:rsid w:val="7A3F014C"/>
    <w:rsid w:val="7A460C55"/>
    <w:rsid w:val="7A546ECE"/>
    <w:rsid w:val="7A6A66F1"/>
    <w:rsid w:val="7A6D61E2"/>
    <w:rsid w:val="7A793F42"/>
    <w:rsid w:val="7A796935"/>
    <w:rsid w:val="7A7B26AD"/>
    <w:rsid w:val="7A996FD7"/>
    <w:rsid w:val="7AA15E52"/>
    <w:rsid w:val="7AAC0AB8"/>
    <w:rsid w:val="7AAD65DE"/>
    <w:rsid w:val="7AB45BBF"/>
    <w:rsid w:val="7AC1208A"/>
    <w:rsid w:val="7AD7365B"/>
    <w:rsid w:val="7ADE0E8D"/>
    <w:rsid w:val="7AFD47AA"/>
    <w:rsid w:val="7B073DB8"/>
    <w:rsid w:val="7B162800"/>
    <w:rsid w:val="7B2865DE"/>
    <w:rsid w:val="7B2E5971"/>
    <w:rsid w:val="7B454A69"/>
    <w:rsid w:val="7B4A207F"/>
    <w:rsid w:val="7B6D4ACB"/>
    <w:rsid w:val="7B786BEC"/>
    <w:rsid w:val="7BCC54AA"/>
    <w:rsid w:val="7BF30969"/>
    <w:rsid w:val="7C093CE8"/>
    <w:rsid w:val="7C183F2B"/>
    <w:rsid w:val="7C1F4C21"/>
    <w:rsid w:val="7C4D0079"/>
    <w:rsid w:val="7C4D1608"/>
    <w:rsid w:val="7C635AEE"/>
    <w:rsid w:val="7C6A0C2B"/>
    <w:rsid w:val="7C703D67"/>
    <w:rsid w:val="7C961A20"/>
    <w:rsid w:val="7CA67789"/>
    <w:rsid w:val="7CAB4D9F"/>
    <w:rsid w:val="7CAC1243"/>
    <w:rsid w:val="7CC06A9D"/>
    <w:rsid w:val="7CE34539"/>
    <w:rsid w:val="7CF14EA8"/>
    <w:rsid w:val="7CFE5817"/>
    <w:rsid w:val="7D140B97"/>
    <w:rsid w:val="7D1B3CD3"/>
    <w:rsid w:val="7D5471E5"/>
    <w:rsid w:val="7D831878"/>
    <w:rsid w:val="7D871368"/>
    <w:rsid w:val="7D9E6D9C"/>
    <w:rsid w:val="7DC66335"/>
    <w:rsid w:val="7DD02D0F"/>
    <w:rsid w:val="7DD757F5"/>
    <w:rsid w:val="7DDB16B4"/>
    <w:rsid w:val="7DEF6F7A"/>
    <w:rsid w:val="7DF94E6A"/>
    <w:rsid w:val="7DFE050B"/>
    <w:rsid w:val="7E142CC9"/>
    <w:rsid w:val="7E2E3EDA"/>
    <w:rsid w:val="7E2E6078"/>
    <w:rsid w:val="7E3D5ECB"/>
    <w:rsid w:val="7E4159BB"/>
    <w:rsid w:val="7E857B4C"/>
    <w:rsid w:val="7E8A7362"/>
    <w:rsid w:val="7E8C79AE"/>
    <w:rsid w:val="7E9F14AB"/>
    <w:rsid w:val="7EAD12A3"/>
    <w:rsid w:val="7EB62349"/>
    <w:rsid w:val="7EC9775F"/>
    <w:rsid w:val="7ECB1729"/>
    <w:rsid w:val="7EEF5417"/>
    <w:rsid w:val="7F0F7867"/>
    <w:rsid w:val="7F167253"/>
    <w:rsid w:val="7F2350C1"/>
    <w:rsid w:val="7F2A28F3"/>
    <w:rsid w:val="7F344AAC"/>
    <w:rsid w:val="7F422FA1"/>
    <w:rsid w:val="7F5227E9"/>
    <w:rsid w:val="7F590AE3"/>
    <w:rsid w:val="7F6851CA"/>
    <w:rsid w:val="7F69341C"/>
    <w:rsid w:val="7F7B6CAB"/>
    <w:rsid w:val="7F7C5BBA"/>
    <w:rsid w:val="7F8C2C66"/>
    <w:rsid w:val="7FAA7590"/>
    <w:rsid w:val="7FB977D3"/>
    <w:rsid w:val="7FC00A55"/>
    <w:rsid w:val="7FC5261C"/>
    <w:rsid w:val="7FC543CA"/>
    <w:rsid w:val="7FC71EF0"/>
    <w:rsid w:val="7FD14B1D"/>
    <w:rsid w:val="7FD50D77"/>
    <w:rsid w:val="7FD840FD"/>
    <w:rsid w:val="7FDB599C"/>
    <w:rsid w:val="7FF50EE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ascii="Calibri" w:hAnsi="Calibri" w:eastAsia="楷体" w:cs="Arial"/>
      <w:kern w:val="2"/>
      <w:sz w:val="24"/>
      <w:szCs w:val="24"/>
      <w:lang w:val="en-US" w:eastAsia="zh-CN" w:bidi="ar-SA"/>
    </w:rPr>
  </w:style>
  <w:style w:type="paragraph" w:styleId="2">
    <w:name w:val="heading 1"/>
    <w:basedOn w:val="1"/>
    <w:next w:val="3"/>
    <w:link w:val="60"/>
    <w:autoRedefine/>
    <w:qFormat/>
    <w:uiPriority w:val="0"/>
    <w:pPr>
      <w:keepNext/>
      <w:keepLines/>
      <w:widowControl w:val="0"/>
      <w:numPr>
        <w:ilvl w:val="0"/>
        <w:numId w:val="1"/>
      </w:numPr>
      <w:spacing w:before="340" w:after="330" w:line="576" w:lineRule="auto"/>
      <w:ind w:left="0" w:firstLine="0" w:firstLineChars="0"/>
      <w:jc w:val="center"/>
      <w:outlineLvl w:val="0"/>
    </w:pPr>
    <w:rPr>
      <w:b/>
      <w:kern w:val="44"/>
      <w:sz w:val="44"/>
    </w:rPr>
  </w:style>
  <w:style w:type="paragraph" w:styleId="4">
    <w:name w:val="heading 2"/>
    <w:basedOn w:val="1"/>
    <w:next w:val="3"/>
    <w:autoRedefine/>
    <w:qFormat/>
    <w:uiPriority w:val="0"/>
    <w:pPr>
      <w:keepNext/>
      <w:keepLines/>
      <w:widowControl w:val="0"/>
      <w:numPr>
        <w:ilvl w:val="1"/>
        <w:numId w:val="2"/>
      </w:numPr>
      <w:spacing w:before="260" w:after="260" w:line="413" w:lineRule="auto"/>
      <w:ind w:left="0" w:firstLine="0" w:firstLineChars="0"/>
      <w:jc w:val="left"/>
      <w:outlineLvl w:val="1"/>
    </w:pPr>
    <w:rPr>
      <w:rFonts w:ascii="Arial" w:hAnsi="Arial"/>
      <w:b/>
      <w:sz w:val="28"/>
    </w:rPr>
  </w:style>
  <w:style w:type="paragraph" w:styleId="5">
    <w:name w:val="heading 3"/>
    <w:basedOn w:val="1"/>
    <w:next w:val="3"/>
    <w:autoRedefine/>
    <w:qFormat/>
    <w:uiPriority w:val="0"/>
    <w:pPr>
      <w:keepNext/>
      <w:keepLines/>
      <w:widowControl w:val="0"/>
      <w:numPr>
        <w:ilvl w:val="2"/>
        <w:numId w:val="3"/>
      </w:numPr>
      <w:spacing w:before="260" w:after="260" w:line="413" w:lineRule="auto"/>
      <w:ind w:firstLineChars="0"/>
      <w:outlineLvl w:val="2"/>
    </w:pPr>
    <w:rPr>
      <w:b/>
      <w:sz w:val="32"/>
    </w:rPr>
  </w:style>
  <w:style w:type="paragraph" w:styleId="6">
    <w:name w:val="heading 4"/>
    <w:basedOn w:val="1"/>
    <w:next w:val="1"/>
    <w:autoRedefine/>
    <w:qFormat/>
    <w:uiPriority w:val="0"/>
    <w:pPr>
      <w:keepNext/>
      <w:keepLines/>
      <w:widowControl w:val="0"/>
      <w:numPr>
        <w:ilvl w:val="3"/>
        <w:numId w:val="3"/>
      </w:numPr>
      <w:spacing w:before="280" w:after="290" w:line="372" w:lineRule="auto"/>
      <w:ind w:left="864" w:firstLine="0" w:firstLineChars="0"/>
      <w:outlineLvl w:val="3"/>
    </w:pPr>
    <w:rPr>
      <w:rFonts w:ascii="Arial" w:hAnsi="Arial" w:eastAsia="黑体"/>
      <w:b/>
      <w:sz w:val="28"/>
    </w:rPr>
  </w:style>
  <w:style w:type="paragraph" w:styleId="7">
    <w:name w:val="heading 5"/>
    <w:basedOn w:val="1"/>
    <w:next w:val="1"/>
    <w:autoRedefine/>
    <w:qFormat/>
    <w:uiPriority w:val="0"/>
    <w:pPr>
      <w:keepNext/>
      <w:keepLines/>
      <w:widowControl w:val="0"/>
      <w:numPr>
        <w:ilvl w:val="4"/>
        <w:numId w:val="3"/>
      </w:numPr>
      <w:spacing w:before="280" w:after="290" w:line="372" w:lineRule="auto"/>
      <w:ind w:firstLineChars="0"/>
      <w:outlineLvl w:val="4"/>
    </w:pPr>
    <w:rPr>
      <w:b/>
      <w:sz w:val="28"/>
    </w:rPr>
  </w:style>
  <w:style w:type="paragraph" w:styleId="8">
    <w:name w:val="heading 6"/>
    <w:basedOn w:val="1"/>
    <w:next w:val="1"/>
    <w:autoRedefine/>
    <w:qFormat/>
    <w:uiPriority w:val="0"/>
    <w:pPr>
      <w:keepNext/>
      <w:keepLines/>
      <w:widowControl w:val="0"/>
      <w:numPr>
        <w:ilvl w:val="5"/>
        <w:numId w:val="3"/>
      </w:numPr>
      <w:spacing w:before="240" w:after="64" w:line="317" w:lineRule="auto"/>
      <w:ind w:firstLineChars="0"/>
      <w:outlineLvl w:val="5"/>
    </w:pPr>
    <w:rPr>
      <w:rFonts w:ascii="Arial" w:hAnsi="Arial" w:eastAsia="黑体"/>
      <w:b/>
    </w:rPr>
  </w:style>
  <w:style w:type="paragraph" w:styleId="9">
    <w:name w:val="heading 7"/>
    <w:basedOn w:val="1"/>
    <w:next w:val="1"/>
    <w:autoRedefine/>
    <w:qFormat/>
    <w:uiPriority w:val="0"/>
    <w:pPr>
      <w:keepNext/>
      <w:keepLines/>
      <w:widowControl w:val="0"/>
      <w:numPr>
        <w:ilvl w:val="6"/>
        <w:numId w:val="3"/>
      </w:numPr>
      <w:spacing w:before="240" w:after="64" w:line="317" w:lineRule="auto"/>
      <w:ind w:firstLineChars="0"/>
      <w:outlineLvl w:val="6"/>
    </w:pPr>
    <w:rPr>
      <w:b/>
    </w:rPr>
  </w:style>
  <w:style w:type="paragraph" w:styleId="10">
    <w:name w:val="heading 8"/>
    <w:basedOn w:val="1"/>
    <w:next w:val="1"/>
    <w:autoRedefine/>
    <w:qFormat/>
    <w:uiPriority w:val="0"/>
    <w:pPr>
      <w:keepNext/>
      <w:keepLines/>
      <w:widowControl w:val="0"/>
      <w:numPr>
        <w:ilvl w:val="7"/>
        <w:numId w:val="3"/>
      </w:numPr>
      <w:spacing w:before="240" w:after="64" w:line="317" w:lineRule="auto"/>
      <w:ind w:firstLineChars="0"/>
      <w:outlineLvl w:val="7"/>
    </w:pPr>
    <w:rPr>
      <w:rFonts w:ascii="Arial" w:hAnsi="Arial" w:eastAsia="黑体"/>
    </w:rPr>
  </w:style>
  <w:style w:type="paragraph" w:styleId="11">
    <w:name w:val="heading 9"/>
    <w:basedOn w:val="1"/>
    <w:next w:val="1"/>
    <w:autoRedefine/>
    <w:qFormat/>
    <w:uiPriority w:val="0"/>
    <w:pPr>
      <w:keepNext/>
      <w:keepLines/>
      <w:widowControl w:val="0"/>
      <w:numPr>
        <w:ilvl w:val="8"/>
        <w:numId w:val="3"/>
      </w:numPr>
      <w:spacing w:before="240" w:after="64" w:line="317" w:lineRule="auto"/>
      <w:ind w:firstLineChars="0"/>
      <w:outlineLvl w:val="8"/>
    </w:pPr>
    <w:rPr>
      <w:rFonts w:ascii="Arial" w:hAnsi="Arial" w:eastAsia="黑体"/>
      <w:sz w:val="21"/>
    </w:rPr>
  </w:style>
  <w:style w:type="character" w:default="1" w:styleId="48">
    <w:name w:val="Default Paragraph Font"/>
    <w:autoRedefine/>
    <w:qFormat/>
    <w:uiPriority w:val="0"/>
  </w:style>
  <w:style w:type="table" w:default="1" w:styleId="46">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1"/>
    <w:autoRedefine/>
    <w:qFormat/>
    <w:uiPriority w:val="0"/>
  </w:style>
  <w:style w:type="paragraph" w:styleId="12">
    <w:name w:val="toc 7"/>
    <w:basedOn w:val="1"/>
    <w:next w:val="1"/>
    <w:autoRedefine/>
    <w:qFormat/>
    <w:uiPriority w:val="0"/>
    <w:pPr>
      <w:spacing w:line="240" w:lineRule="auto"/>
      <w:ind w:left="1200" w:leftChars="1200" w:firstLine="0" w:firstLineChars="0"/>
    </w:pPr>
    <w:rPr>
      <w:rFonts w:ascii="Calibri" w:hAnsi="Calibri" w:eastAsia="宋体" w:cs="Times New Roman"/>
      <w:sz w:val="21"/>
      <w:szCs w:val="22"/>
    </w:rPr>
  </w:style>
  <w:style w:type="paragraph" w:styleId="13">
    <w:name w:val="caption"/>
    <w:basedOn w:val="1"/>
    <w:next w:val="1"/>
    <w:autoRedefine/>
    <w:qFormat/>
    <w:uiPriority w:val="0"/>
    <w:pPr>
      <w:spacing w:before="50" w:beforeLines="50" w:after="50" w:afterLines="50"/>
      <w:ind w:firstLine="0" w:firstLineChars="0"/>
      <w:jc w:val="center"/>
    </w:pPr>
    <w:rPr>
      <w:rFonts w:ascii="Cambria" w:hAnsi="Cambria" w:eastAsia="黑体" w:cs="Times New Roman"/>
      <w:szCs w:val="20"/>
    </w:rPr>
  </w:style>
  <w:style w:type="paragraph" w:styleId="14">
    <w:name w:val="Document Map"/>
    <w:basedOn w:val="1"/>
    <w:autoRedefine/>
    <w:qFormat/>
    <w:uiPriority w:val="0"/>
    <w:pPr>
      <w:shd w:val="clear" w:color="auto" w:fill="000080"/>
      <w:spacing w:line="240" w:lineRule="auto"/>
      <w:ind w:firstLine="0" w:firstLineChars="0"/>
    </w:pPr>
    <w:rPr>
      <w:rFonts w:ascii="Times New Roman" w:hAnsi="Times New Roman" w:eastAsia="宋体" w:cs="Times New Roman"/>
      <w:sz w:val="21"/>
    </w:rPr>
  </w:style>
  <w:style w:type="paragraph" w:styleId="15">
    <w:name w:val="annotation text"/>
    <w:basedOn w:val="1"/>
    <w:autoRedefine/>
    <w:qFormat/>
    <w:uiPriority w:val="0"/>
    <w:pPr>
      <w:adjustRightInd w:val="0"/>
      <w:spacing w:line="360" w:lineRule="atLeast"/>
      <w:ind w:firstLine="0" w:firstLineChars="0"/>
      <w:jc w:val="left"/>
    </w:pPr>
    <w:rPr>
      <w:rFonts w:ascii="Times New Roman" w:hAnsi="Times New Roman" w:eastAsia="宋体" w:cs="Times New Roman"/>
      <w:kern w:val="0"/>
      <w:szCs w:val="20"/>
    </w:rPr>
  </w:style>
  <w:style w:type="paragraph" w:styleId="16">
    <w:name w:val="Body Text 3"/>
    <w:basedOn w:val="1"/>
    <w:autoRedefine/>
    <w:qFormat/>
    <w:uiPriority w:val="0"/>
    <w:pPr>
      <w:widowControl/>
      <w:spacing w:after="120" w:line="240" w:lineRule="auto"/>
      <w:ind w:firstLine="0" w:firstLineChars="0"/>
      <w:jc w:val="left"/>
    </w:pPr>
    <w:rPr>
      <w:rFonts w:ascii="Times New Roman" w:hAnsi="Times New Roman" w:eastAsia="宋体" w:cs="Times New Roman"/>
      <w:kern w:val="0"/>
      <w:sz w:val="16"/>
      <w:szCs w:val="16"/>
    </w:rPr>
  </w:style>
  <w:style w:type="paragraph" w:styleId="17">
    <w:name w:val="Body Text"/>
    <w:basedOn w:val="1"/>
    <w:autoRedefine/>
    <w:qFormat/>
    <w:uiPriority w:val="0"/>
    <w:pPr>
      <w:jc w:val="left"/>
    </w:pPr>
    <w:rPr>
      <w:rFonts w:ascii="Copperplate Gothic Bold" w:hAnsi="Copperplate Gothic Bold"/>
      <w:sz w:val="28"/>
    </w:rPr>
  </w:style>
  <w:style w:type="paragraph" w:styleId="18">
    <w:name w:val="Body Text Indent"/>
    <w:basedOn w:val="1"/>
    <w:autoRedefine/>
    <w:qFormat/>
    <w:uiPriority w:val="0"/>
    <w:pPr>
      <w:spacing w:after="120"/>
      <w:ind w:left="200" w:leftChars="200"/>
    </w:pPr>
  </w:style>
  <w:style w:type="paragraph" w:styleId="19">
    <w:name w:val="List 2"/>
    <w:basedOn w:val="1"/>
    <w:autoRedefine/>
    <w:qFormat/>
    <w:uiPriority w:val="0"/>
    <w:pPr>
      <w:spacing w:line="240" w:lineRule="auto"/>
      <w:ind w:left="400" w:leftChars="200" w:hanging="200" w:hangingChars="200"/>
    </w:pPr>
    <w:rPr>
      <w:rFonts w:ascii="Times New Roman" w:hAnsi="Times New Roman" w:eastAsia="宋体" w:cs="Times New Roman"/>
      <w:sz w:val="21"/>
    </w:rPr>
  </w:style>
  <w:style w:type="paragraph" w:styleId="20">
    <w:name w:val="Block Text"/>
    <w:basedOn w:val="1"/>
    <w:autoRedefine/>
    <w:qFormat/>
    <w:uiPriority w:val="0"/>
    <w:pPr>
      <w:adjustRightInd w:val="0"/>
      <w:spacing w:line="240" w:lineRule="auto"/>
      <w:ind w:left="420" w:right="33" w:firstLine="0" w:firstLineChars="0"/>
      <w:jc w:val="left"/>
    </w:pPr>
    <w:rPr>
      <w:rFonts w:ascii="Times New Roman" w:hAnsi="Times New Roman" w:eastAsia="宋体" w:cs="Times New Roman"/>
      <w:kern w:val="0"/>
      <w:szCs w:val="20"/>
    </w:rPr>
  </w:style>
  <w:style w:type="paragraph" w:styleId="21">
    <w:name w:val="index 4"/>
    <w:basedOn w:val="1"/>
    <w:next w:val="1"/>
    <w:autoRedefine/>
    <w:qFormat/>
    <w:uiPriority w:val="0"/>
    <w:pPr>
      <w:spacing w:line="240" w:lineRule="auto"/>
      <w:ind w:left="600" w:leftChars="600" w:firstLine="0" w:firstLineChars="0"/>
    </w:pPr>
    <w:rPr>
      <w:rFonts w:ascii="Times New Roman" w:hAnsi="Times New Roman" w:eastAsia="宋体" w:cs="Times New Roman"/>
      <w:sz w:val="21"/>
    </w:rPr>
  </w:style>
  <w:style w:type="paragraph" w:styleId="22">
    <w:name w:val="toc 5"/>
    <w:basedOn w:val="1"/>
    <w:next w:val="1"/>
    <w:autoRedefine/>
    <w:qFormat/>
    <w:uiPriority w:val="0"/>
    <w:pPr>
      <w:tabs>
        <w:tab w:val="right" w:leader="dot" w:pos="8296"/>
      </w:tabs>
      <w:spacing w:line="240" w:lineRule="auto"/>
      <w:ind w:left="500" w:leftChars="500" w:firstLine="0" w:firstLineChars="0"/>
    </w:pPr>
    <w:rPr>
      <w:rFonts w:ascii="Calibri" w:hAnsi="Calibri" w:eastAsia="宋体" w:cs="Times New Roman"/>
      <w:sz w:val="21"/>
      <w:szCs w:val="22"/>
    </w:rPr>
  </w:style>
  <w:style w:type="paragraph" w:styleId="23">
    <w:name w:val="toc 3"/>
    <w:basedOn w:val="1"/>
    <w:next w:val="1"/>
    <w:autoRedefine/>
    <w:qFormat/>
    <w:uiPriority w:val="0"/>
    <w:pPr>
      <w:spacing w:line="240" w:lineRule="auto"/>
      <w:ind w:left="400" w:leftChars="400" w:firstLine="0" w:firstLineChars="0"/>
    </w:pPr>
    <w:rPr>
      <w:rFonts w:ascii="Times New Roman" w:hAnsi="Times New Roman" w:eastAsia="宋体" w:cs="Times New Roman"/>
      <w:sz w:val="21"/>
    </w:rPr>
  </w:style>
  <w:style w:type="paragraph" w:styleId="24">
    <w:name w:val="Plain Text"/>
    <w:basedOn w:val="1"/>
    <w:autoRedefine/>
    <w:qFormat/>
    <w:uiPriority w:val="0"/>
    <w:rPr>
      <w:rFonts w:ascii="宋体" w:hAnsi="宋体"/>
      <w:szCs w:val="21"/>
    </w:rPr>
  </w:style>
  <w:style w:type="paragraph" w:styleId="25">
    <w:name w:val="toc 8"/>
    <w:basedOn w:val="1"/>
    <w:next w:val="1"/>
    <w:autoRedefine/>
    <w:qFormat/>
    <w:uiPriority w:val="0"/>
    <w:pPr>
      <w:spacing w:line="240" w:lineRule="auto"/>
      <w:ind w:left="1400" w:leftChars="1400" w:firstLine="0" w:firstLineChars="0"/>
    </w:pPr>
    <w:rPr>
      <w:rFonts w:ascii="Calibri" w:hAnsi="Calibri" w:eastAsia="宋体" w:cs="Times New Roman"/>
      <w:sz w:val="21"/>
      <w:szCs w:val="22"/>
    </w:rPr>
  </w:style>
  <w:style w:type="paragraph" w:styleId="26">
    <w:name w:val="Date"/>
    <w:basedOn w:val="1"/>
    <w:next w:val="1"/>
    <w:autoRedefine/>
    <w:qFormat/>
    <w:uiPriority w:val="0"/>
    <w:pPr>
      <w:spacing w:line="240" w:lineRule="auto"/>
      <w:ind w:left="2500" w:leftChars="2500" w:firstLine="0" w:firstLineChars="0"/>
    </w:pPr>
    <w:rPr>
      <w:rFonts w:ascii="Times New Roman" w:hAnsi="Times New Roman" w:eastAsia="宋体" w:cs="Times New Roman"/>
      <w:sz w:val="21"/>
    </w:rPr>
  </w:style>
  <w:style w:type="paragraph" w:styleId="27">
    <w:name w:val="Body Text Indent 2"/>
    <w:basedOn w:val="1"/>
    <w:autoRedefine/>
    <w:qFormat/>
    <w:uiPriority w:val="0"/>
    <w:pPr>
      <w:spacing w:after="120" w:line="480" w:lineRule="auto"/>
      <w:ind w:left="200" w:leftChars="200"/>
    </w:pPr>
  </w:style>
  <w:style w:type="paragraph" w:styleId="28">
    <w:name w:val="Balloon Text"/>
    <w:basedOn w:val="1"/>
    <w:autoRedefine/>
    <w:qFormat/>
    <w:uiPriority w:val="0"/>
    <w:pPr>
      <w:spacing w:line="240" w:lineRule="auto"/>
    </w:pPr>
    <w:rPr>
      <w:sz w:val="18"/>
      <w:szCs w:val="18"/>
    </w:rPr>
  </w:style>
  <w:style w:type="paragraph" w:styleId="29">
    <w:name w:val="footer"/>
    <w:basedOn w:val="1"/>
    <w:autoRedefine/>
    <w:qFormat/>
    <w:uiPriority w:val="0"/>
    <w:pPr>
      <w:tabs>
        <w:tab w:val="center" w:pos="4153"/>
        <w:tab w:val="right" w:pos="8306"/>
      </w:tabs>
      <w:snapToGrid w:val="0"/>
      <w:jc w:val="left"/>
    </w:pPr>
    <w:rPr>
      <w:sz w:val="18"/>
    </w:rPr>
  </w:style>
  <w:style w:type="paragraph" w:styleId="30">
    <w:name w:val="header"/>
    <w:basedOn w:val="1"/>
    <w:autoRedefine/>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spacing w:line="240" w:lineRule="auto"/>
    </w:pPr>
    <w:rPr>
      <w:sz w:val="18"/>
    </w:rPr>
  </w:style>
  <w:style w:type="paragraph" w:styleId="31">
    <w:name w:val="toc 1"/>
    <w:basedOn w:val="1"/>
    <w:next w:val="1"/>
    <w:autoRedefine/>
    <w:qFormat/>
    <w:uiPriority w:val="0"/>
    <w:pPr>
      <w:tabs>
        <w:tab w:val="right" w:leader="dot" w:pos="9060"/>
      </w:tabs>
      <w:spacing w:line="720" w:lineRule="auto"/>
      <w:ind w:firstLine="0" w:firstLineChars="0"/>
    </w:pPr>
    <w:rPr>
      <w:rFonts w:ascii="Times New Roman" w:hAnsi="Times New Roman" w:eastAsia="宋体" w:cs="Times New Roman"/>
      <w:sz w:val="21"/>
    </w:rPr>
  </w:style>
  <w:style w:type="paragraph" w:styleId="32">
    <w:name w:val="toc 4"/>
    <w:basedOn w:val="1"/>
    <w:next w:val="1"/>
    <w:autoRedefine/>
    <w:qFormat/>
    <w:uiPriority w:val="0"/>
    <w:pPr>
      <w:tabs>
        <w:tab w:val="left" w:pos="1890"/>
        <w:tab w:val="right" w:leader="dot" w:pos="8296"/>
      </w:tabs>
      <w:spacing w:line="240" w:lineRule="auto"/>
      <w:ind w:left="300" w:leftChars="300" w:firstLine="0" w:firstLineChars="0"/>
    </w:pPr>
    <w:rPr>
      <w:rFonts w:ascii="Calibri" w:hAnsi="Calibri" w:eastAsia="宋体" w:cs="Times New Roman"/>
      <w:sz w:val="21"/>
      <w:szCs w:val="22"/>
    </w:rPr>
  </w:style>
  <w:style w:type="paragraph" w:styleId="33">
    <w:name w:val="Subtitle"/>
    <w:basedOn w:val="1"/>
    <w:next w:val="1"/>
    <w:autoRedefine/>
    <w:qFormat/>
    <w:uiPriority w:val="0"/>
    <w:pPr>
      <w:spacing w:before="240" w:after="60" w:line="312" w:lineRule="auto"/>
      <w:ind w:firstLine="0" w:firstLineChars="0"/>
      <w:jc w:val="center"/>
      <w:outlineLvl w:val="1"/>
    </w:pPr>
    <w:rPr>
      <w:rFonts w:ascii="Cambria" w:hAnsi="Cambria" w:eastAsia="宋体" w:cs="Times New Roman"/>
      <w:b/>
      <w:bCs/>
      <w:kern w:val="28"/>
      <w:sz w:val="32"/>
      <w:szCs w:val="32"/>
    </w:rPr>
  </w:style>
  <w:style w:type="paragraph" w:styleId="34">
    <w:name w:val="footnote text"/>
    <w:basedOn w:val="1"/>
    <w:autoRedefine/>
    <w:qFormat/>
    <w:uiPriority w:val="0"/>
    <w:pPr>
      <w:snapToGrid w:val="0"/>
      <w:spacing w:line="240" w:lineRule="auto"/>
      <w:ind w:firstLine="0" w:firstLineChars="0"/>
      <w:jc w:val="left"/>
    </w:pPr>
    <w:rPr>
      <w:rFonts w:ascii="Calibri" w:hAnsi="Calibri" w:eastAsia="宋体"/>
      <w:kern w:val="0"/>
      <w:sz w:val="18"/>
      <w:szCs w:val="18"/>
    </w:rPr>
  </w:style>
  <w:style w:type="paragraph" w:styleId="35">
    <w:name w:val="toc 6"/>
    <w:basedOn w:val="1"/>
    <w:next w:val="1"/>
    <w:autoRedefine/>
    <w:qFormat/>
    <w:uiPriority w:val="0"/>
    <w:pPr>
      <w:spacing w:line="240" w:lineRule="auto"/>
      <w:ind w:left="1000" w:leftChars="1000" w:firstLine="0" w:firstLineChars="0"/>
    </w:pPr>
    <w:rPr>
      <w:rFonts w:ascii="Calibri" w:hAnsi="Calibri" w:eastAsia="宋体" w:cs="Times New Roman"/>
      <w:sz w:val="21"/>
      <w:szCs w:val="22"/>
    </w:rPr>
  </w:style>
  <w:style w:type="paragraph" w:styleId="36">
    <w:name w:val="Body Text Indent 3"/>
    <w:basedOn w:val="1"/>
    <w:autoRedefine/>
    <w:qFormat/>
    <w:uiPriority w:val="0"/>
    <w:pPr>
      <w:adjustRightInd w:val="0"/>
      <w:snapToGrid w:val="0"/>
    </w:pPr>
    <w:rPr>
      <w:rFonts w:ascii="黑体" w:eastAsia="黑体" w:cs="Times New Roman"/>
      <w:sz w:val="30"/>
      <w:szCs w:val="28"/>
    </w:rPr>
  </w:style>
  <w:style w:type="paragraph" w:styleId="37">
    <w:name w:val="table of figures"/>
    <w:basedOn w:val="1"/>
    <w:next w:val="1"/>
    <w:autoRedefine/>
    <w:qFormat/>
    <w:uiPriority w:val="0"/>
    <w:pPr>
      <w:spacing w:line="240" w:lineRule="auto"/>
      <w:ind w:left="400" w:leftChars="200" w:hanging="200" w:hangingChars="200"/>
    </w:pPr>
    <w:rPr>
      <w:rFonts w:ascii="Calibri" w:hAnsi="Calibri" w:eastAsia="宋体" w:cs="Times New Roman"/>
      <w:sz w:val="21"/>
      <w:szCs w:val="22"/>
    </w:rPr>
  </w:style>
  <w:style w:type="paragraph" w:styleId="38">
    <w:name w:val="toc 2"/>
    <w:basedOn w:val="1"/>
    <w:next w:val="1"/>
    <w:autoRedefine/>
    <w:qFormat/>
    <w:uiPriority w:val="0"/>
    <w:pPr>
      <w:spacing w:line="240" w:lineRule="auto"/>
      <w:ind w:left="200" w:leftChars="200" w:firstLine="0" w:firstLineChars="0"/>
    </w:pPr>
    <w:rPr>
      <w:rFonts w:ascii="Times New Roman" w:hAnsi="Times New Roman" w:eastAsia="宋体" w:cs="Times New Roman"/>
      <w:sz w:val="21"/>
    </w:rPr>
  </w:style>
  <w:style w:type="paragraph" w:styleId="39">
    <w:name w:val="toc 9"/>
    <w:basedOn w:val="1"/>
    <w:next w:val="1"/>
    <w:autoRedefine/>
    <w:qFormat/>
    <w:uiPriority w:val="0"/>
    <w:pPr>
      <w:spacing w:line="240" w:lineRule="auto"/>
      <w:ind w:left="1600" w:leftChars="1600" w:firstLine="0" w:firstLineChars="0"/>
    </w:pPr>
    <w:rPr>
      <w:rFonts w:ascii="Calibri" w:hAnsi="Calibri" w:eastAsia="宋体" w:cs="Times New Roman"/>
      <w:sz w:val="21"/>
      <w:szCs w:val="22"/>
    </w:rPr>
  </w:style>
  <w:style w:type="paragraph" w:styleId="40">
    <w:name w:val="Body Text 2"/>
    <w:basedOn w:val="1"/>
    <w:autoRedefine/>
    <w:qFormat/>
    <w:uiPriority w:val="0"/>
    <w:rPr>
      <w:rFonts w:ascii="楷体_GB2312" w:eastAsia="楷体_GB2312"/>
      <w:sz w:val="28"/>
    </w:rPr>
  </w:style>
  <w:style w:type="paragraph" w:styleId="41">
    <w:name w:val="Normal (Web)"/>
    <w:basedOn w:val="1"/>
    <w:autoRedefine/>
    <w:qFormat/>
    <w:uiPriority w:val="0"/>
    <w:pPr>
      <w:widowControl/>
      <w:spacing w:before="100" w:beforeAutospacing="1" w:after="100" w:afterAutospacing="1"/>
      <w:jc w:val="left"/>
    </w:pPr>
    <w:rPr>
      <w:rFonts w:ascii="宋体" w:hAnsi="宋体" w:cs="宋体"/>
      <w:kern w:val="0"/>
    </w:rPr>
  </w:style>
  <w:style w:type="paragraph" w:styleId="42">
    <w:name w:val="Title"/>
    <w:basedOn w:val="1"/>
    <w:autoRedefine/>
    <w:qFormat/>
    <w:uiPriority w:val="0"/>
    <w:pPr>
      <w:adjustRightInd w:val="0"/>
      <w:spacing w:before="240" w:after="60" w:line="312" w:lineRule="atLeast"/>
      <w:ind w:firstLine="0" w:firstLineChars="0"/>
      <w:jc w:val="center"/>
      <w:outlineLvl w:val="0"/>
    </w:pPr>
    <w:rPr>
      <w:rFonts w:ascii="Arial" w:hAnsi="Arial" w:eastAsia="楷体_GB2312" w:cs="Arial"/>
      <w:b/>
      <w:kern w:val="0"/>
      <w:sz w:val="32"/>
      <w:szCs w:val="32"/>
    </w:rPr>
  </w:style>
  <w:style w:type="paragraph" w:styleId="43">
    <w:name w:val="annotation subject"/>
    <w:basedOn w:val="15"/>
    <w:next w:val="15"/>
    <w:autoRedefine/>
    <w:qFormat/>
    <w:uiPriority w:val="0"/>
    <w:pPr>
      <w:adjustRightInd/>
      <w:spacing w:line="240" w:lineRule="auto"/>
    </w:pPr>
    <w:rPr>
      <w:b/>
      <w:bCs/>
      <w:kern w:val="2"/>
      <w:sz w:val="21"/>
      <w:szCs w:val="24"/>
    </w:rPr>
  </w:style>
  <w:style w:type="paragraph" w:styleId="44">
    <w:name w:val="Body Text First Indent"/>
    <w:basedOn w:val="17"/>
    <w:next w:val="1"/>
    <w:autoRedefine/>
    <w:qFormat/>
    <w:uiPriority w:val="0"/>
    <w:pPr>
      <w:spacing w:after="120" w:line="240" w:lineRule="auto"/>
      <w:ind w:firstLine="420" w:firstLineChars="0"/>
    </w:pPr>
    <w:rPr>
      <w:rFonts w:eastAsia="方正仿宋简体"/>
      <w:kern w:val="0"/>
      <w:sz w:val="20"/>
    </w:rPr>
  </w:style>
  <w:style w:type="paragraph" w:styleId="45">
    <w:name w:val="Body Text First Indent 2"/>
    <w:basedOn w:val="18"/>
    <w:autoRedefine/>
    <w:qFormat/>
    <w:uiPriority w:val="0"/>
  </w:style>
  <w:style w:type="table" w:styleId="47">
    <w:name w:val="Table Grid"/>
    <w:basedOn w:val="4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autoRedefine/>
    <w:qFormat/>
    <w:uiPriority w:val="0"/>
    <w:rPr>
      <w:b/>
    </w:rPr>
  </w:style>
  <w:style w:type="character" w:styleId="50">
    <w:name w:val="page number"/>
    <w:basedOn w:val="48"/>
    <w:autoRedefine/>
    <w:qFormat/>
    <w:uiPriority w:val="0"/>
  </w:style>
  <w:style w:type="character" w:styleId="51">
    <w:name w:val="FollowedHyperlink"/>
    <w:basedOn w:val="48"/>
    <w:autoRedefine/>
    <w:qFormat/>
    <w:uiPriority w:val="0"/>
    <w:rPr>
      <w:color w:val="954F72"/>
      <w:u w:val="single"/>
    </w:rPr>
  </w:style>
  <w:style w:type="character" w:styleId="52">
    <w:name w:val="Emphasis"/>
    <w:basedOn w:val="48"/>
    <w:autoRedefine/>
    <w:qFormat/>
    <w:uiPriority w:val="0"/>
  </w:style>
  <w:style w:type="character" w:styleId="53">
    <w:name w:val="HTML Definition"/>
    <w:basedOn w:val="48"/>
    <w:autoRedefine/>
    <w:qFormat/>
    <w:uiPriority w:val="0"/>
    <w:rPr>
      <w:i/>
    </w:rPr>
  </w:style>
  <w:style w:type="character" w:styleId="54">
    <w:name w:val="Hyperlink"/>
    <w:basedOn w:val="48"/>
    <w:autoRedefine/>
    <w:qFormat/>
    <w:uiPriority w:val="0"/>
    <w:rPr>
      <w:color w:val="0563C1"/>
      <w:u w:val="single"/>
    </w:rPr>
  </w:style>
  <w:style w:type="character" w:styleId="55">
    <w:name w:val="HTML Code"/>
    <w:autoRedefine/>
    <w:qFormat/>
    <w:uiPriority w:val="0"/>
    <w:rPr>
      <w:rFonts w:ascii="Consolas" w:hAnsi="Consolas" w:eastAsia="Consolas" w:cs="Consolas"/>
      <w:color w:val="C7254E"/>
      <w:sz w:val="21"/>
      <w:szCs w:val="21"/>
      <w:shd w:val="clear" w:color="auto" w:fill="F9F2F4"/>
    </w:rPr>
  </w:style>
  <w:style w:type="character" w:styleId="56">
    <w:name w:val="annotation reference"/>
    <w:autoRedefine/>
    <w:qFormat/>
    <w:uiPriority w:val="0"/>
    <w:rPr>
      <w:sz w:val="21"/>
      <w:szCs w:val="21"/>
    </w:rPr>
  </w:style>
  <w:style w:type="character" w:styleId="57">
    <w:name w:val="footnote reference"/>
    <w:autoRedefine/>
    <w:qFormat/>
    <w:uiPriority w:val="0"/>
    <w:rPr>
      <w:vertAlign w:val="superscript"/>
    </w:rPr>
  </w:style>
  <w:style w:type="character" w:styleId="58">
    <w:name w:val="HTML Keyboard"/>
    <w:autoRedefine/>
    <w:qFormat/>
    <w:uiPriority w:val="0"/>
    <w:rPr>
      <w:rFonts w:ascii="Consolas" w:hAnsi="Consolas" w:eastAsia="Consolas" w:cs="Consolas"/>
      <w:color w:val="FFFFFF"/>
      <w:sz w:val="21"/>
      <w:szCs w:val="21"/>
      <w:shd w:val="clear" w:color="auto" w:fill="333333"/>
    </w:rPr>
  </w:style>
  <w:style w:type="character" w:styleId="59">
    <w:name w:val="HTML Sample"/>
    <w:autoRedefine/>
    <w:qFormat/>
    <w:uiPriority w:val="0"/>
    <w:rPr>
      <w:rFonts w:ascii="Consolas" w:hAnsi="Consolas" w:eastAsia="Consolas" w:cs="Consolas"/>
      <w:sz w:val="21"/>
      <w:szCs w:val="21"/>
    </w:rPr>
  </w:style>
  <w:style w:type="character" w:customStyle="1" w:styleId="60">
    <w:name w:val="heading 1 Char"/>
    <w:basedOn w:val="48"/>
    <w:link w:val="2"/>
    <w:autoRedefine/>
    <w:qFormat/>
    <w:uiPriority w:val="0"/>
    <w:rPr>
      <w:rFonts w:ascii="Calibri" w:hAnsi="Calibri" w:eastAsia="楷体" w:cs="Arial"/>
      <w:b/>
      <w:kern w:val="44"/>
      <w:sz w:val="44"/>
      <w:szCs w:val="24"/>
      <w:lang w:val="en-US" w:eastAsia="zh-CN" w:bidi="ar-SA"/>
    </w:rPr>
  </w:style>
  <w:style w:type="paragraph" w:customStyle="1" w:styleId="61">
    <w:name w:val="HTML 预设格式1"/>
    <w:basedOn w:val="1"/>
    <w:autoRedefine/>
    <w:qFormat/>
    <w:uiPriority w:val="0"/>
    <w:rPr>
      <w:rFonts w:ascii="Courier New" w:hAnsi="Courier New"/>
      <w:sz w:val="20"/>
    </w:rPr>
  </w:style>
  <w:style w:type="paragraph" w:styleId="62">
    <w:name w:val="List Paragraph"/>
    <w:basedOn w:val="1"/>
    <w:autoRedefine/>
    <w:qFormat/>
    <w:uiPriority w:val="0"/>
  </w:style>
  <w:style w:type="paragraph" w:customStyle="1" w:styleId="63">
    <w:name w:val="WPSOffice手动目录 1"/>
    <w:autoRedefine/>
    <w:qFormat/>
    <w:uiPriority w:val="0"/>
    <w:rPr>
      <w:rFonts w:ascii="Times New Roman" w:hAnsi="Times New Roman" w:eastAsia="宋体" w:cs="Times New Roman"/>
      <w:sz w:val="20"/>
      <w:szCs w:val="20"/>
      <w:lang w:val="en-US" w:eastAsia="zh-CN" w:bidi="ar-SA"/>
    </w:rPr>
  </w:style>
  <w:style w:type="paragraph" w:customStyle="1" w:styleId="64">
    <w:name w:val="WPSOffice手动目录 2"/>
    <w:autoRedefine/>
    <w:qFormat/>
    <w:uiPriority w:val="0"/>
    <w:pPr>
      <w:ind w:left="200" w:leftChars="200"/>
    </w:pPr>
    <w:rPr>
      <w:rFonts w:ascii="Times New Roman" w:hAnsi="Times New Roman" w:eastAsia="宋体" w:cs="Times New Roman"/>
      <w:sz w:val="20"/>
      <w:szCs w:val="20"/>
      <w:lang w:val="en-US" w:eastAsia="zh-CN" w:bidi="ar-SA"/>
    </w:rPr>
  </w:style>
  <w:style w:type="paragraph" w:customStyle="1" w:styleId="65">
    <w:name w:val="title1"/>
    <w:basedOn w:val="1"/>
    <w:autoRedefine/>
    <w:qFormat/>
    <w:uiPriority w:val="0"/>
    <w:pPr>
      <w:spacing w:before="150"/>
      <w:jc w:val="left"/>
    </w:pPr>
    <w:rPr>
      <w:rFonts w:cs="Times New Roman"/>
      <w:b/>
      <w:kern w:val="0"/>
      <w:sz w:val="22"/>
      <w:szCs w:val="22"/>
    </w:rPr>
  </w:style>
  <w:style w:type="paragraph" w:customStyle="1" w:styleId="66">
    <w:name w:val="_Style 2"/>
    <w:basedOn w:val="1"/>
    <w:autoRedefine/>
    <w:qFormat/>
    <w:uiPriority w:val="0"/>
  </w:style>
  <w:style w:type="character" w:customStyle="1" w:styleId="67">
    <w:name w:val="font21"/>
    <w:basedOn w:val="48"/>
    <w:autoRedefine/>
    <w:qFormat/>
    <w:uiPriority w:val="0"/>
    <w:rPr>
      <w:rFonts w:ascii="宋体" w:eastAsia="宋体" w:cs="宋体"/>
      <w:color w:val="000000"/>
      <w:sz w:val="16"/>
      <w:szCs w:val="16"/>
      <w:u w:val="none"/>
    </w:rPr>
  </w:style>
  <w:style w:type="character" w:customStyle="1" w:styleId="68">
    <w:name w:val="font31"/>
    <w:basedOn w:val="48"/>
    <w:autoRedefine/>
    <w:qFormat/>
    <w:uiPriority w:val="0"/>
    <w:rPr>
      <w:rFonts w:ascii="宋体" w:eastAsia="宋体" w:cs="宋体"/>
      <w:color w:val="000000"/>
      <w:sz w:val="16"/>
      <w:szCs w:val="16"/>
      <w:u w:val="none"/>
    </w:rPr>
  </w:style>
  <w:style w:type="paragraph" w:customStyle="1" w:styleId="69">
    <w:name w:val="正文（缩进 2 字符）"/>
    <w:basedOn w:val="1"/>
    <w:autoRedefine/>
    <w:qFormat/>
    <w:uiPriority w:val="0"/>
    <w:pPr>
      <w:widowControl/>
      <w:spacing w:line="400" w:lineRule="exact"/>
    </w:pPr>
    <w:rPr>
      <w:rFonts w:ascii="Calibri Light" w:hAnsi="Calibri Light" w:eastAsia="华文仿宋" w:cs="Times New Roman"/>
      <w:sz w:val="28"/>
      <w:szCs w:val="28"/>
    </w:rPr>
  </w:style>
  <w:style w:type="paragraph" w:customStyle="1" w:styleId="70">
    <w:name w:val="Table Paragraph"/>
    <w:basedOn w:val="1"/>
    <w:autoRedefine/>
    <w:qFormat/>
    <w:uiPriority w:val="0"/>
    <w:pPr>
      <w:autoSpaceDE w:val="0"/>
      <w:autoSpaceDN w:val="0"/>
      <w:jc w:val="center"/>
    </w:pPr>
    <w:rPr>
      <w:rFonts w:ascii="Times New Roman" w:hAnsi="Times New Roman"/>
      <w:kern w:val="0"/>
      <w:sz w:val="22"/>
      <w:szCs w:val="22"/>
    </w:rPr>
  </w:style>
  <w:style w:type="paragraph" w:styleId="71">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paragraph" w:styleId="72">
    <w:name w:val="Quote"/>
    <w:basedOn w:val="1"/>
    <w:next w:val="1"/>
    <w:autoRedefine/>
    <w:qFormat/>
    <w:uiPriority w:val="0"/>
    <w:pPr>
      <w:spacing w:line="240" w:lineRule="auto"/>
      <w:ind w:firstLine="0" w:firstLineChars="0"/>
    </w:pPr>
    <w:rPr>
      <w:rFonts w:ascii="Times New Roman" w:hAnsi="Times New Roman" w:eastAsia="宋体" w:cs="Times New Roman"/>
      <w:i/>
      <w:iCs/>
      <w:color w:val="000000"/>
      <w:sz w:val="21"/>
      <w:szCs w:val="22"/>
    </w:rPr>
  </w:style>
  <w:style w:type="paragraph" w:styleId="73">
    <w:name w:val="Intense Quote"/>
    <w:basedOn w:val="1"/>
    <w:next w:val="1"/>
    <w:autoRedefine/>
    <w:qFormat/>
    <w:uiPriority w:val="0"/>
    <w:pPr>
      <w:pBdr>
        <w:bottom w:val="single" w:color="4F81BD" w:sz="4" w:space="4"/>
      </w:pBdr>
      <w:spacing w:before="200" w:after="280" w:line="240" w:lineRule="auto"/>
      <w:ind w:left="936" w:right="936" w:firstLine="0" w:firstLineChars="0"/>
    </w:pPr>
    <w:rPr>
      <w:rFonts w:ascii="Times New Roman" w:hAnsi="Times New Roman" w:eastAsia="宋体" w:cs="Times New Roman"/>
      <w:b/>
      <w:bCs/>
      <w:i/>
      <w:iCs/>
      <w:color w:val="4F81BD"/>
      <w:sz w:val="21"/>
      <w:szCs w:val="22"/>
    </w:rPr>
  </w:style>
  <w:style w:type="paragraph" w:customStyle="1" w:styleId="74">
    <w:name w:val="Blockquote"/>
    <w:basedOn w:val="1"/>
    <w:autoRedefine/>
    <w:qFormat/>
    <w:uiPriority w:val="0"/>
    <w:pPr>
      <w:autoSpaceDE w:val="0"/>
      <w:autoSpaceDN w:val="0"/>
      <w:adjustRightInd w:val="0"/>
      <w:spacing w:before="100" w:after="100" w:line="240" w:lineRule="auto"/>
      <w:ind w:left="360" w:right="360" w:firstLine="0" w:firstLineChars="0"/>
      <w:jc w:val="left"/>
    </w:pPr>
    <w:rPr>
      <w:rFonts w:ascii="Times New Roman" w:hAnsi="Times New Roman" w:eastAsia="宋体" w:cs="Times New Roman"/>
      <w:kern w:val="0"/>
      <w:szCs w:val="20"/>
    </w:rPr>
  </w:style>
  <w:style w:type="paragraph" w:customStyle="1" w:styleId="75">
    <w:name w:val="标题5"/>
    <w:basedOn w:val="5"/>
    <w:autoRedefine/>
    <w:qFormat/>
    <w:uiPriority w:val="0"/>
    <w:pPr>
      <w:numPr>
        <w:ilvl w:val="0"/>
        <w:numId w:val="0"/>
      </w:numPr>
      <w:spacing w:line="413" w:lineRule="auto"/>
    </w:pPr>
    <w:rPr>
      <w:rFonts w:ascii="Arial" w:hAnsi="Arial" w:eastAsia="宋体" w:cs="Arial"/>
      <w:bCs/>
      <w:kern w:val="0"/>
      <w:sz w:val="24"/>
      <w:szCs w:val="32"/>
    </w:rPr>
  </w:style>
  <w:style w:type="paragraph" w:customStyle="1" w:styleId="76">
    <w:name w:val="p0"/>
    <w:basedOn w:val="1"/>
    <w:autoRedefine/>
    <w:qFormat/>
    <w:uiPriority w:val="0"/>
    <w:pPr>
      <w:widowControl/>
      <w:spacing w:line="240" w:lineRule="auto"/>
      <w:ind w:firstLine="0" w:firstLineChars="0"/>
    </w:pPr>
    <w:rPr>
      <w:rFonts w:ascii="Times New Roman" w:hAnsi="Times New Roman" w:eastAsia="宋体" w:cs="Times New Roman"/>
      <w:kern w:val="0"/>
      <w:sz w:val="21"/>
      <w:szCs w:val="21"/>
    </w:rPr>
  </w:style>
  <w:style w:type="paragraph" w:customStyle="1" w:styleId="77">
    <w:name w:val="目录"/>
    <w:basedOn w:val="1"/>
    <w:autoRedefine/>
    <w:qFormat/>
    <w:uiPriority w:val="0"/>
    <w:pPr>
      <w:widowControl/>
      <w:spacing w:line="240" w:lineRule="auto"/>
      <w:ind w:firstLine="0" w:firstLineChars="0"/>
      <w:jc w:val="center"/>
    </w:pPr>
    <w:rPr>
      <w:rFonts w:ascii="宋体" w:eastAsia="宋体" w:cs="Times New Roman"/>
      <w:b/>
      <w:kern w:val="0"/>
      <w:sz w:val="36"/>
      <w:szCs w:val="20"/>
    </w:rPr>
  </w:style>
  <w:style w:type="paragraph" w:customStyle="1" w:styleId="78">
    <w:name w:val="xl69"/>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auto" w:fill="FFFFFF"/>
      <w:spacing w:before="100" w:beforeAutospacing="1" w:after="100" w:afterAutospacing="1" w:line="240" w:lineRule="auto"/>
      <w:ind w:firstLine="0" w:firstLineChars="0"/>
      <w:jc w:val="left"/>
    </w:pPr>
    <w:rPr>
      <w:rFonts w:ascii="宋体" w:eastAsia="宋体" w:cs="宋体"/>
      <w:kern w:val="0"/>
      <w:sz w:val="20"/>
      <w:szCs w:val="20"/>
    </w:rPr>
  </w:style>
  <w:style w:type="paragraph" w:customStyle="1" w:styleId="79">
    <w:name w:val="xl66"/>
    <w:basedOn w:val="1"/>
    <w:autoRedefine/>
    <w:qFormat/>
    <w:uiPriority w:val="0"/>
    <w:pPr>
      <w:widowControl/>
      <w:pBdr>
        <w:top w:val="single" w:color="000000" w:sz="4" w:space="0"/>
        <w:left w:val="single" w:color="000000" w:sz="8" w:space="0"/>
        <w:bottom w:val="single" w:color="000000" w:sz="8" w:space="0"/>
        <w:right w:val="single" w:color="000000" w:sz="4" w:space="0"/>
      </w:pBdr>
      <w:shd w:val="clear" w:color="auto" w:fill="FFFFFF"/>
      <w:spacing w:before="100" w:beforeAutospacing="1" w:after="100" w:afterAutospacing="1" w:line="240" w:lineRule="auto"/>
      <w:ind w:firstLine="0" w:firstLineChars="0"/>
      <w:jc w:val="center"/>
    </w:pPr>
    <w:rPr>
      <w:rFonts w:ascii="宋体" w:eastAsia="宋体" w:cs="宋体"/>
      <w:kern w:val="0"/>
      <w:sz w:val="20"/>
      <w:szCs w:val="20"/>
    </w:rPr>
  </w:style>
  <w:style w:type="paragraph" w:customStyle="1" w:styleId="80">
    <w:name w:val="Char Char Char"/>
    <w:basedOn w:val="1"/>
    <w:autoRedefine/>
    <w:qFormat/>
    <w:uiPriority w:val="0"/>
    <w:pPr>
      <w:ind w:firstLine="0" w:firstLineChars="0"/>
      <w:jc w:val="center"/>
    </w:pPr>
    <w:rPr>
      <w:rFonts w:ascii="Tahoma" w:hAnsi="Tahoma" w:eastAsia="宋体" w:cs="Times New Roman"/>
      <w:szCs w:val="20"/>
    </w:rPr>
  </w:style>
  <w:style w:type="paragraph" w:customStyle="1" w:styleId="81">
    <w:name w:val="xl68"/>
    <w:basedOn w:val="1"/>
    <w:autoRedefine/>
    <w:qFormat/>
    <w:uiPriority w:val="0"/>
    <w:pPr>
      <w:widowControl/>
      <w:pBdr>
        <w:top w:val="single" w:color="000000" w:sz="4" w:space="0"/>
        <w:left w:val="single" w:color="000000" w:sz="4" w:space="0"/>
        <w:bottom w:val="single" w:color="000000" w:sz="8" w:space="0"/>
        <w:right w:val="single" w:color="000000" w:sz="8" w:space="0"/>
      </w:pBdr>
      <w:shd w:val="clear" w:color="auto" w:fill="FFFFFF"/>
      <w:spacing w:before="100" w:beforeAutospacing="1" w:after="100" w:afterAutospacing="1" w:line="240" w:lineRule="auto"/>
      <w:ind w:firstLine="0" w:firstLineChars="0"/>
      <w:jc w:val="center"/>
    </w:pPr>
    <w:rPr>
      <w:rFonts w:ascii="宋体" w:eastAsia="宋体" w:cs="宋体"/>
      <w:kern w:val="0"/>
      <w:sz w:val="20"/>
      <w:szCs w:val="20"/>
    </w:rPr>
  </w:style>
  <w:style w:type="paragraph" w:customStyle="1" w:styleId="82">
    <w:name w:val="正文首行缩进两字符"/>
    <w:basedOn w:val="1"/>
    <w:autoRedefine/>
    <w:qFormat/>
    <w:uiPriority w:val="0"/>
    <w:rPr>
      <w:rFonts w:ascii="Times New Roman" w:hAnsi="Times New Roman" w:eastAsia="宋体" w:cs="Times New Roman"/>
      <w:sz w:val="21"/>
    </w:rPr>
  </w:style>
  <w:style w:type="paragraph" w:customStyle="1" w:styleId="83">
    <w:name w:val="空半行"/>
    <w:basedOn w:val="1"/>
    <w:autoRedefine/>
    <w:qFormat/>
    <w:uiPriority w:val="0"/>
    <w:pPr>
      <w:adjustRightInd w:val="0"/>
      <w:spacing w:line="120" w:lineRule="exact"/>
      <w:ind w:firstLine="0" w:firstLineChars="0"/>
    </w:pPr>
    <w:rPr>
      <w:rFonts w:ascii="Times New Roman" w:hAnsi="Times New Roman" w:eastAsia="仿宋_GB2312" w:cs="Times New Roman"/>
      <w:color w:val="FFFFFF"/>
      <w:kern w:val="0"/>
      <w:sz w:val="30"/>
      <w:szCs w:val="20"/>
    </w:rPr>
  </w:style>
  <w:style w:type="paragraph" w:customStyle="1" w:styleId="84">
    <w:name w:val="Char Char Char Char Char Char Char"/>
    <w:basedOn w:val="1"/>
    <w:autoRedefine/>
    <w:qFormat/>
    <w:uiPriority w:val="0"/>
    <w:pPr>
      <w:spacing w:line="240" w:lineRule="auto"/>
      <w:ind w:firstLine="0" w:firstLineChars="0"/>
    </w:pPr>
    <w:rPr>
      <w:rFonts w:ascii="Tahoma" w:hAnsi="Tahoma" w:eastAsia="宋体" w:cs="Times New Roman"/>
      <w:szCs w:val="20"/>
    </w:rPr>
  </w:style>
  <w:style w:type="paragraph" w:customStyle="1" w:styleId="85">
    <w:name w:val="样式 标题 3 + (中文) 黑体 小四 非加粗 段前: 7.8 磅 段后: 0 磅 行距: 固定值 20 磅"/>
    <w:basedOn w:val="5"/>
    <w:autoRedefine/>
    <w:qFormat/>
    <w:uiPriority w:val="0"/>
    <w:pPr>
      <w:numPr>
        <w:ilvl w:val="0"/>
        <w:numId w:val="0"/>
      </w:numPr>
      <w:spacing w:before="0" w:after="0" w:line="400" w:lineRule="exact"/>
    </w:pPr>
    <w:rPr>
      <w:rFonts w:ascii="Times New Roman" w:hAnsi="Times New Roman" w:eastAsia="黑体" w:cs="宋体"/>
      <w:b w:val="0"/>
      <w:sz w:val="24"/>
      <w:szCs w:val="20"/>
    </w:rPr>
  </w:style>
  <w:style w:type="paragraph" w:customStyle="1" w:styleId="86">
    <w:name w:val="xl7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宋体" w:eastAsia="宋体" w:cs="宋体"/>
      <w:kern w:val="0"/>
      <w:sz w:val="20"/>
      <w:szCs w:val="20"/>
    </w:rPr>
  </w:style>
  <w:style w:type="paragraph" w:customStyle="1" w:styleId="87">
    <w:name w:val="Char1"/>
    <w:basedOn w:val="1"/>
    <w:autoRedefine/>
    <w:qFormat/>
    <w:uiPriority w:val="0"/>
    <w:pPr>
      <w:spacing w:line="240" w:lineRule="auto"/>
      <w:ind w:firstLine="0" w:firstLineChars="0"/>
    </w:pPr>
    <w:rPr>
      <w:rFonts w:ascii="Times New Roman" w:hAnsi="Times New Roman" w:eastAsia="宋体" w:cs="Times New Roman"/>
      <w:sz w:val="21"/>
      <w:szCs w:val="21"/>
    </w:rPr>
  </w:style>
  <w:style w:type="paragraph" w:customStyle="1" w:styleId="88">
    <w:name w:val="正文1"/>
    <w:autoRedefine/>
    <w:qFormat/>
    <w:uiPriority w:val="0"/>
    <w:pPr>
      <w:widowControl w:val="0"/>
      <w:adjustRightInd w:val="0"/>
      <w:spacing w:line="312" w:lineRule="atLeast"/>
      <w:jc w:val="both"/>
    </w:pPr>
    <w:rPr>
      <w:rFonts w:ascii="宋体" w:hAnsi="Times New Roman" w:eastAsia="宋体" w:cs="Times New Roman"/>
      <w:sz w:val="34"/>
      <w:szCs w:val="20"/>
      <w:lang w:val="en-US" w:eastAsia="zh-CN" w:bidi="ar-SA"/>
    </w:rPr>
  </w:style>
  <w:style w:type="paragraph" w:customStyle="1" w:styleId="89">
    <w:name w:val="图标题"/>
    <w:basedOn w:val="1"/>
    <w:autoRedefine/>
    <w:qFormat/>
    <w:uiPriority w:val="0"/>
    <w:pPr>
      <w:adjustRightInd w:val="0"/>
      <w:spacing w:line="360" w:lineRule="atLeast"/>
      <w:ind w:firstLine="0" w:firstLineChars="0"/>
      <w:jc w:val="left"/>
    </w:pPr>
    <w:rPr>
      <w:rFonts w:ascii="Times New Roman" w:hAnsi="Times New Roman" w:eastAsia="宋体" w:cs="Times New Roman"/>
      <w:kern w:val="0"/>
      <w:szCs w:val="20"/>
    </w:rPr>
  </w:style>
  <w:style w:type="paragraph" w:customStyle="1" w:styleId="90">
    <w:name w:val="Char Char Char Char Char Char Char1"/>
    <w:basedOn w:val="1"/>
    <w:autoRedefine/>
    <w:qFormat/>
    <w:uiPriority w:val="0"/>
    <w:pPr>
      <w:spacing w:line="240" w:lineRule="auto"/>
      <w:ind w:firstLine="0" w:firstLineChars="0"/>
    </w:pPr>
    <w:rPr>
      <w:rFonts w:ascii="Tahoma" w:hAnsi="Tahoma" w:eastAsia="宋体" w:cs="Times New Roman"/>
    </w:rPr>
  </w:style>
  <w:style w:type="paragraph" w:customStyle="1" w:styleId="91">
    <w:name w:val="xl75"/>
    <w:basedOn w:val="1"/>
    <w:autoRedefine/>
    <w:qFormat/>
    <w:uiPriority w:val="0"/>
    <w:pPr>
      <w:widowControl/>
      <w:pBdr>
        <w:top w:val="single" w:color="000000" w:sz="8" w:space="0"/>
        <w:left w:val="single" w:color="000000" w:sz="4" w:space="0"/>
        <w:bottom w:val="single" w:color="000000" w:sz="4" w:space="0"/>
        <w:right w:val="single" w:color="000000" w:sz="8" w:space="0"/>
      </w:pBdr>
      <w:shd w:val="clear" w:color="auto" w:fill="FFFFFF"/>
      <w:spacing w:before="100" w:beforeAutospacing="1" w:after="100" w:afterAutospacing="1" w:line="240" w:lineRule="auto"/>
      <w:ind w:firstLine="0" w:firstLineChars="0"/>
      <w:jc w:val="center"/>
    </w:pPr>
    <w:rPr>
      <w:rFonts w:ascii="宋体" w:eastAsia="宋体" w:cs="宋体"/>
      <w:kern w:val="0"/>
      <w:sz w:val="20"/>
      <w:szCs w:val="20"/>
    </w:rPr>
  </w:style>
  <w:style w:type="paragraph" w:customStyle="1" w:styleId="92">
    <w:name w:val="xl67"/>
    <w:basedOn w:val="1"/>
    <w:autoRedefine/>
    <w:qFormat/>
    <w:uiPriority w:val="0"/>
    <w:pPr>
      <w:widowControl/>
      <w:pBdr>
        <w:top w:val="single" w:color="000000" w:sz="4" w:space="0"/>
        <w:left w:val="single" w:color="000000" w:sz="4" w:space="0"/>
        <w:bottom w:val="single" w:color="000000" w:sz="4" w:space="0"/>
        <w:right w:val="single" w:color="000000" w:sz="8" w:space="0"/>
      </w:pBdr>
      <w:shd w:val="clear" w:color="auto" w:fill="FFFFFF"/>
      <w:spacing w:before="100" w:beforeAutospacing="1" w:after="100" w:afterAutospacing="1" w:line="240" w:lineRule="auto"/>
      <w:ind w:firstLine="0" w:firstLineChars="0"/>
      <w:jc w:val="center"/>
    </w:pPr>
    <w:rPr>
      <w:rFonts w:ascii="宋体" w:eastAsia="宋体" w:cs="宋体"/>
      <w:kern w:val="0"/>
      <w:sz w:val="20"/>
      <w:szCs w:val="20"/>
    </w:rPr>
  </w:style>
  <w:style w:type="paragraph" w:customStyle="1" w:styleId="93">
    <w:name w:val="xl73"/>
    <w:basedOn w:val="1"/>
    <w:autoRedefine/>
    <w:qFormat/>
    <w:uiPriority w:val="0"/>
    <w:pPr>
      <w:widowControl/>
      <w:pBdr>
        <w:top w:val="single" w:color="000000" w:sz="8" w:space="0"/>
        <w:left w:val="single" w:color="000000" w:sz="8"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宋体" w:eastAsia="宋体" w:cs="宋体"/>
      <w:kern w:val="0"/>
      <w:sz w:val="20"/>
      <w:szCs w:val="20"/>
    </w:rPr>
  </w:style>
  <w:style w:type="paragraph" w:customStyle="1" w:styleId="94">
    <w:name w:val="样式 标题 2 + Times New Roman 四号 非加粗 段前: 5 磅 段后: 0 磅 行距: 固定值 20..."/>
    <w:basedOn w:val="4"/>
    <w:autoRedefine/>
    <w:qFormat/>
    <w:uiPriority w:val="0"/>
    <w:pPr>
      <w:numPr>
        <w:ilvl w:val="0"/>
        <w:numId w:val="0"/>
      </w:numPr>
      <w:spacing w:before="100" w:after="0" w:line="400" w:lineRule="exact"/>
      <w:jc w:val="both"/>
    </w:pPr>
    <w:rPr>
      <w:rFonts w:ascii="Times New Roman" w:hAnsi="Times New Roman" w:eastAsia="黑体" w:cs="宋体"/>
      <w:b w:val="0"/>
      <w:kern w:val="0"/>
      <w:szCs w:val="20"/>
      <w:lang w:val="zh-CN"/>
    </w:rPr>
  </w:style>
  <w:style w:type="paragraph" w:customStyle="1" w:styleId="95">
    <w:name w:val="xl65"/>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宋体" w:eastAsia="宋体" w:cs="宋体"/>
      <w:kern w:val="0"/>
      <w:sz w:val="20"/>
      <w:szCs w:val="20"/>
    </w:rPr>
  </w:style>
  <w:style w:type="paragraph" w:customStyle="1" w:styleId="96">
    <w:name w:val="Char Char Char Char"/>
    <w:basedOn w:val="1"/>
    <w:autoRedefine/>
    <w:qFormat/>
    <w:uiPriority w:val="0"/>
    <w:pPr>
      <w:spacing w:line="240" w:lineRule="auto"/>
      <w:ind w:firstLine="0" w:firstLineChars="0"/>
    </w:pPr>
    <w:rPr>
      <w:rFonts w:ascii="Tahoma" w:hAnsi="Tahoma" w:eastAsia="宋体" w:cs="Times New Roman"/>
      <w:szCs w:val="20"/>
    </w:rPr>
  </w:style>
  <w:style w:type="paragraph" w:customStyle="1" w:styleId="97">
    <w:name w:val="表格文字"/>
    <w:basedOn w:val="1"/>
    <w:autoRedefine/>
    <w:qFormat/>
    <w:uiPriority w:val="0"/>
    <w:pPr>
      <w:adjustRightInd w:val="0"/>
      <w:spacing w:line="420" w:lineRule="atLeast"/>
      <w:ind w:firstLine="0" w:firstLineChars="0"/>
      <w:jc w:val="left"/>
    </w:pPr>
    <w:rPr>
      <w:rFonts w:ascii="Times New Roman" w:hAnsi="Times New Roman" w:eastAsia="宋体" w:cs="Times New Roman"/>
      <w:kern w:val="0"/>
      <w:sz w:val="21"/>
      <w:szCs w:val="20"/>
    </w:rPr>
  </w:style>
  <w:style w:type="paragraph" w:customStyle="1" w:styleId="98">
    <w:name w:val="样式 首行缩进:  2 字符"/>
    <w:basedOn w:val="1"/>
    <w:autoRedefine/>
    <w:qFormat/>
    <w:uiPriority w:val="0"/>
    <w:pPr>
      <w:spacing w:line="400" w:lineRule="exact"/>
    </w:pPr>
    <w:rPr>
      <w:rFonts w:ascii="Times New Roman" w:hAnsi="Times New Roman" w:eastAsia="宋体" w:cs="宋体"/>
    </w:rPr>
  </w:style>
  <w:style w:type="paragraph" w:customStyle="1" w:styleId="99">
    <w:name w:val="Char Char1 Char Char Char Char Char Char Char Char Char Char Char Char Char1"/>
    <w:basedOn w:val="1"/>
    <w:autoRedefine/>
    <w:qFormat/>
    <w:uiPriority w:val="0"/>
    <w:pPr>
      <w:widowControl/>
      <w:spacing w:after="160" w:line="240" w:lineRule="exact"/>
      <w:ind w:firstLine="0" w:firstLineChars="0"/>
      <w:jc w:val="left"/>
    </w:pPr>
    <w:rPr>
      <w:rFonts w:ascii="Verdana" w:hAnsi="Verdana" w:eastAsia="仿宋_GB2312" w:cs="Times New Roman"/>
      <w:kern w:val="0"/>
      <w:szCs w:val="20"/>
    </w:rPr>
  </w:style>
  <w:style w:type="paragraph" w:customStyle="1" w:styleId="100">
    <w:name w:val="xl71"/>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left"/>
    </w:pPr>
    <w:rPr>
      <w:rFonts w:ascii="宋体" w:eastAsia="宋体" w:cs="宋体"/>
      <w:kern w:val="0"/>
      <w:sz w:val="20"/>
      <w:szCs w:val="20"/>
    </w:rPr>
  </w:style>
  <w:style w:type="paragraph" w:customStyle="1" w:styleId="101">
    <w:name w:val="Char"/>
    <w:basedOn w:val="1"/>
    <w:autoRedefine/>
    <w:qFormat/>
    <w:uiPriority w:val="0"/>
    <w:pPr>
      <w:widowControl/>
      <w:spacing w:after="160" w:line="240" w:lineRule="exact"/>
      <w:ind w:firstLine="0" w:firstLineChars="0"/>
      <w:jc w:val="left"/>
    </w:pPr>
    <w:rPr>
      <w:rFonts w:ascii="Verdana" w:hAnsi="Verdana" w:eastAsia="仿宋_GB2312" w:cs="Times New Roman"/>
      <w:kern w:val="0"/>
      <w:szCs w:val="20"/>
    </w:rPr>
  </w:style>
  <w:style w:type="paragraph" w:customStyle="1" w:styleId="102">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ind w:firstLine="0" w:firstLineChars="0"/>
      <w:jc w:val="left"/>
    </w:pPr>
    <w:rPr>
      <w:rFonts w:ascii="Courier New" w:hAnsi="Courier New" w:eastAsia="宋体" w:cs="Times New Roman"/>
      <w:kern w:val="0"/>
      <w:sz w:val="20"/>
      <w:szCs w:val="20"/>
    </w:rPr>
  </w:style>
  <w:style w:type="paragraph" w:customStyle="1" w:styleId="103">
    <w:name w:val="Char Char Char Char Char Char"/>
    <w:basedOn w:val="1"/>
    <w:autoRedefine/>
    <w:qFormat/>
    <w:uiPriority w:val="0"/>
    <w:pPr>
      <w:widowControl/>
      <w:spacing w:after="160" w:line="240" w:lineRule="exact"/>
      <w:ind w:firstLine="0" w:firstLineChars="0"/>
      <w:jc w:val="left"/>
    </w:pPr>
    <w:rPr>
      <w:rFonts w:ascii="Times New Roman" w:hAnsi="Times New Roman" w:eastAsia="宋体" w:cs="Times New Roman"/>
      <w:sz w:val="21"/>
      <w:szCs w:val="20"/>
    </w:rPr>
  </w:style>
  <w:style w:type="paragraph" w:customStyle="1" w:styleId="104">
    <w:name w:val="正文2"/>
    <w:autoRedefine/>
    <w:qFormat/>
    <w:uiPriority w:val="0"/>
    <w:pPr>
      <w:widowControl w:val="0"/>
      <w:adjustRightInd w:val="0"/>
      <w:spacing w:line="312" w:lineRule="atLeast"/>
      <w:jc w:val="both"/>
    </w:pPr>
    <w:rPr>
      <w:rFonts w:ascii="宋体" w:hAnsi="Times New Roman" w:eastAsia="宋体" w:cs="Times New Roman"/>
      <w:sz w:val="34"/>
      <w:szCs w:val="20"/>
      <w:lang w:val="en-US" w:eastAsia="zh-CN" w:bidi="ar-SA"/>
    </w:rPr>
  </w:style>
  <w:style w:type="paragraph" w:customStyle="1" w:styleId="105">
    <w:name w:val="font5"/>
    <w:basedOn w:val="1"/>
    <w:autoRedefine/>
    <w:qFormat/>
    <w:uiPriority w:val="0"/>
    <w:pPr>
      <w:widowControl/>
      <w:spacing w:before="100" w:beforeAutospacing="1" w:after="100" w:afterAutospacing="1" w:line="240" w:lineRule="auto"/>
      <w:ind w:firstLine="0" w:firstLineChars="0"/>
      <w:jc w:val="left"/>
    </w:pPr>
    <w:rPr>
      <w:rFonts w:ascii="宋体" w:eastAsia="宋体" w:cs="宋体"/>
      <w:kern w:val="0"/>
      <w:sz w:val="18"/>
      <w:szCs w:val="18"/>
    </w:rPr>
  </w:style>
  <w:style w:type="paragraph" w:customStyle="1" w:styleId="106">
    <w:name w:val="样式1"/>
    <w:basedOn w:val="1"/>
    <w:autoRedefine/>
    <w:qFormat/>
    <w:uiPriority w:val="0"/>
    <w:pPr>
      <w:numPr>
        <w:ilvl w:val="0"/>
        <w:numId w:val="4"/>
      </w:numPr>
      <w:tabs>
        <w:tab w:val="left" w:pos="360"/>
        <w:tab w:val="left" w:pos="709"/>
      </w:tabs>
      <w:adjustRightInd w:val="0"/>
      <w:spacing w:line="240" w:lineRule="auto"/>
      <w:ind w:left="840" w:firstLine="0" w:firstLineChars="0"/>
    </w:pPr>
    <w:rPr>
      <w:rFonts w:ascii="宋体" w:eastAsia="宋体" w:cs="Times New Roman"/>
      <w:kern w:val="0"/>
      <w:sz w:val="21"/>
      <w:szCs w:val="21"/>
    </w:rPr>
  </w:style>
  <w:style w:type="paragraph" w:customStyle="1" w:styleId="107">
    <w:name w:val="Char Char1 Char Char Char Char Char Char Char Char Char Char Char Char Char"/>
    <w:basedOn w:val="1"/>
    <w:autoRedefine/>
    <w:qFormat/>
    <w:uiPriority w:val="0"/>
    <w:pPr>
      <w:widowControl/>
      <w:spacing w:after="160" w:line="240" w:lineRule="exact"/>
      <w:ind w:firstLine="0" w:firstLineChars="0"/>
      <w:jc w:val="left"/>
    </w:pPr>
    <w:rPr>
      <w:rFonts w:ascii="Verdana" w:hAnsi="Verdana" w:eastAsia="仿宋_GB2312" w:cs="Times New Roman"/>
      <w:kern w:val="0"/>
      <w:szCs w:val="20"/>
    </w:rPr>
  </w:style>
  <w:style w:type="paragraph" w:customStyle="1" w:styleId="108">
    <w:name w:val="4"/>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9">
    <w:name w:val="flNote"/>
    <w:basedOn w:val="1"/>
    <w:autoRedefine/>
    <w:qFormat/>
    <w:uiPriority w:val="0"/>
    <w:pPr>
      <w:adjustRightInd w:val="0"/>
      <w:spacing w:before="320" w:after="160" w:line="360" w:lineRule="atLeast"/>
      <w:ind w:firstLine="0" w:firstLineChars="0"/>
      <w:jc w:val="center"/>
    </w:pPr>
    <w:rPr>
      <w:rFonts w:ascii="Arial" w:hAnsi="Arial" w:eastAsia="黑体" w:cs="Times New Roman"/>
      <w:kern w:val="0"/>
      <w:sz w:val="30"/>
      <w:szCs w:val="20"/>
    </w:rPr>
  </w:style>
  <w:style w:type="paragraph" w:customStyle="1" w:styleId="110">
    <w:name w:val="默认段落字体 Para Char Char Char Char Char Char Char"/>
    <w:basedOn w:val="1"/>
    <w:autoRedefine/>
    <w:qFormat/>
    <w:uiPriority w:val="0"/>
    <w:pPr>
      <w:spacing w:line="240" w:lineRule="auto"/>
      <w:ind w:firstLine="0" w:firstLineChars="0"/>
    </w:pPr>
    <w:rPr>
      <w:rFonts w:ascii="Tahoma" w:hAnsi="Tahoma" w:eastAsia="宋体" w:cs="Times New Roman"/>
      <w:szCs w:val="20"/>
    </w:rPr>
  </w:style>
  <w:style w:type="paragraph" w:customStyle="1" w:styleId="111">
    <w:name w:val="表格"/>
    <w:basedOn w:val="1"/>
    <w:autoRedefine/>
    <w:qFormat/>
    <w:uiPriority w:val="0"/>
    <w:pPr>
      <w:spacing w:line="400" w:lineRule="exact"/>
      <w:ind w:firstLine="0" w:firstLineChars="0"/>
    </w:pPr>
    <w:rPr>
      <w:rFonts w:ascii="Times New Roman" w:hAnsi="Times New Roman" w:eastAsia="宋体" w:cs="Times New Roman"/>
    </w:rPr>
  </w:style>
  <w:style w:type="paragraph" w:customStyle="1" w:styleId="112">
    <w:name w:val="xl64"/>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auto" w:fill="FFFFFF"/>
      <w:spacing w:before="100" w:beforeAutospacing="1" w:after="100" w:afterAutospacing="1" w:line="240" w:lineRule="auto"/>
      <w:ind w:firstLine="0" w:firstLineChars="0"/>
      <w:jc w:val="left"/>
    </w:pPr>
    <w:rPr>
      <w:rFonts w:ascii="宋体" w:eastAsia="宋体" w:cs="宋体"/>
      <w:kern w:val="0"/>
      <w:sz w:val="20"/>
      <w:szCs w:val="20"/>
    </w:rPr>
  </w:style>
  <w:style w:type="paragraph" w:customStyle="1" w:styleId="113">
    <w:name w:val="xl74"/>
    <w:basedOn w:val="1"/>
    <w:autoRedefine/>
    <w:qFormat/>
    <w:uiPriority w:val="0"/>
    <w:pPr>
      <w:widowControl/>
      <w:pBdr>
        <w:top w:val="single" w:color="000000" w:sz="8"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firstLineChars="0"/>
      <w:jc w:val="center"/>
    </w:pPr>
    <w:rPr>
      <w:rFonts w:ascii="宋体" w:eastAsia="宋体" w:cs="宋体"/>
      <w:kern w:val="0"/>
      <w:sz w:val="20"/>
      <w:szCs w:val="20"/>
    </w:rPr>
  </w:style>
  <w:style w:type="paragraph" w:customStyle="1" w:styleId="114">
    <w:name w:val="正文21"/>
    <w:autoRedefine/>
    <w:qFormat/>
    <w:uiPriority w:val="0"/>
    <w:pPr>
      <w:widowControl w:val="0"/>
      <w:adjustRightInd w:val="0"/>
      <w:spacing w:line="312" w:lineRule="atLeast"/>
      <w:jc w:val="both"/>
    </w:pPr>
    <w:rPr>
      <w:rFonts w:ascii="宋体" w:hAnsi="Times New Roman" w:eastAsia="宋体" w:cs="Times New Roman"/>
      <w:sz w:val="34"/>
      <w:szCs w:val="20"/>
      <w:lang w:val="en-US" w:eastAsia="zh-CN" w:bidi="ar-SA"/>
    </w:rPr>
  </w:style>
  <w:style w:type="paragraph" w:customStyle="1" w:styleId="115">
    <w:name w:val="Char Char1"/>
    <w:basedOn w:val="1"/>
    <w:autoRedefine/>
    <w:qFormat/>
    <w:uiPriority w:val="0"/>
    <w:pPr>
      <w:adjustRightInd w:val="0"/>
      <w:spacing w:line="440" w:lineRule="exact"/>
      <w:ind w:firstLine="0" w:firstLineChars="0"/>
    </w:pPr>
    <w:rPr>
      <w:rFonts w:ascii="宋体" w:eastAsia="宋体" w:cs="Times New Roman"/>
      <w:kern w:val="0"/>
      <w:sz w:val="28"/>
      <w:szCs w:val="27"/>
    </w:rPr>
  </w:style>
  <w:style w:type="paragraph" w:customStyle="1" w:styleId="116">
    <w:name w:val="Char Char Char1"/>
    <w:basedOn w:val="1"/>
    <w:autoRedefine/>
    <w:qFormat/>
    <w:uiPriority w:val="0"/>
    <w:pPr>
      <w:widowControl/>
      <w:spacing w:after="160" w:line="240" w:lineRule="exact"/>
      <w:ind w:firstLine="0" w:firstLineChars="0"/>
      <w:jc w:val="left"/>
    </w:pPr>
    <w:rPr>
      <w:rFonts w:ascii="Times New Roman" w:hAnsi="Times New Roman" w:eastAsia="宋体" w:cs="Times New Roman"/>
      <w:sz w:val="21"/>
    </w:rPr>
  </w:style>
  <w:style w:type="paragraph" w:customStyle="1" w:styleId="117">
    <w:name w:val="xl70"/>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auto" w:fill="FFFFFF"/>
      <w:spacing w:before="100" w:beforeAutospacing="1" w:after="100" w:afterAutospacing="1" w:line="240" w:lineRule="auto"/>
      <w:ind w:firstLine="0" w:firstLineChars="0"/>
      <w:jc w:val="center"/>
    </w:pPr>
    <w:rPr>
      <w:rFonts w:ascii="宋体" w:eastAsia="宋体" w:cs="宋体"/>
      <w:kern w:val="0"/>
      <w:sz w:val="20"/>
      <w:szCs w:val="20"/>
    </w:rPr>
  </w:style>
  <w:style w:type="paragraph" w:customStyle="1" w:styleId="118">
    <w:name w:val="样式"/>
    <w:autoRedefine/>
    <w:qFormat/>
    <w:uiPriority w:val="0"/>
    <w:pPr>
      <w:widowControl w:val="0"/>
      <w:autoSpaceDE w:val="0"/>
      <w:autoSpaceDN w:val="0"/>
      <w:adjustRightInd w:val="0"/>
    </w:pPr>
    <w:rPr>
      <w:rFonts w:ascii="宋体" w:hAnsi="Times New Roman" w:eastAsia="宋体" w:cs="宋体"/>
      <w:sz w:val="24"/>
      <w:szCs w:val="24"/>
      <w:lang w:val="en-US" w:eastAsia="zh-CN" w:bidi="ar-SA"/>
    </w:rPr>
  </w:style>
  <w:style w:type="character" w:customStyle="1" w:styleId="119">
    <w:name w:val="不明显强调1"/>
    <w:autoRedefine/>
    <w:qFormat/>
    <w:uiPriority w:val="0"/>
    <w:rPr>
      <w:i/>
      <w:iCs/>
      <w:color w:val="808080"/>
    </w:rPr>
  </w:style>
  <w:style w:type="character" w:customStyle="1" w:styleId="120">
    <w:name w:val="明显强调1"/>
    <w:autoRedefine/>
    <w:qFormat/>
    <w:uiPriority w:val="0"/>
    <w:rPr>
      <w:b/>
      <w:bCs/>
      <w:i/>
      <w:iCs/>
      <w:color w:val="4F81BD"/>
    </w:rPr>
  </w:style>
  <w:style w:type="character" w:customStyle="1" w:styleId="121">
    <w:name w:val="不明显参考1"/>
    <w:autoRedefine/>
    <w:qFormat/>
    <w:uiPriority w:val="0"/>
    <w:rPr>
      <w:smallCaps/>
      <w:color w:val="C0504D"/>
      <w:u w:val="single"/>
    </w:rPr>
  </w:style>
  <w:style w:type="character" w:customStyle="1" w:styleId="122">
    <w:name w:val="明显参考1"/>
    <w:autoRedefine/>
    <w:qFormat/>
    <w:uiPriority w:val="0"/>
    <w:rPr>
      <w:b/>
      <w:bCs/>
      <w:smallCaps/>
      <w:color w:val="C0504D"/>
      <w:spacing w:val="5"/>
      <w:u w:val="single"/>
    </w:rPr>
  </w:style>
  <w:style w:type="character" w:customStyle="1" w:styleId="123">
    <w:name w:val="书籍标题1"/>
    <w:autoRedefine/>
    <w:qFormat/>
    <w:uiPriority w:val="0"/>
    <w:rPr>
      <w:b/>
      <w:bCs/>
      <w:smallCaps/>
      <w:spacing w:val="5"/>
    </w:rPr>
  </w:style>
  <w:style w:type="character" w:customStyle="1" w:styleId="124">
    <w:name w:val="hover3"/>
    <w:autoRedefine/>
    <w:qFormat/>
    <w:uiPriority w:val="0"/>
    <w:rPr>
      <w:shd w:val="clear" w:color="auto" w:fill="EEEEEE"/>
    </w:rPr>
  </w:style>
  <w:style w:type="character" w:customStyle="1" w:styleId="125">
    <w:name w:val="引用 Char1"/>
    <w:autoRedefine/>
    <w:qFormat/>
    <w:uiPriority w:val="0"/>
    <w:rPr>
      <w:i/>
      <w:iCs/>
      <w:color w:val="000000"/>
      <w:kern w:val="2"/>
      <w:sz w:val="21"/>
      <w:szCs w:val="24"/>
    </w:rPr>
  </w:style>
  <w:style w:type="character" w:customStyle="1" w:styleId="126">
    <w:name w:val="副标题 Char1"/>
    <w:autoRedefine/>
    <w:qFormat/>
    <w:uiPriority w:val="0"/>
    <w:rPr>
      <w:rFonts w:ascii="Cambria" w:hAnsi="Cambria" w:cs="Times New Roman"/>
      <w:b/>
      <w:bCs/>
      <w:kern w:val="28"/>
      <w:sz w:val="32"/>
      <w:szCs w:val="32"/>
    </w:rPr>
  </w:style>
  <w:style w:type="character" w:customStyle="1" w:styleId="127">
    <w:name w:val="明显引用 Char1"/>
    <w:basedOn w:val="48"/>
    <w:autoRedefine/>
    <w:qFormat/>
    <w:uiPriority w:val="0"/>
    <w:rPr>
      <w:b/>
      <w:bCs/>
      <w:i/>
      <w:iCs/>
      <w:color w:val="5B9BD5"/>
      <w:kern w:val="2"/>
      <w:sz w:val="21"/>
      <w:szCs w:val="24"/>
    </w:rPr>
  </w:style>
  <w:style w:type="character" w:customStyle="1" w:styleId="128">
    <w:name w:val="批注文字 Char1"/>
    <w:basedOn w:val="48"/>
    <w:autoRedefine/>
    <w:qFormat/>
    <w:uiPriority w:val="0"/>
    <w:rPr>
      <w:kern w:val="2"/>
      <w:sz w:val="21"/>
      <w:szCs w:val="24"/>
    </w:rPr>
  </w:style>
  <w:style w:type="character" w:customStyle="1" w:styleId="129">
    <w:name w:val="日期 Char1"/>
    <w:basedOn w:val="48"/>
    <w:autoRedefine/>
    <w:qFormat/>
    <w:uiPriority w:val="0"/>
    <w:rPr>
      <w:kern w:val="2"/>
      <w:sz w:val="21"/>
      <w:szCs w:val="24"/>
    </w:rPr>
  </w:style>
  <w:style w:type="character" w:customStyle="1" w:styleId="130">
    <w:name w:val="副标题 Char2"/>
    <w:basedOn w:val="48"/>
    <w:autoRedefine/>
    <w:qFormat/>
    <w:uiPriority w:val="0"/>
    <w:rPr>
      <w:rFonts w:ascii="Calibri Light" w:hAnsi="Calibri Light" w:cs="Times New Roman"/>
      <w:b/>
      <w:bCs/>
      <w:kern w:val="28"/>
      <w:sz w:val="32"/>
      <w:szCs w:val="32"/>
    </w:rPr>
  </w:style>
  <w:style w:type="character" w:customStyle="1" w:styleId="131">
    <w:name w:val="文档结构图 Char1"/>
    <w:autoRedefine/>
    <w:qFormat/>
    <w:uiPriority w:val="0"/>
    <w:rPr>
      <w:rFonts w:ascii="宋体" w:eastAsia="宋体"/>
      <w:kern w:val="2"/>
      <w:sz w:val="18"/>
      <w:szCs w:val="18"/>
    </w:rPr>
  </w:style>
  <w:style w:type="character" w:customStyle="1" w:styleId="132">
    <w:name w:val="批注框文本 Char1"/>
    <w:autoRedefine/>
    <w:qFormat/>
    <w:uiPriority w:val="0"/>
    <w:rPr>
      <w:kern w:val="2"/>
      <w:sz w:val="18"/>
      <w:szCs w:val="18"/>
    </w:rPr>
  </w:style>
  <w:style w:type="character" w:customStyle="1" w:styleId="133">
    <w:name w:val="button"/>
    <w:basedOn w:val="48"/>
    <w:autoRedefine/>
    <w:qFormat/>
    <w:uiPriority w:val="0"/>
  </w:style>
  <w:style w:type="character" w:customStyle="1" w:styleId="134">
    <w:name w:val="标题4 Char Char"/>
    <w:autoRedefine/>
    <w:qFormat/>
    <w:uiPriority w:val="0"/>
    <w:rPr>
      <w:rFonts w:ascii="Arial" w:hAnsi="Arial" w:cs="Arial"/>
      <w:b/>
      <w:bCs/>
      <w:sz w:val="24"/>
      <w:szCs w:val="32"/>
    </w:rPr>
  </w:style>
  <w:style w:type="character" w:customStyle="1" w:styleId="135">
    <w:name w:val="标题 Char1"/>
    <w:basedOn w:val="48"/>
    <w:autoRedefine/>
    <w:qFormat/>
    <w:uiPriority w:val="0"/>
    <w:rPr>
      <w:rFonts w:ascii="Calibri Light" w:hAnsi="Calibri Light" w:cs="Times New Roman"/>
      <w:b/>
      <w:bCs/>
      <w:kern w:val="2"/>
      <w:sz w:val="32"/>
      <w:szCs w:val="32"/>
    </w:rPr>
  </w:style>
  <w:style w:type="character" w:customStyle="1" w:styleId="136">
    <w:name w:val="bds_nopic2"/>
    <w:autoRedefine/>
    <w:qFormat/>
    <w:uiPriority w:val="0"/>
    <w:rPr>
      <w:rFonts w:ascii="Times New Roman" w:hAnsi="Times New Roman" w:eastAsia="宋体" w:cs="Times New Roman"/>
    </w:rPr>
  </w:style>
  <w:style w:type="character" w:customStyle="1" w:styleId="137">
    <w:name w:val="tmpztreemove_arrow"/>
    <w:autoRedefine/>
    <w:qFormat/>
    <w:uiPriority w:val="0"/>
    <w:rPr>
      <w:shd w:val="clear" w:color="auto" w:fill="FFFFFF"/>
    </w:rPr>
  </w:style>
  <w:style w:type="character" w:customStyle="1" w:styleId="138">
    <w:name w:val="批注文字 Char Char"/>
    <w:autoRedefine/>
    <w:qFormat/>
    <w:uiPriority w:val="0"/>
    <w:rPr>
      <w:rFonts w:ascii="宋体" w:eastAsia="宋体" w:cs="Times New Roman"/>
      <w:sz w:val="28"/>
      <w:szCs w:val="20"/>
    </w:rPr>
  </w:style>
  <w:style w:type="character" w:customStyle="1" w:styleId="139">
    <w:name w:val="正文文本 Char1"/>
    <w:basedOn w:val="48"/>
    <w:autoRedefine/>
    <w:qFormat/>
    <w:uiPriority w:val="0"/>
    <w:rPr>
      <w:kern w:val="2"/>
      <w:sz w:val="21"/>
      <w:szCs w:val="24"/>
    </w:rPr>
  </w:style>
  <w:style w:type="character" w:customStyle="1" w:styleId="140">
    <w:name w:val="Char Char Char Char Char Char Char Char Char"/>
    <w:autoRedefine/>
    <w:qFormat/>
    <w:uiPriority w:val="0"/>
    <w:rPr>
      <w:sz w:val="18"/>
      <w:szCs w:val="18"/>
    </w:rPr>
  </w:style>
  <w:style w:type="character" w:customStyle="1" w:styleId="141">
    <w:name w:val="glyphicon4"/>
    <w:basedOn w:val="48"/>
    <w:autoRedefine/>
    <w:qFormat/>
    <w:uiPriority w:val="0"/>
  </w:style>
  <w:style w:type="character" w:customStyle="1" w:styleId="142">
    <w:name w:val="hour_pm"/>
    <w:basedOn w:val="48"/>
    <w:autoRedefine/>
    <w:qFormat/>
    <w:uiPriority w:val="0"/>
  </w:style>
  <w:style w:type="character" w:customStyle="1" w:styleId="143">
    <w:name w:val="rili11"/>
    <w:autoRedefine/>
    <w:qFormat/>
    <w:uiPriority w:val="0"/>
    <w:rPr>
      <w:sz w:val="21"/>
      <w:szCs w:val="21"/>
    </w:rPr>
  </w:style>
  <w:style w:type="character" w:customStyle="1" w:styleId="144">
    <w:name w:val="普通文字1 Char"/>
    <w:autoRedefine/>
    <w:qFormat/>
    <w:uiPriority w:val="0"/>
    <w:rPr>
      <w:rFonts w:ascii="宋体" w:eastAsia="宋体"/>
      <w:kern w:val="2"/>
      <w:sz w:val="21"/>
      <w:lang w:val="en-US" w:eastAsia="zh-CN" w:bidi="ar-SA"/>
    </w:rPr>
  </w:style>
  <w:style w:type="character" w:customStyle="1" w:styleId="145">
    <w:name w:val="hour_am"/>
    <w:basedOn w:val="48"/>
    <w:autoRedefine/>
    <w:qFormat/>
    <w:uiPriority w:val="0"/>
  </w:style>
  <w:style w:type="character" w:customStyle="1" w:styleId="146">
    <w:name w:val="Char Char"/>
    <w:autoRedefine/>
    <w:qFormat/>
    <w:uiPriority w:val="0"/>
    <w:rPr>
      <w:sz w:val="18"/>
      <w:szCs w:val="18"/>
    </w:rPr>
  </w:style>
  <w:style w:type="character" w:customStyle="1" w:styleId="147">
    <w:name w:val="old"/>
    <w:autoRedefine/>
    <w:qFormat/>
    <w:uiPriority w:val="0"/>
    <w:rPr>
      <w:color w:val="999999"/>
    </w:rPr>
  </w:style>
  <w:style w:type="character" w:customStyle="1" w:styleId="148">
    <w:name w:val="批注主题 Char1"/>
    <w:autoRedefine/>
    <w:qFormat/>
    <w:uiPriority w:val="0"/>
    <w:rPr>
      <w:b/>
      <w:bCs/>
      <w:kern w:val="2"/>
      <w:sz w:val="21"/>
      <w:szCs w:val="22"/>
    </w:rPr>
  </w:style>
  <w:style w:type="character" w:customStyle="1" w:styleId="149">
    <w:name w:val="引用 Char2"/>
    <w:basedOn w:val="48"/>
    <w:autoRedefine/>
    <w:qFormat/>
    <w:uiPriority w:val="0"/>
    <w:rPr>
      <w:i/>
      <w:iCs/>
      <w:color w:val="000000"/>
      <w:kern w:val="2"/>
      <w:sz w:val="21"/>
      <w:szCs w:val="24"/>
    </w:rPr>
  </w:style>
  <w:style w:type="character" w:customStyle="1" w:styleId="150">
    <w:name w:val="Blockquote Char Char"/>
    <w:autoRedefine/>
    <w:qFormat/>
    <w:locked/>
    <w:uiPriority w:val="0"/>
    <w:rPr>
      <w:sz w:val="24"/>
    </w:rPr>
  </w:style>
  <w:style w:type="character" w:customStyle="1" w:styleId="151">
    <w:name w:val="textcontents"/>
    <w:autoRedefine/>
    <w:qFormat/>
    <w:uiPriority w:val="0"/>
    <w:rPr>
      <w:rFonts w:ascii="Times New Roman" w:hAnsi="Times New Roman" w:cs="Times New Roman"/>
    </w:rPr>
  </w:style>
  <w:style w:type="character" w:customStyle="1" w:styleId="152">
    <w:name w:val="indent"/>
    <w:basedOn w:val="48"/>
    <w:autoRedefine/>
    <w:qFormat/>
    <w:uiPriority w:val="0"/>
  </w:style>
  <w:style w:type="paragraph" w:customStyle="1" w:styleId="153">
    <w:name w:val="title11"/>
    <w:basedOn w:val="1"/>
    <w:autoRedefine/>
    <w:qFormat/>
    <w:uiPriority w:val="0"/>
    <w:pPr>
      <w:spacing w:before="150" w:line="450" w:lineRule="atLeast"/>
      <w:jc w:val="left"/>
    </w:pPr>
    <w:rPr>
      <w:rFonts w:cs="Times New Roman"/>
      <w:b/>
      <w:kern w:val="0"/>
    </w:rPr>
  </w:style>
  <w:style w:type="character" w:customStyle="1" w:styleId="154">
    <w:name w:val="span-long"/>
    <w:basedOn w:val="48"/>
    <w:autoRedefine/>
    <w:qFormat/>
    <w:uiPriority w:val="0"/>
  </w:style>
  <w:style w:type="character" w:customStyle="1" w:styleId="155">
    <w:name w:val="stclosebtn"/>
    <w:basedOn w:val="48"/>
    <w:autoRedefine/>
    <w:qFormat/>
    <w:uiPriority w:val="0"/>
  </w:style>
  <w:style w:type="character" w:customStyle="1" w:styleId="156">
    <w:name w:val="proollist"/>
    <w:basedOn w:val="48"/>
    <w:autoRedefine/>
    <w:qFormat/>
    <w:uiPriority w:val="0"/>
  </w:style>
  <w:style w:type="character" w:customStyle="1" w:styleId="157">
    <w:name w:val="input-direction"/>
    <w:basedOn w:val="48"/>
    <w:autoRedefine/>
    <w:qFormat/>
    <w:uiPriority w:val="0"/>
    <w:rPr>
      <w:color w:val="FF6600"/>
    </w:rPr>
  </w:style>
  <w:style w:type="character" w:customStyle="1" w:styleId="158">
    <w:name w:val="beforeinfotext"/>
    <w:basedOn w:val="48"/>
    <w:autoRedefine/>
    <w:qFormat/>
    <w:uiPriority w:val="0"/>
    <w:rPr>
      <w:color w:val="666666"/>
    </w:rPr>
  </w:style>
  <w:style w:type="character" w:customStyle="1" w:styleId="159">
    <w:name w:val="hilite6"/>
    <w:basedOn w:val="48"/>
    <w:autoRedefine/>
    <w:qFormat/>
    <w:uiPriority w:val="0"/>
    <w:rPr>
      <w:color w:val="FFFFFF"/>
      <w:shd w:val="clear" w:color="auto" w:fill="666677"/>
    </w:rPr>
  </w:style>
  <w:style w:type="character" w:customStyle="1" w:styleId="160">
    <w:name w:val="phone"/>
    <w:basedOn w:val="48"/>
    <w:autoRedefine/>
    <w:qFormat/>
    <w:uiPriority w:val="0"/>
    <w:rPr>
      <w:color w:val="FF8833"/>
      <w:sz w:val="18"/>
      <w:szCs w:val="18"/>
    </w:rPr>
  </w:style>
  <w:style w:type="character" w:customStyle="1" w:styleId="161">
    <w:name w:val="number"/>
    <w:basedOn w:val="48"/>
    <w:autoRedefine/>
    <w:qFormat/>
    <w:uiPriority w:val="0"/>
    <w:rPr>
      <w:color w:val="FF8833"/>
      <w:sz w:val="18"/>
      <w:szCs w:val="18"/>
    </w:rPr>
  </w:style>
  <w:style w:type="character" w:customStyle="1" w:styleId="162">
    <w:name w:val="active6"/>
    <w:basedOn w:val="48"/>
    <w:autoRedefine/>
    <w:qFormat/>
    <w:uiPriority w:val="0"/>
    <w:rPr>
      <w:color w:val="00FF00"/>
      <w:shd w:val="clear" w:color="auto" w:fill="000000"/>
    </w:rPr>
  </w:style>
  <w:style w:type="character" w:customStyle="1" w:styleId="163">
    <w:name w:val="hilite"/>
    <w:basedOn w:val="48"/>
    <w:autoRedefine/>
    <w:qFormat/>
    <w:uiPriority w:val="0"/>
    <w:rPr>
      <w:color w:val="FFFFFF"/>
      <w:shd w:val="clear" w:color="auto" w:fill="666677"/>
    </w:rPr>
  </w:style>
  <w:style w:type="character" w:customStyle="1" w:styleId="164">
    <w:name w:val="active"/>
    <w:basedOn w:val="48"/>
    <w:autoRedefine/>
    <w:qFormat/>
    <w:uiPriority w:val="0"/>
    <w:rPr>
      <w:color w:val="00FF00"/>
      <w:shd w:val="clear" w:color="auto" w:fill="000000"/>
    </w:rPr>
  </w:style>
  <w:style w:type="paragraph" w:customStyle="1" w:styleId="165">
    <w:name w:val="大写一"/>
    <w:basedOn w:val="1"/>
    <w:autoRedefine/>
    <w:qFormat/>
    <w:uiPriority w:val="0"/>
    <w:pPr>
      <w:spacing w:line="600" w:lineRule="exact"/>
      <w:outlineLvl w:val="1"/>
    </w:pPr>
    <w:rPr>
      <w:rFonts w:ascii="黑体" w:eastAsia="黑体" w:cs="黑体"/>
      <w:sz w:val="32"/>
      <w:szCs w:val="32"/>
    </w:rPr>
  </w:style>
  <w:style w:type="character" w:customStyle="1" w:styleId="166">
    <w:name w:val="脚注文本 Char1"/>
    <w:basedOn w:val="48"/>
    <w:autoRedefine/>
    <w:qFormat/>
    <w:uiPriority w:val="0"/>
    <w:rPr>
      <w:rFonts w:eastAsia="楷体"/>
      <w:kern w:val="2"/>
      <w:sz w:val="18"/>
      <w:szCs w:val="18"/>
    </w:rPr>
  </w:style>
  <w:style w:type="paragraph" w:customStyle="1" w:styleId="167">
    <w:name w:val="要点小标题"/>
    <w:basedOn w:val="1"/>
    <w:autoRedefine/>
    <w:qFormat/>
    <w:uiPriority w:val="0"/>
    <w:pPr>
      <w:spacing w:before="50" w:beforeLines="50" w:after="50" w:afterLines="50"/>
      <w:ind w:firstLine="0" w:firstLineChars="0"/>
      <w:jc w:val="left"/>
    </w:pPr>
    <w:rPr>
      <w:rFonts w:eastAsia="宋体"/>
      <w:kern w:val="0"/>
      <w:sz w:val="28"/>
      <w:szCs w:val="28"/>
    </w:rPr>
  </w:style>
  <w:style w:type="character" w:customStyle="1" w:styleId="168">
    <w:name w:val="不明显强调2"/>
    <w:autoRedefine/>
    <w:qFormat/>
    <w:uiPriority w:val="0"/>
    <w:rPr>
      <w:i/>
      <w:iCs/>
      <w:color w:val="808080"/>
    </w:rPr>
  </w:style>
  <w:style w:type="character" w:customStyle="1" w:styleId="169">
    <w:name w:val="书籍标题2"/>
    <w:autoRedefine/>
    <w:qFormat/>
    <w:uiPriority w:val="0"/>
    <w:rPr>
      <w:b/>
      <w:bCs/>
      <w:smallCaps/>
      <w:spacing w:val="5"/>
    </w:rPr>
  </w:style>
  <w:style w:type="character" w:customStyle="1" w:styleId="170">
    <w:name w:val="正文文本缩进 Char2"/>
    <w:autoRedefine/>
    <w:qFormat/>
    <w:uiPriority w:val="0"/>
    <w:rPr>
      <w:rFonts w:ascii="方正仿宋简体" w:eastAsia="方正仿宋简体"/>
      <w:spacing w:val="30"/>
      <w:w w:val="80"/>
      <w:sz w:val="32"/>
    </w:rPr>
  </w:style>
  <w:style w:type="character" w:customStyle="1" w:styleId="171">
    <w:name w:val="正文文本缩进 Char1"/>
    <w:basedOn w:val="48"/>
    <w:autoRedefine/>
    <w:qFormat/>
    <w:uiPriority w:val="0"/>
  </w:style>
  <w:style w:type="paragraph" w:customStyle="1" w:styleId="172">
    <w:name w:val="抽查正文"/>
    <w:basedOn w:val="1"/>
    <w:autoRedefine/>
    <w:qFormat/>
    <w:uiPriority w:val="0"/>
    <w:rPr>
      <w:rFonts w:ascii="宋体" w:eastAsia="宋体"/>
      <w:kern w:val="0"/>
      <w:sz w:val="28"/>
      <w:szCs w:val="20"/>
    </w:rPr>
  </w:style>
  <w:style w:type="character" w:customStyle="1" w:styleId="173">
    <w:name w:val="纯文本 Char1"/>
    <w:autoRedefine/>
    <w:qFormat/>
    <w:uiPriority w:val="0"/>
    <w:rPr>
      <w:rFonts w:ascii="宋体" w:cs="Courier New"/>
      <w:kern w:val="2"/>
      <w:sz w:val="21"/>
      <w:szCs w:val="21"/>
    </w:rPr>
  </w:style>
  <w:style w:type="paragraph" w:customStyle="1" w:styleId="174">
    <w:name w:val="国抽表"/>
    <w:basedOn w:val="1"/>
    <w:autoRedefine/>
    <w:qFormat/>
    <w:uiPriority w:val="0"/>
    <w:pPr>
      <w:spacing w:before="50" w:beforeLines="50" w:line="240" w:lineRule="auto"/>
      <w:ind w:firstLine="0" w:firstLineChars="0"/>
      <w:jc w:val="center"/>
    </w:pPr>
    <w:rPr>
      <w:rFonts w:ascii="宋体" w:eastAsia="宋体"/>
      <w:kern w:val="0"/>
    </w:rPr>
  </w:style>
  <w:style w:type="paragraph" w:customStyle="1" w:styleId="175">
    <w:name w:val="表名"/>
    <w:basedOn w:val="1"/>
    <w:autoRedefine/>
    <w:qFormat/>
    <w:uiPriority w:val="0"/>
    <w:pPr>
      <w:spacing w:before="50" w:beforeLines="50" w:after="50" w:afterLines="50"/>
      <w:ind w:firstLine="0" w:firstLineChars="0"/>
      <w:jc w:val="center"/>
    </w:pPr>
    <w:rPr>
      <w:rFonts w:ascii="黑体" w:eastAsia="黑体"/>
      <w:kern w:val="0"/>
    </w:rPr>
  </w:style>
  <w:style w:type="character" w:customStyle="1" w:styleId="176">
    <w:name w:val="headlinewhite1"/>
    <w:autoRedefine/>
    <w:qFormat/>
    <w:uiPriority w:val="0"/>
    <w:rPr>
      <w:rFonts w:ascii="Verdana" w:hAnsi="Verdana"/>
      <w:b/>
      <w:bCs/>
      <w:color w:val="FFFFFF"/>
      <w:sz w:val="18"/>
      <w:szCs w:val="18"/>
    </w:rPr>
  </w:style>
  <w:style w:type="character" w:customStyle="1" w:styleId="177">
    <w:name w:val="正文首行缩进 Char1"/>
    <w:autoRedefine/>
    <w:qFormat/>
    <w:uiPriority w:val="0"/>
    <w:rPr>
      <w:rFonts w:ascii="Copperplate Gothic Bold" w:hAnsi="Copperplate Gothic Bold" w:eastAsia="楷体" w:cs="Arial"/>
      <w:kern w:val="2"/>
      <w:sz w:val="24"/>
      <w:szCs w:val="24"/>
    </w:rPr>
  </w:style>
  <w:style w:type="paragraph" w:customStyle="1" w:styleId="178">
    <w:name w:val="图名"/>
    <w:basedOn w:val="1"/>
    <w:autoRedefine/>
    <w:qFormat/>
    <w:uiPriority w:val="0"/>
    <w:pPr>
      <w:spacing w:before="50" w:beforeLines="50" w:after="50" w:afterLines="50"/>
      <w:ind w:firstLine="0" w:firstLineChars="0"/>
      <w:jc w:val="center"/>
    </w:pPr>
    <w:rPr>
      <w:rFonts w:eastAsia="黑体"/>
      <w:kern w:val="0"/>
    </w:rPr>
  </w:style>
  <w:style w:type="paragraph" w:customStyle="1" w:styleId="179">
    <w:name w:val="国抽图"/>
    <w:basedOn w:val="1"/>
    <w:autoRedefine/>
    <w:qFormat/>
    <w:uiPriority w:val="0"/>
    <w:pPr>
      <w:spacing w:before="50" w:beforeLines="50" w:after="50" w:afterLines="50" w:line="240" w:lineRule="auto"/>
      <w:ind w:firstLine="0" w:firstLineChars="0"/>
      <w:jc w:val="center"/>
    </w:pPr>
    <w:rPr>
      <w:rFonts w:ascii="宋体" w:hAnsi="宋体" w:eastAsia="黑体"/>
      <w:kern w:val="0"/>
    </w:rPr>
  </w:style>
  <w:style w:type="character" w:customStyle="1" w:styleId="180">
    <w:name w:val="标题 4 字符1"/>
    <w:autoRedefine/>
    <w:qFormat/>
    <w:uiPriority w:val="0"/>
    <w:rPr>
      <w:rFonts w:ascii="Cambria" w:hAnsi="Cambria" w:eastAsia="宋体" w:cs="Times New Roman"/>
      <w:b/>
      <w:bCs/>
      <w:sz w:val="28"/>
      <w:szCs w:val="28"/>
    </w:rPr>
  </w:style>
  <w:style w:type="paragraph" w:customStyle="1" w:styleId="181">
    <w:name w:val="无间隔1"/>
    <w:autoRedefine/>
    <w:qFormat/>
    <w:uiPriority w:val="0"/>
    <w:pPr>
      <w:jc w:val="both"/>
    </w:pPr>
    <w:rPr>
      <w:rFonts w:ascii="Calibri" w:hAnsi="Calibri" w:eastAsia="宋体" w:cs="Arial"/>
      <w:sz w:val="22"/>
      <w:szCs w:val="20"/>
      <w:lang w:val="en-US" w:eastAsia="zh-CN" w:bidi="ar-SA"/>
    </w:rPr>
  </w:style>
  <w:style w:type="paragraph" w:customStyle="1" w:styleId="182">
    <w:name w:val="引用1"/>
    <w:basedOn w:val="1"/>
    <w:next w:val="1"/>
    <w:autoRedefine/>
    <w:qFormat/>
    <w:uiPriority w:val="0"/>
    <w:pPr>
      <w:spacing w:line="240" w:lineRule="auto"/>
      <w:ind w:firstLine="0" w:firstLineChars="0"/>
    </w:pPr>
    <w:rPr>
      <w:rFonts w:ascii="Calibri" w:hAnsi="Calibri" w:eastAsia="宋体"/>
      <w:i/>
      <w:iCs/>
      <w:color w:val="000000"/>
      <w:kern w:val="0"/>
      <w:sz w:val="20"/>
      <w:szCs w:val="20"/>
    </w:rPr>
  </w:style>
  <w:style w:type="character" w:customStyle="1" w:styleId="183">
    <w:name w:val="标题 字符1"/>
    <w:autoRedefine/>
    <w:qFormat/>
    <w:uiPriority w:val="0"/>
    <w:rPr>
      <w:rFonts w:ascii="Cambria" w:hAnsi="Cambria" w:eastAsia="宋体" w:cs="Times New Roman"/>
      <w:b/>
      <w:bCs/>
      <w:sz w:val="32"/>
      <w:szCs w:val="32"/>
    </w:rPr>
  </w:style>
  <w:style w:type="character" w:customStyle="1" w:styleId="184">
    <w:name w:val="正文文本 2 Char1"/>
    <w:basedOn w:val="48"/>
    <w:autoRedefine/>
    <w:qFormat/>
    <w:uiPriority w:val="0"/>
  </w:style>
  <w:style w:type="character" w:customStyle="1" w:styleId="185">
    <w:name w:val="正文文本 3 Char1"/>
    <w:basedOn w:val="48"/>
    <w:autoRedefine/>
    <w:qFormat/>
    <w:uiPriority w:val="0"/>
    <w:rPr>
      <w:sz w:val="16"/>
      <w:szCs w:val="16"/>
    </w:rPr>
  </w:style>
  <w:style w:type="character" w:customStyle="1" w:styleId="186">
    <w:name w:val="正文首行缩进 2 Char1"/>
    <w:basedOn w:val="171"/>
    <w:autoRedefine/>
    <w:qFormat/>
    <w:uiPriority w:val="0"/>
  </w:style>
  <w:style w:type="character" w:customStyle="1" w:styleId="187">
    <w:name w:val="明显强调2"/>
    <w:autoRedefine/>
    <w:qFormat/>
    <w:uiPriority w:val="0"/>
    <w:rPr>
      <w:b/>
      <w:bCs/>
      <w:i/>
      <w:iCs/>
      <w:color w:val="4F81BD"/>
    </w:rPr>
  </w:style>
  <w:style w:type="character" w:customStyle="1" w:styleId="188">
    <w:name w:val="明显强调11"/>
    <w:autoRedefine/>
    <w:qFormat/>
    <w:uiPriority w:val="0"/>
    <w:rPr>
      <w:rFonts w:cs="Times New Roman"/>
      <w:b/>
      <w:bCs/>
      <w:i/>
      <w:iCs/>
      <w:color w:val="4F81BD"/>
    </w:rPr>
  </w:style>
  <w:style w:type="character" w:customStyle="1" w:styleId="189">
    <w:name w:val="书籍标题11"/>
    <w:autoRedefine/>
    <w:qFormat/>
    <w:uiPriority w:val="0"/>
    <w:rPr>
      <w:rFonts w:cs="Times New Roman"/>
      <w:b/>
      <w:bCs/>
      <w:smallCaps/>
      <w:spacing w:val="5"/>
    </w:rPr>
  </w:style>
  <w:style w:type="character" w:customStyle="1" w:styleId="190">
    <w:name w:val="不明显强调11"/>
    <w:autoRedefine/>
    <w:qFormat/>
    <w:uiPriority w:val="0"/>
    <w:rPr>
      <w:rFonts w:cs="Times New Roman"/>
      <w:i/>
      <w:iCs/>
      <w:color w:val="7F7F7F"/>
    </w:rPr>
  </w:style>
  <w:style w:type="paragraph" w:customStyle="1" w:styleId="191">
    <w:name w:val="无间隔2"/>
    <w:autoRedefine/>
    <w:qFormat/>
    <w:uiPriority w:val="0"/>
    <w:pPr>
      <w:jc w:val="both"/>
    </w:pPr>
    <w:rPr>
      <w:rFonts w:ascii="Calibri" w:hAnsi="Calibri" w:eastAsia="宋体" w:cs="Arial"/>
      <w:sz w:val="22"/>
      <w:szCs w:val="20"/>
      <w:lang w:val="en-US" w:eastAsia="zh-CN" w:bidi="ar-SA"/>
    </w:rPr>
  </w:style>
  <w:style w:type="character" w:customStyle="1" w:styleId="192">
    <w:name w:val="明显强调21"/>
    <w:autoRedefine/>
    <w:qFormat/>
    <w:uiPriority w:val="0"/>
    <w:rPr>
      <w:rFonts w:cs="Times New Roman"/>
      <w:b/>
      <w:bCs/>
      <w:i/>
      <w:iCs/>
      <w:color w:val="4F81BD"/>
    </w:rPr>
  </w:style>
  <w:style w:type="character" w:customStyle="1" w:styleId="193">
    <w:name w:val="书籍标题21"/>
    <w:autoRedefine/>
    <w:qFormat/>
    <w:uiPriority w:val="0"/>
    <w:rPr>
      <w:rFonts w:cs="Times New Roman"/>
      <w:b/>
      <w:bCs/>
      <w:smallCaps/>
      <w:spacing w:val="5"/>
    </w:rPr>
  </w:style>
  <w:style w:type="paragraph" w:customStyle="1" w:styleId="194">
    <w:name w:val="引用2"/>
    <w:basedOn w:val="1"/>
    <w:next w:val="1"/>
    <w:autoRedefine/>
    <w:qFormat/>
    <w:uiPriority w:val="0"/>
    <w:pPr>
      <w:spacing w:line="240" w:lineRule="auto"/>
      <w:ind w:firstLine="0" w:firstLineChars="0"/>
    </w:pPr>
    <w:rPr>
      <w:rFonts w:ascii="Calibri" w:hAnsi="Calibri" w:eastAsia="宋体"/>
      <w:i/>
      <w:iCs/>
      <w:color w:val="000000"/>
      <w:kern w:val="0"/>
      <w:sz w:val="20"/>
      <w:szCs w:val="20"/>
    </w:rPr>
  </w:style>
  <w:style w:type="character" w:customStyle="1" w:styleId="195">
    <w:name w:val="不明显强调21"/>
    <w:autoRedefine/>
    <w:qFormat/>
    <w:uiPriority w:val="0"/>
    <w:rPr>
      <w:rFonts w:cs="Times New Roman"/>
      <w:i/>
      <w:iCs/>
      <w:color w:val="808080"/>
    </w:rPr>
  </w:style>
  <w:style w:type="character" w:customStyle="1" w:styleId="196">
    <w:name w:val="font61"/>
    <w:autoRedefine/>
    <w:qFormat/>
    <w:uiPriority w:val="0"/>
    <w:rPr>
      <w:rFonts w:ascii="Times New Roman" w:hAnsi="Times New Roman" w:cs="Times New Roman"/>
      <w:b/>
      <w:color w:val="000000"/>
      <w:sz w:val="21"/>
      <w:szCs w:val="21"/>
      <w:u w:val="none"/>
    </w:rPr>
  </w:style>
  <w:style w:type="character" w:customStyle="1" w:styleId="197">
    <w:name w:val="font51"/>
    <w:autoRedefine/>
    <w:qFormat/>
    <w:uiPriority w:val="0"/>
    <w:rPr>
      <w:rFonts w:ascii="Times New Roman" w:hAnsi="Times New Roman" w:cs="Times New Roman"/>
      <w:color w:val="000000"/>
      <w:sz w:val="24"/>
      <w:szCs w:val="24"/>
      <w:u w:val="none"/>
    </w:rPr>
  </w:style>
  <w:style w:type="character" w:customStyle="1" w:styleId="198">
    <w:name w:val="font41"/>
    <w:basedOn w:val="48"/>
    <w:autoRedefine/>
    <w:qFormat/>
    <w:uiPriority w:val="0"/>
    <w:rPr>
      <w:rFonts w:ascii="宋体" w:eastAsia="宋体" w:cs="宋体"/>
      <w:b/>
      <w:color w:val="000000"/>
      <w:sz w:val="24"/>
      <w:szCs w:val="24"/>
      <w:u w:val="none"/>
    </w:rPr>
  </w:style>
  <w:style w:type="character" w:customStyle="1" w:styleId="199">
    <w:name w:val="font11"/>
    <w:basedOn w:val="48"/>
    <w:autoRedefine/>
    <w:qFormat/>
    <w:uiPriority w:val="0"/>
    <w:rPr>
      <w:rFonts w:ascii="Times New Roman" w:hAnsi="Times New Roman" w:cs="Times New Roman"/>
      <w:color w:val="000000"/>
      <w:sz w:val="24"/>
      <w:szCs w:val="24"/>
      <w:u w:val="none"/>
    </w:rPr>
  </w:style>
  <w:style w:type="character" w:customStyle="1" w:styleId="200">
    <w:name w:val="font01"/>
    <w:autoRedefine/>
    <w:qFormat/>
    <w:uiPriority w:val="0"/>
    <w:rPr>
      <w:rFonts w:ascii="Times New Roman" w:hAnsi="Times New Roman" w:cs="Times New Roman"/>
      <w:color w:val="000000"/>
      <w:sz w:val="24"/>
      <w:szCs w:val="24"/>
      <w:u w:val="none"/>
    </w:rPr>
  </w:style>
  <w:style w:type="paragraph" w:customStyle="1" w:styleId="201">
    <w:name w:val="xl92"/>
    <w:basedOn w:val="1"/>
    <w:autoRedefine/>
    <w:qFormat/>
    <w:uiPriority w:val="0"/>
    <w:pPr>
      <w:widowControl/>
      <w:pBdr>
        <w:left w:val="single" w:color="auto" w:sz="8" w:space="0"/>
        <w:right w:val="single" w:color="auto" w:sz="8" w:space="0"/>
      </w:pBdr>
      <w:shd w:val="clear" w:color="000000" w:fill="99CCFF"/>
      <w:spacing w:before="100" w:beforeAutospacing="1" w:after="100" w:afterAutospacing="1" w:line="240" w:lineRule="auto"/>
      <w:ind w:firstLine="0" w:firstLineChars="0"/>
      <w:jc w:val="center"/>
      <w:textAlignment w:val="center"/>
    </w:pPr>
    <w:rPr>
      <w:rFonts w:ascii="宋体" w:eastAsia="宋体" w:cs="宋体"/>
      <w:kern w:val="0"/>
      <w:sz w:val="18"/>
      <w:szCs w:val="18"/>
    </w:rPr>
  </w:style>
  <w:style w:type="paragraph" w:customStyle="1" w:styleId="202">
    <w:name w:val="列出段落1"/>
    <w:basedOn w:val="1"/>
    <w:autoRedefine/>
    <w:qFormat/>
    <w:uiPriority w:val="0"/>
    <w:pPr>
      <w:spacing w:line="240" w:lineRule="auto"/>
    </w:pPr>
    <w:rPr>
      <w:rFonts w:ascii="Calibri" w:hAnsi="Calibri" w:eastAsia="宋体" w:cs="Calibri"/>
      <w:sz w:val="21"/>
      <w:szCs w:val="21"/>
    </w:rPr>
  </w:style>
  <w:style w:type="paragraph" w:customStyle="1" w:styleId="203">
    <w:name w:val="xl93"/>
    <w:basedOn w:val="1"/>
    <w:autoRedefine/>
    <w:qFormat/>
    <w:uiPriority w:val="0"/>
    <w:pPr>
      <w:widowControl/>
      <w:pBdr>
        <w:left w:val="single" w:color="auto" w:sz="8" w:space="0"/>
        <w:bottom w:val="single" w:color="auto" w:sz="8" w:space="0"/>
        <w:right w:val="single" w:color="auto" w:sz="8" w:space="0"/>
      </w:pBdr>
      <w:shd w:val="clear" w:color="000000" w:fill="99CCFF"/>
      <w:spacing w:before="100" w:beforeAutospacing="1" w:after="100" w:afterAutospacing="1" w:line="240" w:lineRule="auto"/>
      <w:ind w:firstLine="0" w:firstLineChars="0"/>
      <w:jc w:val="center"/>
      <w:textAlignment w:val="center"/>
    </w:pPr>
    <w:rPr>
      <w:rFonts w:ascii="宋体" w:eastAsia="宋体" w:cs="宋体"/>
      <w:kern w:val="0"/>
      <w:sz w:val="18"/>
      <w:szCs w:val="18"/>
    </w:rPr>
  </w:style>
  <w:style w:type="paragraph" w:customStyle="1" w:styleId="204">
    <w:name w:val="列出段落2"/>
    <w:basedOn w:val="1"/>
    <w:autoRedefine/>
    <w:qFormat/>
    <w:uiPriority w:val="0"/>
    <w:pPr>
      <w:spacing w:line="240" w:lineRule="auto"/>
    </w:pPr>
    <w:rPr>
      <w:rFonts w:ascii="Calibri" w:hAnsi="Calibri" w:eastAsia="宋体" w:cs="Times New Roman"/>
      <w:sz w:val="21"/>
      <w:szCs w:val="22"/>
    </w:rPr>
  </w:style>
  <w:style w:type="paragraph" w:customStyle="1" w:styleId="205">
    <w:name w:val="发文稿纸"/>
    <w:basedOn w:val="1"/>
    <w:autoRedefine/>
    <w:qFormat/>
    <w:uiPriority w:val="0"/>
    <w:pPr>
      <w:spacing w:after="50" w:afterLines="50" w:line="240" w:lineRule="auto"/>
      <w:ind w:firstLine="0" w:firstLineChars="0"/>
      <w:jc w:val="center"/>
    </w:pPr>
    <w:rPr>
      <w:rFonts w:ascii="Times New Roman" w:hAnsi="Times New Roman" w:eastAsia="宋体" w:cs="Times New Roman"/>
      <w:b/>
      <w:bCs/>
      <w:sz w:val="32"/>
    </w:rPr>
  </w:style>
  <w:style w:type="paragraph" w:customStyle="1" w:styleId="206">
    <w:name w:val="TOC 标题1"/>
    <w:basedOn w:val="2"/>
    <w:next w:val="1"/>
    <w:autoRedefine/>
    <w:qFormat/>
    <w:uiPriority w:val="0"/>
    <w:pPr>
      <w:keepNext/>
      <w:keepLines/>
      <w:widowControl/>
      <w:numPr>
        <w:ilvl w:val="0"/>
        <w:numId w:val="0"/>
      </w:numPr>
      <w:spacing w:before="0" w:after="0" w:line="276" w:lineRule="auto"/>
      <w:ind w:left="420" w:hanging="420"/>
      <w:jc w:val="left"/>
      <w:outlineLvl w:val="9"/>
    </w:pPr>
    <w:rPr>
      <w:rFonts w:ascii="Cambria" w:hAnsi="Cambria" w:eastAsia="宋体" w:cs="Times New Roman"/>
      <w:bCs/>
      <w:color w:val="365F91"/>
      <w:kern w:val="0"/>
      <w:sz w:val="28"/>
      <w:szCs w:val="28"/>
    </w:rPr>
  </w:style>
  <w:style w:type="paragraph" w:customStyle="1" w:styleId="207">
    <w:name w:val="copy"/>
    <w:basedOn w:val="1"/>
    <w:autoRedefine/>
    <w:qFormat/>
    <w:uiPriority w:val="0"/>
    <w:pPr>
      <w:widowControl/>
      <w:spacing w:before="100" w:beforeAutospacing="1" w:after="100" w:afterAutospacing="1" w:line="240" w:lineRule="auto"/>
      <w:ind w:firstLine="0" w:firstLineChars="0"/>
      <w:jc w:val="left"/>
    </w:pPr>
    <w:rPr>
      <w:rFonts w:ascii="Verdana" w:hAnsi="Verdana" w:eastAsia="宋体" w:cs="宋体"/>
      <w:color w:val="000000"/>
      <w:kern w:val="0"/>
      <w:sz w:val="18"/>
      <w:szCs w:val="18"/>
    </w:rPr>
  </w:style>
  <w:style w:type="paragraph" w:customStyle="1" w:styleId="208">
    <w:name w:val="msonormal"/>
    <w:basedOn w:val="1"/>
    <w:autoRedefine/>
    <w:qFormat/>
    <w:uiPriority w:val="0"/>
    <w:pPr>
      <w:widowControl/>
      <w:spacing w:before="100" w:beforeAutospacing="1" w:after="100" w:afterAutospacing="1" w:line="240" w:lineRule="auto"/>
      <w:ind w:firstLine="0" w:firstLineChars="0"/>
      <w:jc w:val="left"/>
    </w:pPr>
    <w:rPr>
      <w:rFonts w:ascii="宋体" w:eastAsia="宋体" w:cs="宋体"/>
      <w:kern w:val="0"/>
    </w:rPr>
  </w:style>
  <w:style w:type="paragraph" w:customStyle="1" w:styleId="209">
    <w:name w:val="段"/>
    <w:autoRedefine/>
    <w:qFormat/>
    <w:uiPriority w:val="0"/>
    <w:pPr>
      <w:autoSpaceDE w:val="0"/>
      <w:autoSpaceDN w:val="0"/>
      <w:ind w:firstLine="200" w:firstLineChars="200"/>
      <w:jc w:val="both"/>
    </w:pPr>
    <w:rPr>
      <w:rFonts w:ascii="宋体" w:hAnsi="Times New Roman" w:eastAsia="宋体" w:cs="Times New Roman"/>
      <w:sz w:val="21"/>
      <w:szCs w:val="20"/>
      <w:lang w:val="en-US" w:eastAsia="zh-CN" w:bidi="ar-SA"/>
    </w:rPr>
  </w:style>
  <w:style w:type="paragraph" w:customStyle="1" w:styleId="210">
    <w:name w:val="xl76"/>
    <w:basedOn w:val="1"/>
    <w:autoRedefine/>
    <w:qFormat/>
    <w:uiPriority w:val="0"/>
    <w:pPr>
      <w:widowControl/>
      <w:pBdr>
        <w:top w:val="single" w:color="auto" w:sz="8" w:space="0"/>
        <w:left w:val="single" w:color="auto" w:sz="8" w:space="0"/>
        <w:bottom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eastAsia="宋体" w:cs="宋体"/>
      <w:kern w:val="0"/>
    </w:rPr>
  </w:style>
  <w:style w:type="paragraph" w:customStyle="1" w:styleId="211">
    <w:name w:val="xl77"/>
    <w:basedOn w:val="1"/>
    <w:autoRedefine/>
    <w:qFormat/>
    <w:uiPriority w:val="0"/>
    <w:pPr>
      <w:widowControl/>
      <w:pBdr>
        <w:top w:val="single" w:color="auto" w:sz="8" w:space="0"/>
        <w:bottom w:val="single" w:color="auto" w:sz="8" w:space="0"/>
        <w:right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eastAsia="宋体" w:cs="宋体"/>
      <w:kern w:val="0"/>
    </w:rPr>
  </w:style>
  <w:style w:type="paragraph" w:customStyle="1" w:styleId="212">
    <w:name w:val="xl78"/>
    <w:basedOn w:val="1"/>
    <w:autoRedefine/>
    <w:qFormat/>
    <w:uiPriority w:val="0"/>
    <w:pPr>
      <w:widowControl/>
      <w:pBdr>
        <w:top w:val="single" w:color="auto" w:sz="8" w:space="0"/>
        <w:left w:val="single" w:color="auto" w:sz="8" w:space="0"/>
        <w:bottom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eastAsia="宋体" w:cs="宋体"/>
      <w:kern w:val="0"/>
    </w:rPr>
  </w:style>
  <w:style w:type="paragraph" w:customStyle="1" w:styleId="213">
    <w:name w:val="xl79"/>
    <w:basedOn w:val="1"/>
    <w:autoRedefine/>
    <w:qFormat/>
    <w:uiPriority w:val="0"/>
    <w:pPr>
      <w:widowControl/>
      <w:pBdr>
        <w:top w:val="single" w:color="auto" w:sz="8" w:space="0"/>
        <w:bottom w:val="single" w:color="auto" w:sz="8" w:space="0"/>
        <w:right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eastAsia="宋体" w:cs="宋体"/>
      <w:kern w:val="0"/>
    </w:rPr>
  </w:style>
  <w:style w:type="paragraph" w:customStyle="1" w:styleId="214">
    <w:name w:val="xl80"/>
    <w:basedOn w:val="1"/>
    <w:autoRedefine/>
    <w:qFormat/>
    <w:uiPriority w:val="0"/>
    <w:pPr>
      <w:widowControl/>
      <w:pBdr>
        <w:top w:val="single" w:color="auto" w:sz="8" w:space="0"/>
        <w:left w:val="single" w:color="auto" w:sz="8" w:space="0"/>
        <w:bottom w:val="single" w:color="auto" w:sz="8" w:space="0"/>
        <w:right w:val="single" w:color="auto" w:sz="8" w:space="0"/>
      </w:pBdr>
      <w:shd w:val="clear" w:color="000000" w:fill="99CCFF"/>
      <w:spacing w:before="100" w:beforeAutospacing="1" w:after="100" w:afterAutospacing="1" w:line="240" w:lineRule="auto"/>
      <w:ind w:firstLine="0" w:firstLineChars="0"/>
      <w:jc w:val="left"/>
      <w:textAlignment w:val="center"/>
    </w:pPr>
    <w:rPr>
      <w:rFonts w:ascii="宋体" w:eastAsia="宋体" w:cs="宋体"/>
      <w:kern w:val="0"/>
    </w:rPr>
  </w:style>
  <w:style w:type="paragraph" w:customStyle="1" w:styleId="215">
    <w:name w:val="xl81"/>
    <w:basedOn w:val="1"/>
    <w:autoRedefine/>
    <w:qFormat/>
    <w:uiPriority w:val="0"/>
    <w:pPr>
      <w:widowControl/>
      <w:pBdr>
        <w:left w:val="single" w:color="auto" w:sz="8" w:space="0"/>
        <w:bottom w:val="single" w:color="auto" w:sz="8" w:space="0"/>
        <w:right w:val="single" w:color="auto" w:sz="8" w:space="0"/>
      </w:pBdr>
      <w:shd w:val="clear" w:color="000000" w:fill="99CCFF"/>
      <w:spacing w:before="100" w:beforeAutospacing="1" w:after="100" w:afterAutospacing="1" w:line="240" w:lineRule="auto"/>
      <w:ind w:firstLine="0" w:firstLineChars="0"/>
      <w:jc w:val="left"/>
      <w:textAlignment w:val="center"/>
    </w:pPr>
    <w:rPr>
      <w:rFonts w:ascii="宋体" w:eastAsia="宋体" w:cs="宋体"/>
      <w:kern w:val="0"/>
    </w:rPr>
  </w:style>
  <w:style w:type="paragraph" w:customStyle="1" w:styleId="216">
    <w:name w:val="xl82"/>
    <w:basedOn w:val="1"/>
    <w:autoRedefine/>
    <w:qFormat/>
    <w:uiPriority w:val="0"/>
    <w:pPr>
      <w:widowControl/>
      <w:pBdr>
        <w:left w:val="single" w:color="auto" w:sz="8" w:space="0"/>
        <w:bottom w:val="single" w:color="auto" w:sz="8" w:space="0"/>
        <w:right w:val="single" w:color="auto" w:sz="8" w:space="0"/>
      </w:pBdr>
      <w:shd w:val="clear" w:color="000000" w:fill="FFFF00"/>
      <w:spacing w:before="100" w:beforeAutospacing="1" w:after="100" w:afterAutospacing="1" w:line="240" w:lineRule="auto"/>
      <w:ind w:firstLine="0" w:firstLineChars="0"/>
      <w:jc w:val="center"/>
      <w:textAlignment w:val="center"/>
    </w:pPr>
    <w:rPr>
      <w:rFonts w:ascii="宋体" w:eastAsia="宋体" w:cs="宋体"/>
      <w:kern w:val="0"/>
    </w:rPr>
  </w:style>
  <w:style w:type="paragraph" w:customStyle="1" w:styleId="217">
    <w:name w:val="xl83"/>
    <w:basedOn w:val="1"/>
    <w:autoRedefine/>
    <w:qFormat/>
    <w:uiPriority w:val="0"/>
    <w:pPr>
      <w:widowControl/>
      <w:pBdr>
        <w:left w:val="single" w:color="auto" w:sz="8" w:space="0"/>
        <w:bottom w:val="single" w:color="auto" w:sz="8" w:space="0"/>
        <w:right w:val="single" w:color="auto" w:sz="8" w:space="0"/>
      </w:pBdr>
      <w:shd w:val="clear" w:color="000000" w:fill="FFFF00"/>
      <w:spacing w:before="100" w:beforeAutospacing="1" w:after="100" w:afterAutospacing="1" w:line="240" w:lineRule="auto"/>
      <w:ind w:firstLine="0" w:firstLineChars="0"/>
      <w:jc w:val="left"/>
      <w:textAlignment w:val="center"/>
    </w:pPr>
    <w:rPr>
      <w:rFonts w:ascii="宋体" w:eastAsia="宋体" w:cs="宋体"/>
      <w:kern w:val="0"/>
    </w:rPr>
  </w:style>
  <w:style w:type="paragraph" w:customStyle="1" w:styleId="218">
    <w:name w:val="xl84"/>
    <w:basedOn w:val="1"/>
    <w:autoRedefine/>
    <w:qFormat/>
    <w:uiPriority w:val="0"/>
    <w:pPr>
      <w:widowControl/>
      <w:pBdr>
        <w:bottom w:val="single" w:color="auto" w:sz="8" w:space="0"/>
        <w:right w:val="single" w:color="auto" w:sz="8" w:space="0"/>
      </w:pBdr>
      <w:shd w:val="clear" w:color="000000" w:fill="FFFF00"/>
      <w:spacing w:before="100" w:beforeAutospacing="1" w:after="100" w:afterAutospacing="1" w:line="240" w:lineRule="auto"/>
      <w:ind w:firstLine="0" w:firstLineChars="0"/>
      <w:jc w:val="center"/>
      <w:textAlignment w:val="center"/>
    </w:pPr>
    <w:rPr>
      <w:rFonts w:ascii="宋体" w:eastAsia="宋体" w:cs="宋体"/>
      <w:kern w:val="0"/>
    </w:rPr>
  </w:style>
  <w:style w:type="paragraph" w:customStyle="1" w:styleId="219">
    <w:name w:val="xl85"/>
    <w:basedOn w:val="1"/>
    <w:autoRedefine/>
    <w:qFormat/>
    <w:uiPriority w:val="0"/>
    <w:pPr>
      <w:widowControl/>
      <w:pBdr>
        <w:bottom w:val="single" w:color="auto" w:sz="8" w:space="0"/>
        <w:right w:val="single" w:color="auto" w:sz="8" w:space="0"/>
      </w:pBdr>
      <w:shd w:val="clear" w:color="000000" w:fill="FFFF00"/>
      <w:spacing w:before="100" w:beforeAutospacing="1" w:after="100" w:afterAutospacing="1" w:line="240" w:lineRule="auto"/>
      <w:ind w:firstLine="0" w:firstLineChars="0"/>
      <w:jc w:val="center"/>
      <w:textAlignment w:val="center"/>
    </w:pPr>
    <w:rPr>
      <w:rFonts w:ascii="宋体" w:eastAsia="宋体" w:cs="宋体"/>
      <w:kern w:val="0"/>
    </w:rPr>
  </w:style>
  <w:style w:type="paragraph" w:customStyle="1" w:styleId="220">
    <w:name w:val="xl86"/>
    <w:basedOn w:val="1"/>
    <w:autoRedefine/>
    <w:qFormat/>
    <w:uiPriority w:val="0"/>
    <w:pPr>
      <w:widowControl/>
      <w:shd w:val="clear" w:color="000000" w:fill="FFFF00"/>
      <w:spacing w:before="100" w:beforeAutospacing="1" w:after="100" w:afterAutospacing="1" w:line="240" w:lineRule="auto"/>
      <w:ind w:firstLine="0" w:firstLineChars="0"/>
      <w:jc w:val="left"/>
    </w:pPr>
    <w:rPr>
      <w:rFonts w:ascii="宋体" w:eastAsia="宋体" w:cs="宋体"/>
      <w:kern w:val="0"/>
    </w:rPr>
  </w:style>
  <w:style w:type="paragraph" w:customStyle="1" w:styleId="221">
    <w:name w:val="xl87"/>
    <w:basedOn w:val="1"/>
    <w:autoRedefine/>
    <w:qFormat/>
    <w:uiPriority w:val="0"/>
    <w:pPr>
      <w:widowControl/>
      <w:pBdr>
        <w:top w:val="single" w:color="auto" w:sz="8" w:space="0"/>
        <w:left w:val="single" w:color="auto" w:sz="8" w:space="0"/>
      </w:pBdr>
      <w:shd w:val="clear" w:color="000000" w:fill="92CDDC"/>
      <w:spacing w:before="100" w:beforeAutospacing="1" w:after="100" w:afterAutospacing="1" w:line="240" w:lineRule="auto"/>
      <w:ind w:firstLine="0" w:firstLineChars="0"/>
      <w:jc w:val="left"/>
    </w:pPr>
    <w:rPr>
      <w:rFonts w:ascii="宋体" w:eastAsia="宋体" w:cs="宋体"/>
      <w:kern w:val="0"/>
    </w:rPr>
  </w:style>
  <w:style w:type="paragraph" w:customStyle="1" w:styleId="222">
    <w:name w:val="xl88"/>
    <w:basedOn w:val="1"/>
    <w:autoRedefine/>
    <w:qFormat/>
    <w:uiPriority w:val="0"/>
    <w:pPr>
      <w:widowControl/>
      <w:pBdr>
        <w:left w:val="single" w:color="auto" w:sz="8" w:space="0"/>
      </w:pBdr>
      <w:shd w:val="clear" w:color="000000" w:fill="92CDDC"/>
      <w:spacing w:before="100" w:beforeAutospacing="1" w:after="100" w:afterAutospacing="1" w:line="240" w:lineRule="auto"/>
      <w:ind w:firstLine="0" w:firstLineChars="0"/>
      <w:jc w:val="left"/>
    </w:pPr>
    <w:rPr>
      <w:rFonts w:ascii="宋体" w:eastAsia="宋体" w:cs="宋体"/>
      <w:kern w:val="0"/>
    </w:rPr>
  </w:style>
  <w:style w:type="paragraph" w:customStyle="1" w:styleId="223">
    <w:name w:val="xl89"/>
    <w:basedOn w:val="1"/>
    <w:autoRedefine/>
    <w:qFormat/>
    <w:uiPriority w:val="0"/>
    <w:pPr>
      <w:widowControl/>
      <w:pBdr>
        <w:bottom w:val="single" w:color="auto" w:sz="8" w:space="0"/>
        <w:right w:val="single" w:color="auto" w:sz="8" w:space="0"/>
      </w:pBdr>
      <w:shd w:val="clear" w:color="000000" w:fill="92CDDC"/>
      <w:spacing w:before="100" w:beforeAutospacing="1" w:after="100" w:afterAutospacing="1" w:line="240" w:lineRule="auto"/>
      <w:ind w:firstLine="0" w:firstLineChars="0"/>
      <w:jc w:val="left"/>
    </w:pPr>
    <w:rPr>
      <w:rFonts w:ascii="宋体" w:eastAsia="宋体" w:cs="宋体"/>
      <w:kern w:val="0"/>
    </w:rPr>
  </w:style>
  <w:style w:type="paragraph" w:customStyle="1" w:styleId="224">
    <w:name w:val="xl90"/>
    <w:basedOn w:val="1"/>
    <w:autoRedefine/>
    <w:qFormat/>
    <w:uiPriority w:val="0"/>
    <w:pPr>
      <w:widowControl/>
      <w:pBdr>
        <w:top w:val="single" w:color="auto" w:sz="8" w:space="0"/>
        <w:bottom w:val="single" w:color="auto" w:sz="8" w:space="0"/>
      </w:pBdr>
      <w:shd w:val="clear" w:color="000000" w:fill="92CDDC"/>
      <w:spacing w:before="100" w:beforeAutospacing="1" w:after="100" w:afterAutospacing="1" w:line="240" w:lineRule="auto"/>
      <w:ind w:firstLine="0" w:firstLineChars="0"/>
      <w:jc w:val="center"/>
      <w:textAlignment w:val="center"/>
    </w:pPr>
    <w:rPr>
      <w:rFonts w:ascii="宋体" w:eastAsia="宋体" w:cs="宋体"/>
      <w:kern w:val="0"/>
    </w:rPr>
  </w:style>
  <w:style w:type="paragraph" w:customStyle="1" w:styleId="225">
    <w:name w:val="xl91"/>
    <w:basedOn w:val="1"/>
    <w:autoRedefine/>
    <w:qFormat/>
    <w:uiPriority w:val="0"/>
    <w:pPr>
      <w:widowControl/>
      <w:pBdr>
        <w:top w:val="single" w:color="auto" w:sz="8" w:space="0"/>
        <w:left w:val="single" w:color="auto" w:sz="8" w:space="0"/>
        <w:right w:val="single" w:color="auto" w:sz="8" w:space="0"/>
      </w:pBdr>
      <w:shd w:val="clear" w:color="000000" w:fill="99CCFF"/>
      <w:spacing w:before="100" w:beforeAutospacing="1" w:after="100" w:afterAutospacing="1" w:line="240" w:lineRule="auto"/>
      <w:ind w:firstLine="0" w:firstLineChars="0"/>
      <w:jc w:val="center"/>
      <w:textAlignment w:val="center"/>
    </w:pPr>
    <w:rPr>
      <w:rFonts w:ascii="宋体" w:eastAsia="宋体" w:cs="宋体"/>
      <w:kern w:val="0"/>
      <w:sz w:val="18"/>
      <w:szCs w:val="18"/>
    </w:rPr>
  </w:style>
  <w:style w:type="paragraph" w:customStyle="1" w:styleId="226">
    <w:name w:val="列出段落11"/>
    <w:basedOn w:val="1"/>
    <w:autoRedefine/>
    <w:qFormat/>
    <w:uiPriority w:val="0"/>
    <w:pPr>
      <w:spacing w:line="240" w:lineRule="auto"/>
    </w:pPr>
    <w:rPr>
      <w:rFonts w:ascii="Calibri" w:hAnsi="Calibri" w:eastAsia="宋体" w:cs="黑体"/>
      <w:sz w:val="21"/>
      <w:szCs w:val="22"/>
    </w:rPr>
  </w:style>
  <w:style w:type="paragraph" w:customStyle="1" w:styleId="227">
    <w:name w:val="TOC 标题11"/>
    <w:basedOn w:val="2"/>
    <w:next w:val="1"/>
    <w:autoRedefine/>
    <w:qFormat/>
    <w:uiPriority w:val="0"/>
    <w:pPr>
      <w:keepNext/>
      <w:keepLines/>
      <w:widowControl/>
      <w:numPr>
        <w:ilvl w:val="0"/>
        <w:numId w:val="0"/>
      </w:numPr>
      <w:spacing w:before="50" w:beforeLines="50" w:after="50" w:afterLines="50" w:line="276" w:lineRule="auto"/>
      <w:jc w:val="left"/>
      <w:outlineLvl w:val="9"/>
    </w:pPr>
    <w:rPr>
      <w:rFonts w:ascii="Cambria" w:hAnsi="Cambria" w:eastAsia="宋体" w:cs="Times New Roman"/>
      <w:bCs/>
      <w:color w:val="365F91"/>
      <w:kern w:val="0"/>
      <w:sz w:val="28"/>
      <w:szCs w:val="28"/>
    </w:rPr>
  </w:style>
  <w:style w:type="paragraph" w:customStyle="1" w:styleId="228">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9">
    <w:name w:val="xl63"/>
    <w:basedOn w:val="1"/>
    <w:autoRedefine/>
    <w:qFormat/>
    <w:uiPriority w:val="0"/>
    <w:pPr>
      <w:widowControl/>
      <w:spacing w:before="100" w:beforeAutospacing="1" w:after="100" w:afterAutospacing="1" w:line="240" w:lineRule="auto"/>
      <w:ind w:firstLine="0" w:firstLineChars="0"/>
      <w:jc w:val="left"/>
      <w:textAlignment w:val="center"/>
    </w:pPr>
    <w:rPr>
      <w:rFonts w:ascii="宋体" w:eastAsia="宋体" w:cs="宋体"/>
      <w:kern w:val="0"/>
    </w:rPr>
  </w:style>
  <w:style w:type="paragraph" w:customStyle="1" w:styleId="230">
    <w:name w:val="List Paragraph1"/>
    <w:basedOn w:val="1"/>
    <w:autoRedefine/>
    <w:qFormat/>
    <w:uiPriority w:val="0"/>
    <w:pPr>
      <w:spacing w:line="240" w:lineRule="auto"/>
    </w:pPr>
    <w:rPr>
      <w:rFonts w:ascii="Calibri" w:hAnsi="Calibri" w:eastAsia="宋体" w:cs="Times New Roman"/>
      <w:sz w:val="21"/>
      <w:szCs w:val="22"/>
    </w:rPr>
  </w:style>
  <w:style w:type="paragraph" w:customStyle="1" w:styleId="23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2">
    <w:name w:val="无间隔11"/>
    <w:autoRedefine/>
    <w:qFormat/>
    <w:uiPriority w:val="0"/>
    <w:pPr>
      <w:jc w:val="both"/>
    </w:pPr>
    <w:rPr>
      <w:rFonts w:ascii="Calibri" w:hAnsi="Calibri" w:eastAsia="宋体" w:cs="黑体"/>
      <w:sz w:val="22"/>
      <w:szCs w:val="22"/>
      <w:lang w:val="en-US" w:eastAsia="zh-CN" w:bidi="ar-SA"/>
    </w:rPr>
  </w:style>
  <w:style w:type="paragraph" w:customStyle="1" w:styleId="233">
    <w:name w:val="引用11"/>
    <w:basedOn w:val="1"/>
    <w:next w:val="1"/>
    <w:autoRedefine/>
    <w:qFormat/>
    <w:uiPriority w:val="0"/>
    <w:pPr>
      <w:spacing w:line="240" w:lineRule="auto"/>
      <w:ind w:firstLine="0" w:firstLineChars="0"/>
    </w:pPr>
    <w:rPr>
      <w:rFonts w:ascii="Calibri" w:hAnsi="Calibri" w:eastAsia="宋体" w:cs="Times New Roman"/>
      <w:i/>
      <w:iCs/>
      <w:color w:val="000000"/>
      <w:sz w:val="21"/>
      <w:szCs w:val="22"/>
    </w:rPr>
  </w:style>
  <w:style w:type="paragraph" w:customStyle="1" w:styleId="234">
    <w:name w:val="列出段落3"/>
    <w:basedOn w:val="1"/>
    <w:autoRedefine/>
    <w:qFormat/>
    <w:uiPriority w:val="0"/>
    <w:pPr>
      <w:spacing w:line="240" w:lineRule="auto"/>
    </w:pPr>
    <w:rPr>
      <w:rFonts w:ascii="Calibri" w:hAnsi="Calibri" w:eastAsia="宋体" w:cs="Times New Roman"/>
      <w:sz w:val="21"/>
      <w:szCs w:val="22"/>
    </w:rPr>
  </w:style>
  <w:style w:type="paragraph" w:customStyle="1" w:styleId="235">
    <w:name w:val="列出段落4"/>
    <w:basedOn w:val="1"/>
    <w:autoRedefine/>
    <w:qFormat/>
    <w:uiPriority w:val="0"/>
    <w:pPr>
      <w:spacing w:line="240" w:lineRule="auto"/>
    </w:pPr>
    <w:rPr>
      <w:rFonts w:ascii="Calibri" w:hAnsi="Calibri" w:eastAsia="宋体" w:cs="Times New Roman"/>
      <w:sz w:val="21"/>
      <w:szCs w:val="22"/>
    </w:rPr>
  </w:style>
  <w:style w:type="paragraph" w:customStyle="1" w:styleId="236">
    <w:name w:val="列出段落5"/>
    <w:basedOn w:val="1"/>
    <w:autoRedefine/>
    <w:qFormat/>
    <w:uiPriority w:val="0"/>
    <w:pPr>
      <w:spacing w:line="240" w:lineRule="auto"/>
    </w:pPr>
    <w:rPr>
      <w:rFonts w:ascii="Calibri" w:hAnsi="Calibri" w:eastAsia="宋体" w:cs="Times New Roman"/>
      <w:sz w:val="21"/>
      <w:szCs w:val="22"/>
    </w:rPr>
  </w:style>
  <w:style w:type="paragraph" w:customStyle="1" w:styleId="237">
    <w:name w:val="BodyText"/>
    <w:basedOn w:val="1"/>
    <w:autoRedefine/>
    <w:qFormat/>
    <w:uiPriority w:val="0"/>
    <w:pPr>
      <w:widowControl/>
      <w:spacing w:line="240" w:lineRule="auto"/>
      <w:ind w:firstLine="0" w:firstLineChars="0"/>
    </w:pPr>
    <w:rPr>
      <w:rFonts w:eastAsia="文星标宋"/>
      <w:kern w:val="0"/>
      <w:sz w:val="44"/>
      <w:szCs w:val="44"/>
    </w:rPr>
  </w:style>
  <w:style w:type="character" w:customStyle="1" w:styleId="238">
    <w:name w:val="NormalCharacter"/>
    <w:autoRedefine/>
    <w:qFormat/>
    <w:uiPriority w:val="0"/>
  </w:style>
  <w:style w:type="character" w:customStyle="1" w:styleId="239">
    <w:name w:val="Char Char2"/>
    <w:autoRedefine/>
    <w:qFormat/>
    <w:uiPriority w:val="0"/>
    <w:rPr>
      <w:rFonts w:ascii="Times New Roman" w:hAnsi="Times New Roman" w:eastAsia="宋体" w:cs="Times New Roman"/>
      <w:sz w:val="18"/>
      <w:szCs w:val="18"/>
    </w:rPr>
  </w:style>
  <w:style w:type="paragraph" w:customStyle="1" w:styleId="240">
    <w:name w:val="title12"/>
    <w:basedOn w:val="1"/>
    <w:autoRedefine/>
    <w:qFormat/>
    <w:uiPriority w:val="0"/>
    <w:pPr>
      <w:spacing w:before="150"/>
      <w:jc w:val="left"/>
    </w:pPr>
    <w:rPr>
      <w:rFonts w:cs="Times New Roman"/>
      <w:b/>
      <w:kern w:val="0"/>
      <w:sz w:val="22"/>
      <w:szCs w:val="22"/>
    </w:rPr>
  </w:style>
  <w:style w:type="paragraph" w:customStyle="1" w:styleId="241">
    <w:name w:val="title13"/>
    <w:basedOn w:val="1"/>
    <w:autoRedefine/>
    <w:qFormat/>
    <w:uiPriority w:val="0"/>
    <w:pPr>
      <w:spacing w:before="150" w:beforeAutospacing="0" w:after="0" w:afterAutospacing="0"/>
      <w:ind w:left="0" w:right="0"/>
      <w:jc w:val="left"/>
    </w:pPr>
    <w:rPr>
      <w:b/>
      <w:bCs/>
      <w:kern w:val="0"/>
      <w:sz w:val="22"/>
      <w:szCs w:val="22"/>
      <w:lang w:val="en-US" w:eastAsia="zh-CN"/>
    </w:rPr>
  </w:style>
  <w:style w:type="paragraph" w:customStyle="1" w:styleId="242">
    <w:name w:val="@正文"/>
    <w:basedOn w:val="243"/>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243">
    <w:name w:val="※正文"/>
    <w:basedOn w:val="1"/>
    <w:next w:val="1"/>
    <w:autoRedefine/>
    <w:qFormat/>
    <w:uiPriority w:val="0"/>
    <w:pPr>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china</Company>
  <Pages>82</Pages>
  <Words>13289</Words>
  <Characters>14276</Characters>
  <Lines>0</Lines>
  <Paragraphs>735</Paragraphs>
  <TotalTime>8</TotalTime>
  <ScaleCrop>false</ScaleCrop>
  <LinksUpToDate>false</LinksUpToDate>
  <CharactersWithSpaces>14402</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2021-04-02T03:31:00Z</dcterms:created>
  <dc:creator>Administrator</dc:creator>
  <cp:lastModifiedBy>四方衡裕</cp:lastModifiedBy>
  <cp:lastPrinted>2021-04-02T03:13:00Z</cp:lastPrinted>
  <dcterms:modified xsi:type="dcterms:W3CDTF">2026-07-13T06:18:49Z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35A18659035442BBBBBCF88D8548F1F4_13</vt:lpwstr>
  </property>
  <property fmtid="{D5CDD505-2E9C-101B-9397-08002B2CF9AE}" pid="4" name="KSOTemplateDocerSaveRecord">
    <vt:lpwstr>eyJoZGlkIjoiYTRhNTRmZWJhMTZhMGI4NTIwNzY3MmY4OGE4OTA2NmYiLCJ1c2VySWQiOiIxNjgwMDIxMjIyIn0=</vt:lpwstr>
  </property>
</Properties>
</file>