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版本号：SXBPRZB-2026-010220260430001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城固县一中教室护眼灯采购项目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SXBPRZB-2026-0102</w:t>
      </w:r>
      <w:r>
        <w:br/>
      </w:r>
      <w:r>
        <w:br/>
      </w:r>
      <w:r>
        <w:br/>
      </w:r>
    </w:p>
    <w:p>
      <w:pPr>
        <w:pStyle w:val="null3"/>
        <w:jc w:val="center"/>
        <w:outlineLvl w:val="2"/>
      </w:pPr>
      <w:r>
        <w:rPr>
          <w:rFonts w:ascii="仿宋_GB2312" w:hAnsi="仿宋_GB2312" w:cs="仿宋_GB2312" w:eastAsia="仿宋_GB2312"/>
          <w:sz w:val="28"/>
          <w:b/>
        </w:rPr>
        <w:t>城固县第一中学</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城固县第一中学</w:t>
      </w:r>
      <w:r>
        <w:rPr>
          <w:rFonts w:ascii="仿宋_GB2312" w:hAnsi="仿宋_GB2312" w:cs="仿宋_GB2312" w:eastAsia="仿宋_GB2312"/>
        </w:rPr>
        <w:t>委托，拟对</w:t>
      </w:r>
      <w:r>
        <w:rPr>
          <w:rFonts w:ascii="仿宋_GB2312" w:hAnsi="仿宋_GB2312" w:cs="仿宋_GB2312" w:eastAsia="仿宋_GB2312"/>
        </w:rPr>
        <w:t>城固县一中教室护眼灯采购项目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SXBPRZB-2026-0102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城固县一中教室护眼灯采购项目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为改善教室照明环境，降低师生视觉疲劳，减少近视发生率，助力教学效率提升；更换笃行楼、力行楼两栋教学楼教室日光灯为LED教室护眼灯及LED黑板灯一批。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陕西省汉中市城固县北环路151号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13629169817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15289267453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开户银行：工商银行汉中人民路支行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城固县第一中学</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城固县第一中学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符合国家行业标准及文件要求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联系电话：15289267453</w:t>
      </w:r>
    </w:p>
    <w:p>
      <w:pPr>
        <w:pStyle w:val="null3"/>
      </w:pPr>
      <w:r>
        <w:rPr>
          <w:rFonts w:ascii="仿宋_GB2312" w:hAnsi="仿宋_GB2312" w:cs="仿宋_GB2312" w:eastAsia="仿宋_GB2312"/>
        </w:rPr>
        <w:t>地址：陕西省汉中市汉台区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为改善教室照明环境，降低师生视觉疲劳，减少近视发生率，助力教学效率提升；更换笃行楼、力行楼两栋教学楼教室日光灯为LED教室护眼灯及LED黑板灯一批。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700000.00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标的名称：700000.00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照明设施-教室灯（核心产品）</w:t>
                  </w:r>
                </w:p>
              </w:tc>
              <w:tc>
                <w:tcPr>
                  <w:tcW w:type="dxa" w:w="511"/>
                </w:tcPr>
                <w:p>
                  <w:pPr>
                    <w:pStyle w:val="null3"/>
                  </w:pPr>
                  <w:r>
                    <w:rPr>
                      <w:rFonts w:ascii="仿宋_GB2312" w:hAnsi="仿宋_GB2312" w:cs="仿宋_GB2312" w:eastAsia="仿宋_GB2312"/>
                    </w:rPr>
                    <w:t>1、LED教室灯应为一体式防眩灯具;灯具长度≥1000m,宽度≥250mm,LED教室灯具背板及主架构须为：铝合金、铝型材、铝压铸、冷轧钢、镀锌板或铜材质，以上材质中金属材质，背板表面做喷涂或阳极氧化工艺处。</w:t>
                  </w:r>
                  <w:r>
                    <w:br/>
                  </w:r>
                  <w:r>
                    <w:rPr>
                      <w:rFonts w:ascii="仿宋_GB2312" w:hAnsi="仿宋_GB2312" w:cs="仿宋_GB2312" w:eastAsia="仿宋_GB2312"/>
                    </w:rPr>
                    <w:t xml:space="preserve"> ★2、LED教室灯应采用格栅防眩设计,格栅须采用表面真空镀铝或镀铬工艺处理。</w:t>
                  </w:r>
                  <w:r>
                    <w:br/>
                  </w:r>
                  <w:r>
                    <w:rPr>
                      <w:rFonts w:ascii="仿宋_GB2312" w:hAnsi="仿宋_GB2312" w:cs="仿宋_GB2312" w:eastAsia="仿宋_GB2312"/>
                    </w:rPr>
                    <w:t xml:space="preserve"> 3、LED教室灯色温(或相关色温)4300-5300K，显色指数≥Ra95、R9≥90、色容差≤5 SDCM。</w:t>
                  </w:r>
                  <w:r>
                    <w:br/>
                  </w:r>
                  <w:r>
                    <w:rPr>
                      <w:rFonts w:ascii="仿宋_GB2312" w:hAnsi="仿宋_GB2312" w:cs="仿宋_GB2312" w:eastAsia="仿宋_GB2312"/>
                    </w:rPr>
                    <w:t xml:space="preserve"> ▲4、LED教室灯背面应采用独立向上光源设计，向上半球发射光通量占总光通量百分比≥10%，正面背面的相关色温偏差应≤50K且显色指数偏差≤5。(提供第三方机构出具的检测报告证明并加盖原厂家公章)</w:t>
                  </w:r>
                  <w:r>
                    <w:br/>
                  </w:r>
                  <w:r>
                    <w:rPr>
                      <w:rFonts w:ascii="仿宋_GB2312" w:hAnsi="仿宋_GB2312" w:cs="仿宋_GB2312" w:eastAsia="仿宋_GB2312"/>
                    </w:rPr>
                    <w:t xml:space="preserve"> 5、LED教室灯应通过国家强制性CCC认证;额定功率≤36W,单颗光源功率≥1W,光源额定总功率是灯具额定功率的3.5倍或以上，且IP防护等级≥IP40。</w:t>
                  </w:r>
                  <w:r>
                    <w:br/>
                  </w:r>
                  <w:r>
                    <w:rPr>
                      <w:rFonts w:ascii="仿宋_GB2312" w:hAnsi="仿宋_GB2312" w:cs="仿宋_GB2312" w:eastAsia="仿宋_GB2312"/>
                    </w:rPr>
                    <w:t xml:space="preserve"> 6、LED教室灯符合依据《GB/T26572》、《GB/T39560》系列标准。</w:t>
                  </w:r>
                  <w:r>
                    <w:br/>
                  </w:r>
                  <w:r>
                    <w:rPr>
                      <w:rFonts w:ascii="仿宋_GB2312" w:hAnsi="仿宋_GB2312" w:cs="仿宋_GB2312" w:eastAsia="仿宋_GB2312"/>
                    </w:rPr>
                    <w:t xml:space="preserve"> ▲7、LED教室灯至少依据《GB7793》标准满足教室维持平均照度满足300lx-750lx，照度均匀度≥0.8，统一眩光值≤16(提供第三方机构出具的检测报告证明并加盖原厂家公章)。</w:t>
                  </w:r>
                  <w:r>
                    <w:br/>
                  </w:r>
                  <w:r>
                    <w:rPr>
                      <w:rFonts w:ascii="仿宋_GB2312" w:hAnsi="仿宋_GB2312" w:cs="仿宋_GB2312" w:eastAsia="仿宋_GB2312"/>
                    </w:rPr>
                    <w:t xml:space="preserve"> ▲8、LED教室灯至少依据《GB40070》标准通过教室灯具青少年近视防控分级认证，且认证等级不低于五星级。（提供第三方认证机构出具的认证证书及全国认证认可信息公共服务平台证书状态为“有效”查询证明复印件）</w:t>
                  </w:r>
                </w:p>
              </w:tc>
              <w:tc>
                <w:tcPr>
                  <w:tcW w:type="dxa" w:w="511"/>
                </w:tcPr>
                <w:p>
                  <w:pPr>
                    <w:pStyle w:val="null3"/>
                  </w:pPr>
                  <w:r>
                    <w:rPr>
                      <w:rFonts w:ascii="仿宋_GB2312" w:hAnsi="仿宋_GB2312" w:cs="仿宋_GB2312" w:eastAsia="仿宋_GB2312"/>
                    </w:rPr>
                    <w:t>835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照明设施-黑板灯</w:t>
                  </w:r>
                </w:p>
              </w:tc>
              <w:tc>
                <w:tcPr>
                  <w:tcW w:type="dxa" w:w="511"/>
                </w:tcPr>
                <w:p>
                  <w:pPr>
                    <w:pStyle w:val="null3"/>
                  </w:pPr>
                  <w:r>
                    <w:rPr>
                      <w:rFonts w:ascii="仿宋_GB2312" w:hAnsi="仿宋_GB2312" w:cs="仿宋_GB2312" w:eastAsia="仿宋_GB2312"/>
                    </w:rPr>
                    <w:t>1、LED黑板灯长度≥1200mm，为一体式格栅防眩灯具。</w:t>
                  </w:r>
                  <w:r>
                    <w:br/>
                  </w:r>
                  <w:r>
                    <w:rPr>
                      <w:rFonts w:ascii="仿宋_GB2312" w:hAnsi="仿宋_GB2312" w:cs="仿宋_GB2312" w:eastAsia="仿宋_GB2312"/>
                    </w:rPr>
                    <w:t xml:space="preserve"> 2、LED黑板灯散热装置应为铝型材灯体，表面均匀、光洁，无流挂现象。</w:t>
                  </w:r>
                  <w:r>
                    <w:br/>
                  </w:r>
                  <w:r>
                    <w:rPr>
                      <w:rFonts w:ascii="仿宋_GB2312" w:hAnsi="仿宋_GB2312" w:cs="仿宋_GB2312" w:eastAsia="仿宋_GB2312"/>
                    </w:rPr>
                    <w:t xml:space="preserve"> 3、LED黑板灯功率因数PF≥0.95，灯具效能≥90lm/W。</w:t>
                  </w:r>
                  <w:r>
                    <w:br/>
                  </w:r>
                  <w:r>
                    <w:rPr>
                      <w:rFonts w:ascii="仿宋_GB2312" w:hAnsi="仿宋_GB2312" w:cs="仿宋_GB2312" w:eastAsia="仿宋_GB2312"/>
                    </w:rPr>
                    <w:t xml:space="preserve"> 4、LED黑板灯色温(或相关色温)≥4300-5300K,显色指数Ra≥90、R9≥90，色容差≤5 SDCM。</w:t>
                  </w:r>
                  <w:r>
                    <w:br/>
                  </w:r>
                  <w:r>
                    <w:rPr>
                      <w:rFonts w:ascii="仿宋_GB2312" w:hAnsi="仿宋_GB2312" w:cs="仿宋_GB2312" w:eastAsia="仿宋_GB2312"/>
                    </w:rPr>
                    <w:t xml:space="preserve"> 5、LED黑板灯通过CCC认证;额定功率≤36W,光源额定总功率应是灯具额定功率的2.5倍或以上，且IP防护等级≥IP40。</w:t>
                  </w:r>
                  <w:r>
                    <w:br/>
                  </w:r>
                  <w:r>
                    <w:rPr>
                      <w:rFonts w:ascii="仿宋_GB2312" w:hAnsi="仿宋_GB2312" w:cs="仿宋_GB2312" w:eastAsia="仿宋_GB2312"/>
                    </w:rPr>
                    <w:t xml:space="preserve"> ▲6、LED黑板灯符合依据《GB/T26572》、《GB/T39560》系列标准(提供第三方机构出具的检测报告证明并加盖原厂家公章)。</w:t>
                  </w:r>
                  <w:r>
                    <w:br/>
                  </w:r>
                  <w:r>
                    <w:rPr>
                      <w:rFonts w:ascii="仿宋_GB2312" w:hAnsi="仿宋_GB2312" w:cs="仿宋_GB2312" w:eastAsia="仿宋_GB2312"/>
                    </w:rPr>
                    <w:t xml:space="preserve"> ▲7、LED黑板灯至少依据《GB40070》标准通过教室灯具青少年近视防控分级认证，且认证等级应不低于五星级。（提供第三方认证机构出具的认证证书及全国认证认可信息公共服务平台证书状态为“有效”查询证明复印件）</w:t>
                  </w:r>
                  <w:r>
                    <w:br/>
                  </w:r>
                  <w:r>
                    <w:rPr>
                      <w:rFonts w:ascii="仿宋_GB2312" w:hAnsi="仿宋_GB2312" w:cs="仿宋_GB2312" w:eastAsia="仿宋_GB2312"/>
                    </w:rPr>
                    <w:t xml:space="preserve"> ▲8、LED黑板灯至少依据《GB/T5700》标准测试教室现场光环境，教室(课桌面)最大与最小融合照度之比≤10。(提供第三方机构出具的检测报告证明并加盖原厂家公章)</w:t>
                  </w:r>
                </w:p>
              </w:tc>
              <w:tc>
                <w:tcPr>
                  <w:tcW w:type="dxa" w:w="511"/>
                </w:tcPr>
                <w:p>
                  <w:pPr>
                    <w:pStyle w:val="null3"/>
                  </w:pPr>
                  <w:r>
                    <w:rPr>
                      <w:rFonts w:ascii="仿宋_GB2312" w:hAnsi="仿宋_GB2312" w:cs="仿宋_GB2312" w:eastAsia="仿宋_GB2312"/>
                    </w:rPr>
                    <w:t>114</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吊杆</w:t>
                  </w:r>
                </w:p>
              </w:tc>
              <w:tc>
                <w:tcPr>
                  <w:tcW w:type="dxa" w:w="511"/>
                </w:tcPr>
                <w:p>
                  <w:pPr>
                    <w:pStyle w:val="null3"/>
                  </w:pPr>
                  <w:r>
                    <w:rPr>
                      <w:rFonts w:ascii="仿宋_GB2312" w:hAnsi="仿宋_GB2312" w:cs="仿宋_GB2312" w:eastAsia="仿宋_GB2312"/>
                    </w:rPr>
                    <w:t>原装/配套</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系统集成</w:t>
                  </w:r>
                </w:p>
              </w:tc>
              <w:tc>
                <w:tcPr>
                  <w:tcW w:type="dxa" w:w="511"/>
                </w:tcPr>
                <w:p>
                  <w:pPr>
                    <w:pStyle w:val="null3"/>
                  </w:pPr>
                  <w:r>
                    <w:rPr>
                      <w:rFonts w:ascii="仿宋_GB2312" w:hAnsi="仿宋_GB2312" w:cs="仿宋_GB2312" w:eastAsia="仿宋_GB2312"/>
                    </w:rPr>
                    <w:t>包括原有灯具拆除，线路改造，新购设备的安装及调试、培训等</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项</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城固第一中学（采购人指定地方）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项目全部完工验收合格后，根据政府财政资金情况（具体以签订采购合同为准）</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分项报价表.xlsx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资格证明文件格式1.docx 开标一览表 中小企业声明函 分项报价表.xlsx 商务应答表 汉中市政府采购供应商资格承诺函.docx 投标人应提交的相关资格证明材料 产品技术参数表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完整无缺项，未超过采购预算，无选择性报价</w:t>
            </w:r>
          </w:p>
        </w:tc>
        <w:tc>
          <w:tcPr>
            <w:tcW w:type="dxa" w:w="1661"/>
          </w:tcPr>
          <w:p>
            <w:pPr>
              <w:pStyle w:val="null3"/>
            </w:pPr>
            <w:r>
              <w:rPr>
                <w:rFonts w:ascii="仿宋_GB2312" w:hAnsi="仿宋_GB2312" w:cs="仿宋_GB2312" w:eastAsia="仿宋_GB2312"/>
              </w:rPr>
              <w:t>开标一览表 分项报价表.xlsx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不少于90个日历天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响应文件构成无缺项</w:t>
            </w:r>
          </w:p>
        </w:tc>
        <w:tc>
          <w:tcPr>
            <w:tcW w:type="dxa" w:w="1661"/>
          </w:tcPr>
          <w:p>
            <w:pPr>
              <w:pStyle w:val="null3"/>
            </w:pPr>
            <w:r>
              <w:rPr>
                <w:rFonts w:ascii="仿宋_GB2312" w:hAnsi="仿宋_GB2312" w:cs="仿宋_GB2312" w:eastAsia="仿宋_GB2312"/>
              </w:rPr>
              <w:t>资格证明文件格式1.docx 开标一览表 中小企业声明函 分项报价表.xlsx 商务应答表 汉中市政府采购供应商资格承诺函.docx 投标人应提交的相关资格证明材料 产品技术参数表 投标函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1.完全满足招标文件所有技术参数（含带“▲”项），得18分； 带“★”号的技术参数不允许负偏离； 2.带“▲”项为重要参数，负偏离每项扣2分，扣完为止； 3.不满足非“▲”项技术参数的，每项扣0.5分，扣完为止； 注：技术参数需提供佐证材料并标注页码（包括但不限于产品彩页、检测报告、技术白皮书等），未按要求提供证明材料视为负偏离。</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供应商根据本项目的总体认识，提供针对本项目的服务质量保证措施。 包含：①质量保障措施；②质量管理工作制度；③投标人提供的产品合法正规来源渠道证明：包括但不限于制造商授权、销售协议、代理协议等证明材料。 以上各项内容全面详细、阐述条理清晰得12分，每缺一项扣 4分，每项中的内容存在缺陷，扣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供应商根据本项目特点，提供实施方案。具体包括: ①供货计划及运输过程物流保障措施、②布局说明、③安装调试、④验收方案等。 方案各项内容全面详细、阐述条理清晰详尽、符合本项目采购需求，能有效保障本项目实施的得20分，每有一个缺项扣5分，每项内容存在缺陷，扣1分，扣完为止。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售后服务时效性②故障处理及补救措施③定期回访及维护④备品备件。方案各项内容全面详细、阐述条理清晰详尽、符合本项目采购需求，能有效保障本项目实施的得12分，每有一个缺项扣3分，每一项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采购需求提供项目团队情况，内容包括①人员配备情况、岗位职责分工②管理组织架构。评审标准：各部分内容全面详细、阐述条理清晰详尽、符合本项目采购需求，能保障本项目实施得8分；评审内容每缺一项扣4分，评审内容有缺陷未完全响应评审标准的扣1分，扣完为止。（“缺陷”是指：内容描述过于简单没有关键点；条理不清晰；与项目内容不匹配、非专门针对本项目或不适用本项目特性；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满足招标文件要求且经评审的最低投标报价为评标基准价，投标报价得分=（评标基准价/投标报价）×30。 若投标报价明显低于其他通过符合性审查投标人的报价，有可能影响产品质量或不能诚信履约的，评标委员会可要求其提供书面说明及相关证明材料；无法证明报价合理性的，按无效投标处理。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详见附件：合同文本范本(1).docx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