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版本号：ZD0526-005ZGX20260429001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灵韵沣境苑项目北侧临时连通路工程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ZD0526-005ZGX</w:t>
      </w:r>
      <w:r>
        <w:br/>
      </w:r>
      <w:r>
        <w:br/>
      </w:r>
      <w:r>
        <w:br/>
      </w:r>
    </w:p>
    <w:p>
      <w:pPr>
        <w:pStyle w:val="null3"/>
        <w:jc w:val="center"/>
        <w:outlineLvl w:val="2"/>
      </w:pPr>
      <w:r>
        <w:rPr>
          <w:rFonts w:ascii="仿宋_GB2312" w:hAnsi="仿宋_GB2312" w:cs="仿宋_GB2312" w:eastAsia="仿宋_GB2312"/>
          <w:sz w:val="28"/>
          <w:b/>
        </w:rPr>
        <w:t>西安高新技术产业开发区公共项目建设管理中心</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委托，拟对</w:t>
      </w:r>
      <w:r>
        <w:rPr>
          <w:rFonts w:ascii="仿宋_GB2312" w:hAnsi="仿宋_GB2312" w:cs="仿宋_GB2312" w:eastAsia="仿宋_GB2312"/>
        </w:rPr>
        <w:t>灵韵沣境苑项目北侧临时连通路工程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ZD0526-005ZGX</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灵韵沣境苑项目北侧临时连通路工程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灵韵沣境苑项目北侧临时连通路工程。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采购包1（灵韵沣境苑项目北侧临时连通路工程）：属于专门面向中小企业采购。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1、供应商资质证明：供应商具有市政公用工程施工总承包三级及以上资质，并具有有效的安全生产许可证；提供在陕西省“建筑市场监管与诚信信息一体化平台”登记备案网页截屏资料。（提供上述扫描件）</w:t>
      </w:r>
    </w:p>
    <w:p>
      <w:pPr>
        <w:pStyle w:val="null3"/>
      </w:pPr>
      <w:r>
        <w:rPr>
          <w:rFonts w:ascii="仿宋_GB2312" w:hAnsi="仿宋_GB2312" w:cs="仿宋_GB2312" w:eastAsia="仿宋_GB2312"/>
        </w:rPr>
        <w:t>2、项目负责人资质证明：项目经理须具备市政公用工程专业二级及以上注册建造师资格,具有有效的安全生产考核合格证书（建安B证），且未担任其他在建工程项目的项目经理。提供在陕西省“建筑市场监管与诚信信息一体化平台”登记备案网页截屏资料。（提供上述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西安高新区丝路创智谷6号楼6楼604室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李丹阳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唐一萌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029-89181345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参照《招标代理服务收费管理暂行办法》（计价格[2002]1980号）以及《关于进一步放开建设项目专项业务服务价格的通知》（发改价格[2015]299号）规定的标准收取，代理服务费不足5000元的，按5000元收取。 银行户名：正大方略工程咨询有限公司 开户银行：西安银行股份有限公司东二环南段支行 账 号：209011580000076430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应达到国家、省市或相关行业规范“合格”标准要求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联系人：唐一萌</w:t>
      </w:r>
    </w:p>
    <w:p>
      <w:pPr>
        <w:pStyle w:val="null3"/>
      </w:pPr>
      <w:r>
        <w:rPr>
          <w:rFonts w:ascii="仿宋_GB2312" w:hAnsi="仿宋_GB2312" w:cs="仿宋_GB2312" w:eastAsia="仿宋_GB2312"/>
        </w:rPr>
        <w:t>联系电话：029-89181345</w:t>
      </w:r>
    </w:p>
    <w:p>
      <w:pPr>
        <w:pStyle w:val="null3"/>
      </w:pPr>
      <w:r>
        <w:rPr>
          <w:rFonts w:ascii="仿宋_GB2312" w:hAnsi="仿宋_GB2312" w:cs="仿宋_GB2312" w:eastAsia="仿宋_GB2312"/>
        </w:rPr>
        <w:t>地址：西安市雁塔区南二环东段22号（凯森盛世1号）A座27层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830,400.00</w:t>
      </w:r>
    </w:p>
    <w:p>
      <w:pPr>
        <w:pStyle w:val="null3"/>
      </w:pPr>
      <w:r>
        <w:rPr>
          <w:rFonts w:ascii="仿宋_GB2312" w:hAnsi="仿宋_GB2312" w:cs="仿宋_GB2312" w:eastAsia="仿宋_GB2312"/>
        </w:rPr>
        <w:t>采购包最高限价（元）: 830,400.00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灵韵沣境苑项目北侧临时连通路工程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830,400.00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标的名称：灵韵沣境苑项目北侧临时连通路工程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基本要求</w:t>
            </w:r>
          </w:p>
          <w:p>
            <w:pPr>
              <w:pStyle w:val="null3"/>
              <w:jc w:val="both"/>
            </w:pPr>
            <w:r>
              <w:rPr>
                <w:rFonts w:ascii="仿宋_GB2312" w:hAnsi="仿宋_GB2312" w:cs="仿宋_GB2312" w:eastAsia="仿宋_GB2312"/>
                <w:sz w:val="20"/>
              </w:rPr>
              <w:t>1、项目概况：</w:t>
            </w:r>
          </w:p>
          <w:p>
            <w:pPr>
              <w:pStyle w:val="null3"/>
              <w:jc w:val="both"/>
            </w:pPr>
            <w:r>
              <w:rPr>
                <w:rFonts w:ascii="仿宋_GB2312" w:hAnsi="仿宋_GB2312" w:cs="仿宋_GB2312" w:eastAsia="仿宋_GB2312"/>
                <w:sz w:val="20"/>
              </w:rPr>
              <w:t>本工程为灵韵沣境苑项目北侧临时连通路工程，工程内容：为了群众出行便利，修建灵韵沣境苑北侧临时连通路，宽度</w:t>
            </w:r>
            <w:r>
              <w:rPr>
                <w:rFonts w:ascii="仿宋_GB2312" w:hAnsi="仿宋_GB2312" w:cs="仿宋_GB2312" w:eastAsia="仿宋_GB2312"/>
                <w:sz w:val="20"/>
              </w:rPr>
              <w:t>6米，长度约130米。</w:t>
            </w:r>
          </w:p>
          <w:p>
            <w:pPr>
              <w:pStyle w:val="null3"/>
              <w:jc w:val="both"/>
            </w:pPr>
            <w:r>
              <w:rPr>
                <w:rFonts w:ascii="仿宋_GB2312" w:hAnsi="仿宋_GB2312" w:cs="仿宋_GB2312" w:eastAsia="仿宋_GB2312"/>
                <w:sz w:val="20"/>
              </w:rPr>
              <w:t>2、采购项目需要落实的政府采购政策：</w:t>
            </w:r>
          </w:p>
          <w:p>
            <w:pPr>
              <w:pStyle w:val="null3"/>
              <w:jc w:val="both"/>
            </w:pPr>
            <w:r>
              <w:rPr>
                <w:rFonts w:ascii="仿宋_GB2312" w:hAnsi="仿宋_GB2312" w:cs="仿宋_GB2312" w:eastAsia="仿宋_GB2312"/>
                <w:sz w:val="20"/>
              </w:rPr>
              <w:t>依据《中华人民共和国政府采购法》和《中华人民共和国政府采购法实施条例》的有关规定，落实政府采购政策。</w:t>
            </w:r>
          </w:p>
          <w:p>
            <w:pPr>
              <w:pStyle w:val="null3"/>
              <w:jc w:val="both"/>
            </w:pPr>
            <w:r>
              <w:rPr>
                <w:rFonts w:ascii="仿宋_GB2312" w:hAnsi="仿宋_GB2312" w:cs="仿宋_GB2312" w:eastAsia="仿宋_GB2312"/>
                <w:sz w:val="20"/>
              </w:rPr>
              <w:t>①《政府采购促进中小企业发展管理办法》（财库〔2020〕46号）；</w:t>
            </w:r>
          </w:p>
          <w:p>
            <w:pPr>
              <w:pStyle w:val="null3"/>
              <w:jc w:val="both"/>
            </w:pPr>
            <w:r>
              <w:rPr>
                <w:rFonts w:ascii="仿宋_GB2312" w:hAnsi="仿宋_GB2312" w:cs="仿宋_GB2312" w:eastAsia="仿宋_GB2312"/>
                <w:sz w:val="20"/>
              </w:rPr>
              <w:t>②《关于进一步加大政府采购支持中小企业力度的通知》（财库〔2022〕19号）；</w:t>
            </w:r>
          </w:p>
          <w:p>
            <w:pPr>
              <w:pStyle w:val="null3"/>
              <w:jc w:val="both"/>
            </w:pPr>
            <w:r>
              <w:rPr>
                <w:rFonts w:ascii="仿宋_GB2312" w:hAnsi="仿宋_GB2312" w:cs="仿宋_GB2312" w:eastAsia="仿宋_GB2312"/>
                <w:sz w:val="20"/>
              </w:rPr>
              <w:t>③《财政部司法部关于政府采购支持监狱企业发展有关问题的通知》（财库〔2014〕68号）；</w:t>
            </w:r>
          </w:p>
          <w:p>
            <w:pPr>
              <w:pStyle w:val="null3"/>
              <w:jc w:val="both"/>
            </w:pPr>
            <w:r>
              <w:rPr>
                <w:rFonts w:ascii="仿宋_GB2312" w:hAnsi="仿宋_GB2312" w:cs="仿宋_GB2312" w:eastAsia="仿宋_GB2312"/>
                <w:sz w:val="20"/>
              </w:rPr>
              <w:t>④《财政部 发展改革委 生态环境部 市场监管总局关于调整优化节能产品、环境标志产品政府采购执行机制的通知》（财库〔2019〕9号）；</w:t>
            </w:r>
          </w:p>
          <w:p>
            <w:pPr>
              <w:pStyle w:val="null3"/>
              <w:jc w:val="both"/>
            </w:pPr>
            <w:r>
              <w:rPr>
                <w:rFonts w:ascii="仿宋_GB2312" w:hAnsi="仿宋_GB2312" w:cs="仿宋_GB2312" w:eastAsia="仿宋_GB2312"/>
                <w:sz w:val="20"/>
              </w:rPr>
              <w:t>⑤《三部门联合发布关于促进残疾人就业政府采购政策的通知》（财库〔2017〕141号）；</w:t>
            </w:r>
          </w:p>
          <w:p>
            <w:pPr>
              <w:pStyle w:val="null3"/>
              <w:jc w:val="both"/>
            </w:pPr>
            <w:r>
              <w:rPr>
                <w:rFonts w:ascii="仿宋_GB2312" w:hAnsi="仿宋_GB2312" w:cs="仿宋_GB2312" w:eastAsia="仿宋_GB2312"/>
                <w:sz w:val="20"/>
              </w:rPr>
              <w:t>⑥《陕西省中小企业政府采购信用融资办法》（陕财办采〔2018〕23号）；</w:t>
            </w:r>
          </w:p>
          <w:p>
            <w:pPr>
              <w:pStyle w:val="null3"/>
              <w:jc w:val="both"/>
            </w:pPr>
            <w:r>
              <w:rPr>
                <w:rFonts w:ascii="仿宋_GB2312" w:hAnsi="仿宋_GB2312" w:cs="仿宋_GB2312" w:eastAsia="仿宋_GB2312"/>
                <w:sz w:val="20"/>
              </w:rPr>
              <w:t>⑦《财政部 农业农村部 国家乡村振兴局 关于运用政府采购政策支持乡村产业振兴的通知》（财库〔2021〕19号）；</w:t>
            </w:r>
          </w:p>
          <w:p>
            <w:pPr>
              <w:pStyle w:val="null3"/>
              <w:jc w:val="both"/>
            </w:pPr>
            <w:r>
              <w:rPr>
                <w:rFonts w:ascii="仿宋_GB2312" w:hAnsi="仿宋_GB2312" w:cs="仿宋_GB2312" w:eastAsia="仿宋_GB2312"/>
                <w:sz w:val="20"/>
              </w:rPr>
              <w:t>⑧《陕西省财政厅 关于进一步加强政府绿色采购有关问题的通知》陕财办采〔2021〕29号；</w:t>
            </w:r>
          </w:p>
          <w:p>
            <w:pPr>
              <w:pStyle w:val="null3"/>
              <w:jc w:val="both"/>
            </w:pPr>
            <w:r>
              <w:rPr>
                <w:rFonts w:ascii="仿宋_GB2312" w:hAnsi="仿宋_GB2312" w:cs="仿宋_GB2312" w:eastAsia="仿宋_GB2312"/>
                <w:sz w:val="20"/>
              </w:rPr>
              <w:t>⑨《商品包装政府采购需求标准（试行）》和《快递包装政府采购需求标准（试行）》（财办库〔2020〕123号）；</w:t>
            </w:r>
          </w:p>
          <w:p>
            <w:pPr>
              <w:pStyle w:val="null3"/>
              <w:jc w:val="both"/>
            </w:pPr>
            <w:r>
              <w:rPr>
                <w:rFonts w:ascii="仿宋_GB2312" w:hAnsi="仿宋_GB2312" w:cs="仿宋_GB2312" w:eastAsia="仿宋_GB2312"/>
                <w:sz w:val="20"/>
              </w:rPr>
              <w:t>⑩《政府采购支持绿色建材促进建筑品质提升政策项目实施指南》的通知（财库〔2023〕52号）及《关于扩大政府采购支持绿色建材促进建筑品质提升政策实施范围的通知》（财库〔2022〕35号）；</w:t>
            </w:r>
          </w:p>
          <w:p>
            <w:pPr>
              <w:pStyle w:val="null3"/>
              <w:jc w:val="both"/>
            </w:pPr>
            <w:r>
              <w:rPr>
                <w:rFonts w:ascii="仿宋_GB2312" w:hAnsi="仿宋_GB2312" w:cs="仿宋_GB2312" w:eastAsia="仿宋_GB2312"/>
                <w:sz w:val="20"/>
              </w:rPr>
              <w:t>⑪扶持不发达地区和少数民族地区、支持创新等政府采购政策；</w:t>
            </w:r>
          </w:p>
          <w:p>
            <w:pPr>
              <w:pStyle w:val="null3"/>
              <w:jc w:val="both"/>
            </w:pPr>
            <w:r>
              <w:rPr>
                <w:rFonts w:ascii="仿宋_GB2312" w:hAnsi="仿宋_GB2312" w:cs="仿宋_GB2312" w:eastAsia="仿宋_GB2312"/>
                <w:sz w:val="20"/>
              </w:rPr>
              <w:t>⑫如有最新颁布的政府采购政策，按最新的文件执行。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需执行的国家相关标准、行业标准、地方标准或者其他标准、规范标准</w:t>
            </w:r>
          </w:p>
          <w:p>
            <w:pPr>
              <w:pStyle w:val="null3"/>
              <w:jc w:val="both"/>
            </w:pPr>
            <w:r>
              <w:rPr>
                <w:rFonts w:ascii="仿宋_GB2312" w:hAnsi="仿宋_GB2312" w:cs="仿宋_GB2312" w:eastAsia="仿宋_GB2312"/>
                <w:sz w:val="20"/>
              </w:rPr>
              <w:t>1、GB 50870-2013 建筑施工安全技术统一规范（通用安全技术要求）</w:t>
            </w:r>
          </w:p>
          <w:p>
            <w:pPr>
              <w:pStyle w:val="null3"/>
              <w:jc w:val="both"/>
            </w:pPr>
            <w:r>
              <w:rPr>
                <w:rFonts w:ascii="仿宋_GB2312" w:hAnsi="仿宋_GB2312" w:cs="仿宋_GB2312" w:eastAsia="仿宋_GB2312"/>
                <w:sz w:val="20"/>
              </w:rPr>
              <w:t>2、GB/T 50430-2017 工程建设施工企业质量管理规范（质量体系）</w:t>
            </w:r>
          </w:p>
          <w:p>
            <w:pPr>
              <w:pStyle w:val="null3"/>
              <w:jc w:val="both"/>
            </w:pPr>
            <w:r>
              <w:rPr>
                <w:rFonts w:ascii="仿宋_GB2312" w:hAnsi="仿宋_GB2312" w:cs="仿宋_GB2312" w:eastAsia="仿宋_GB2312"/>
                <w:sz w:val="20"/>
              </w:rPr>
              <w:t>3、CJJ 1-2021 城镇道路工程施工与质量验收标准（市政类临时路施工与验收）</w:t>
            </w:r>
          </w:p>
          <w:p>
            <w:pPr>
              <w:pStyle w:val="null3"/>
              <w:jc w:val="both"/>
            </w:pPr>
            <w:r>
              <w:rPr>
                <w:rFonts w:ascii="仿宋_GB2312" w:hAnsi="仿宋_GB2312" w:cs="仿宋_GB2312" w:eastAsia="仿宋_GB2312"/>
                <w:sz w:val="20"/>
              </w:rPr>
              <w:t>4、JGJ/T 188-2016 施工现场临时道路技术规范（建筑工程现场临时路）</w:t>
            </w:r>
          </w:p>
          <w:p>
            <w:pPr>
              <w:pStyle w:val="null3"/>
            </w:pPr>
            <w:r>
              <w:rPr>
                <w:rFonts w:ascii="仿宋_GB2312" w:hAnsi="仿宋_GB2312" w:cs="仿宋_GB2312" w:eastAsia="仿宋_GB2312"/>
                <w:sz w:val="20"/>
              </w:rPr>
              <w:t>备注：凡涉及的相关规范，国家有最新标准的以最新标准为准。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工程指</w:t>
            </w:r>
            <w:r>
              <w:rPr>
                <w:rFonts w:ascii="仿宋_GB2312" w:hAnsi="仿宋_GB2312" w:cs="仿宋_GB2312" w:eastAsia="仿宋_GB2312"/>
                <w:sz w:val="20"/>
              </w:rPr>
              <w:t>标的具体要求</w:t>
            </w:r>
          </w:p>
          <w:p>
            <w:pPr>
              <w:pStyle w:val="null3"/>
              <w:jc w:val="both"/>
            </w:pPr>
            <w:r>
              <w:rPr>
                <w:rFonts w:ascii="仿宋_GB2312" w:hAnsi="仿宋_GB2312" w:cs="仿宋_GB2312" w:eastAsia="仿宋_GB2312"/>
                <w:sz w:val="20"/>
              </w:rPr>
              <w:t>1、工期：合同签订之日起30日历天。</w:t>
            </w:r>
          </w:p>
          <w:p>
            <w:pPr>
              <w:pStyle w:val="null3"/>
            </w:pPr>
            <w:r>
              <w:rPr>
                <w:rFonts w:ascii="仿宋_GB2312" w:hAnsi="仿宋_GB2312" w:cs="仿宋_GB2312" w:eastAsia="仿宋_GB2312"/>
                <w:sz w:val="20"/>
              </w:rPr>
              <w:t>2、工程地点：采购人指定地点。</w:t>
            </w:r>
          </w:p>
          <w:p>
            <w:pPr>
              <w:pStyle w:val="null3"/>
            </w:pPr>
            <w:r>
              <w:rPr>
                <w:rFonts w:ascii="仿宋_GB2312" w:hAnsi="仿宋_GB2312" w:cs="仿宋_GB2312" w:eastAsia="仿宋_GB2312"/>
                <w:sz w:val="20"/>
              </w:rPr>
              <w:t>3、质量标准：达到国家、省市或相关行业规范</w:t>
            </w:r>
            <w:r>
              <w:rPr>
                <w:rFonts w:ascii="仿宋_GB2312" w:hAnsi="仿宋_GB2312" w:cs="仿宋_GB2312" w:eastAsia="仿宋_GB2312"/>
                <w:sz w:val="20"/>
              </w:rPr>
              <w:t>“合格”标准要求。</w:t>
            </w:r>
          </w:p>
          <w:p>
            <w:pPr>
              <w:pStyle w:val="null3"/>
            </w:pPr>
            <w:r>
              <w:rPr>
                <w:rFonts w:ascii="仿宋_GB2312" w:hAnsi="仿宋_GB2312" w:cs="仿宋_GB2312" w:eastAsia="仿宋_GB2312"/>
                <w:sz w:val="20"/>
              </w:rPr>
              <w:t>4、质保期：</w:t>
            </w:r>
            <w:r>
              <w:rPr>
                <w:rFonts w:ascii="仿宋_GB2312" w:hAnsi="仿宋_GB2312" w:cs="仿宋_GB2312" w:eastAsia="仿宋_GB2312"/>
                <w:sz w:val="20"/>
              </w:rPr>
              <w:t>自工程</w:t>
            </w:r>
            <w:r>
              <w:rPr>
                <w:rFonts w:ascii="仿宋_GB2312" w:hAnsi="仿宋_GB2312" w:cs="仿宋_GB2312" w:eastAsia="仿宋_GB2312"/>
                <w:sz w:val="20"/>
              </w:rPr>
              <w:t>竣工验收合格之日起</w:t>
            </w:r>
            <w:r>
              <w:rPr>
                <w:rFonts w:ascii="仿宋_GB2312" w:hAnsi="仿宋_GB2312" w:cs="仿宋_GB2312" w:eastAsia="仿宋_GB2312"/>
                <w:sz w:val="20"/>
              </w:rPr>
              <w:t xml:space="preserve"> </w:t>
            </w:r>
            <w:r>
              <w:rPr>
                <w:rFonts w:ascii="仿宋_GB2312" w:hAnsi="仿宋_GB2312" w:cs="仿宋_GB2312" w:eastAsia="仿宋_GB2312"/>
                <w:sz w:val="20"/>
              </w:rPr>
              <w:t xml:space="preserve">2 </w:t>
            </w:r>
            <w:r>
              <w:rPr>
                <w:rFonts w:ascii="仿宋_GB2312" w:hAnsi="仿宋_GB2312" w:cs="仿宋_GB2312" w:eastAsia="仿宋_GB2312"/>
                <w:sz w:val="20"/>
              </w:rPr>
              <w:t>年。</w:t>
            </w:r>
          </w:p>
          <w:p>
            <w:pPr>
              <w:pStyle w:val="null3"/>
            </w:pPr>
            <w:r>
              <w:rPr>
                <w:rFonts w:ascii="仿宋_GB2312" w:hAnsi="仿宋_GB2312" w:cs="仿宋_GB2312" w:eastAsia="仿宋_GB2312"/>
                <w:sz w:val="20"/>
              </w:rPr>
              <w:t>5、工程项目建设相关</w:t>
            </w:r>
            <w:r>
              <w:rPr>
                <w:rFonts w:ascii="仿宋_GB2312" w:hAnsi="仿宋_GB2312" w:cs="仿宋_GB2312" w:eastAsia="仿宋_GB2312"/>
                <w:sz w:val="20"/>
              </w:rPr>
              <w:t>要求</w:t>
            </w:r>
            <w:r>
              <w:rPr>
                <w:rFonts w:ascii="仿宋_GB2312" w:hAnsi="仿宋_GB2312" w:cs="仿宋_GB2312" w:eastAsia="仿宋_GB2312"/>
                <w:sz w:val="20"/>
              </w:rPr>
              <w:t>:满足本项目安全运行要求，提前预防事故，最终达到安全管理的目的。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1、GB 50870-2013 建筑施工安全技术统一规范（通用安全技术要求） 2、GB/T 50430-2017 工程建设施工企业质量管理规范（质量体系） 3、CJJ 1-2021 城镇道路工程施工与质量验收标准（市政类临时路施工与验收） 4、JGJ/T 188-2016 施工现场临时道路技术规范（建筑工程现场临时路） 凡涉及的相关规范，国家有最新标准的以最新标准为准。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成交供应商领取成交通知书时须提交响应文件肆套、电子版(U盘贰套）。纸质响应文件应与电子响应文件保持一致。 2.本项目所属行业： 《工业和信息化部、国家统计局、国家发展和改革委员会、财政部关于印发中小企业划型标准规定的通知》（工信部联企业[2011]300 号）中，（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因合同支付约定为模版填空，“支付合同总金额”字样无法修改，与实际付款约定不符，故合同支付约定按以下条款执行:(1合同签订后支付合同价款的10%作为预付款。(2工程全部完工并由采购人验收合格、结算审核完成后支付至结算金额的97%，剩余3%作为质保金，质保金在缺陷责任期(24个月)满后一次性无息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（1）供应商应具有独立承担民事责任的能力：提供供应商的营业执照等证明文件，自然人的身份证明等扫描件； （2）供应商依法缴纳税收、缴纳社会保障金、具有履行合同所必需的设备和专业技术能力、参加政府采购活动前三年内，在经营活动中没有重大违法记录，供应商按照磋商文件提供的《基本资格条件承诺函》进行承诺； （3）未被列入失信被执行人、重大税收违法案件当事人名单及政府采购严重违法失信行为记录名单的证明材料：提供《基本资格条件承诺函》。（4）法定代表人直接参加投标的，须出具法定代表人身份证明及法人身份证；法定代表人授权代表参加投标的，须出具法定代表人授权委托书和被授权人身份证及该人员在本单位缴纳社保记录证明(近3个月)。</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供应商资质证明</w:t>
            </w:r>
          </w:p>
        </w:tc>
        <w:tc>
          <w:tcPr>
            <w:tcW w:type="dxa" w:w="3322"/>
          </w:tcPr>
          <w:p>
            <w:pPr>
              <w:pStyle w:val="null3"/>
            </w:pPr>
            <w:r>
              <w:rPr>
                <w:rFonts w:ascii="仿宋_GB2312" w:hAnsi="仿宋_GB2312" w:cs="仿宋_GB2312" w:eastAsia="仿宋_GB2312"/>
              </w:rPr>
              <w:t>供应商具有市政公用工程施工总承包三级及以上资质，并具有有效的安全生产许可证；提供在陕西省“建筑市场监管与诚信信息一体化平台”登记备案网页截屏资料。（提供上述扫描件）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项目负责人资质证明</w:t>
            </w:r>
          </w:p>
        </w:tc>
        <w:tc>
          <w:tcPr>
            <w:tcW w:type="dxa" w:w="3322"/>
          </w:tcPr>
          <w:p>
            <w:pPr>
              <w:pStyle w:val="null3"/>
            </w:pPr>
            <w:r>
              <w:rPr>
                <w:rFonts w:ascii="仿宋_GB2312" w:hAnsi="仿宋_GB2312" w:cs="仿宋_GB2312" w:eastAsia="仿宋_GB2312"/>
              </w:rPr>
              <w:t>项目经理须具备市政公用工程专业二级及以上注册建造师资格,具有有效的安全生产考核合格证书（建安B证），且未担任其他在建工程项目的项目经理。提供在陕西省“建筑市场监管与诚信信息一体化平台”登记备案网页截屏资料。（提供上述扫描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异常低价的处理 异常低价投标审查程序 在评审中出现下列情形之一的，磋商小组应当启动异常低价投标审查程序： （1）投标报价低于全部通过符合性审查供应商投标报价平均值50%（最高不得超过65%）的，即投标报价&lt;全部通过符合性审查供应商投标报价平均值×50%；  （2）投标报价低于通过符合性审查的次低报价供应商投标报价50%（最高不得超过65%）的，即投标报价&lt;通过符合性审查的次低报价供应商投标报价×50%；  （3）投标报价低于采购项目最高限价45%（最高不得超过65%）的，即投标报价&lt;采购项目最高限价×45%；  （4）磋商小组基于专业判断，认为供应商报价过低，有可能影响产品质量或者不能诚信履约的其他情形。 相关法律法规对投标人报价有规定的，从其规定。 磋商小组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磋商小组应当给予相关投标人的合理时间，一般不少于30分钟。其中，属于第3项情形，投标人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异常低价投标审查的启动原因、审查意见和审查结果应当在评审报告中记录，并随投标人提供的相关书面说明及证明材料，以及磋商小组有关互联网浏览、查询历史一并归档。  在评标过程中，发现磋商小组未按规定对异常低价开展审查的，采购人、采购代理机构应当予以纠正，拒不改正的，应当及时报告同级财政部门。  磋商小组未按规定对异常低价开展审查的，财政部门依法予以纠正并追究评审专家的法律责任。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二次报价表.docx 已标价工程量清单 报价函 标的清单 首次磋商报价表.docx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二次报价表.docx 已标价工程量清单 报价函 首次磋商报价表.docx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已标价工程量清单 中小企业声明函 首次磋商报价表.docx 项目管理机构.docx 二次报价表.docx 技术、服务及其他商务要求应答表.docx 供应商应提交的相关资格证明材料.docx 残疾人福利性单位声明函 响应文件封面.docx 报价函 技术方案响应说明.docx 标的清单 业绩的相关证明材料.docx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技术、服务及其他商务要求应答表.docx 技术方案响应说明.docx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符合“第七章响应文件格式”的要求.</w:t>
            </w:r>
          </w:p>
        </w:tc>
        <w:tc>
          <w:tcPr>
            <w:tcW w:type="dxa" w:w="1661"/>
          </w:tcPr>
          <w:p>
            <w:pPr>
              <w:pStyle w:val="null3"/>
            </w:pPr>
            <w:r>
              <w:rPr>
                <w:rFonts w:ascii="仿宋_GB2312" w:hAnsi="仿宋_GB2312" w:cs="仿宋_GB2312" w:eastAsia="仿宋_GB2312"/>
              </w:rPr>
              <w:t>已标价工程量清单 中小企业声明函 首次磋商报价表.docx 项目管理机构.docx 二次报价表.docx 技术、服务及其他商务要求应答表.docx 供应商应提交的相关资格证明材料.docx 残疾人福利性单位声明函 响应文件封面.docx 报价函 技术方案响应说明.docx 标的清单 业绩的相关证明材料.docx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符合磋商文件对工期的要求</w:t>
            </w:r>
          </w:p>
        </w:tc>
        <w:tc>
          <w:tcPr>
            <w:tcW w:type="dxa" w:w="1661"/>
          </w:tcPr>
          <w:p>
            <w:pPr>
              <w:pStyle w:val="null3"/>
            </w:pPr>
            <w:r>
              <w:rPr>
                <w:rFonts w:ascii="仿宋_GB2312" w:hAnsi="仿宋_GB2312" w:cs="仿宋_GB2312" w:eastAsia="仿宋_GB2312"/>
              </w:rPr>
              <w:t>二次报价表.docx 报价函 首次磋商报价表.docx 标的清单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符合磋商文件对工程质量的要求</w:t>
            </w:r>
          </w:p>
        </w:tc>
        <w:tc>
          <w:tcPr>
            <w:tcW w:type="dxa" w:w="1661"/>
          </w:tcPr>
          <w:p>
            <w:pPr>
              <w:pStyle w:val="null3"/>
            </w:pPr>
            <w:r>
              <w:rPr>
                <w:rFonts w:ascii="仿宋_GB2312" w:hAnsi="仿宋_GB2312" w:cs="仿宋_GB2312" w:eastAsia="仿宋_GB2312"/>
              </w:rPr>
              <w:t>二次报价表.docx 报价函 首次磋商报价表.docx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方案完整且切实可行，描述清晰，且能针对性满足本项目得4分；方案内容较完整，描述一般，可操作性一般，基本能够满足本项目得（3，2］分；方案内容较简单，描述简单，可操作性较差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充分了解本项目采购需求及安全文明施工相关政策要求，措施健全、合理、完善、详尽，完全满足项目的要求且可行性强的得4分；对本项目采购需求及安全文明施工相关政策要求了解较为充分，措施内容较为完整，描述简单得（3，2］分；对本项目采购需求及安全文明施工相关政策要求不够了解，技术组织措施内容较差，描述不清晰得1 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4分；技术组织措施基本合理满足项目的要求且有一定可行性的得（3，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根据措施内容完整，描述清晰，且能针对性满足项目得4分；措施内容较完整，描述简单，可行性一般，基本满足项目得（3，2］分；措施内容笼统，描述简单，可行性不强得1分；未提供不得分。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有健全可行且完整的技术组织措施，描述清晰，满足项目需求得4分；技术组织措施较完整，描述简单,基本满足项目得（3，2］分；管理制度内容笼统，描述模糊得1分;未提供不得分。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合理、完善、详尽，完全满足项目的要求且可行性强的得4分；施工组织和项目管理机构基本合理满足项目的要求且有一定可行性的得（3，2］分；施工组织和项目管理机构基本合理满足项目的要求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根据施工总平面布置合理完整，清晰，且能针对性满足项目得4分；施工总平面布置较完整，简单，有一定可行性得（3，2］分；施工总平面布置笼统，模糊，可行性不强得1分；未提供不得分。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4分；技术组织措施基本合理满足项目的要求且有一定可行性的得（3，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根据劳动力计划表合理完整，清晰，且能针对性满足项目得4分；劳动力计划表较完整，简单，有一定可行性得（3，2］分；劳动力计划表笼统，模糊，可行性不强得1分；未提供不得分。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机械配备情况及材料完整能充分满足本项目需求得4分；机械配备情况及材料一般，基本能满足本项目需求得(3，2］分；配备情况不够充足，达不到本项目需求得1分；未提供不得分。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2023年1月之后作为项目经理完成的类似业绩有一项得2.5分，满分5分。未提供不得分。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技术方案响应说明.docx</w:t>
            </w:r>
          </w:p>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现场组织机构情况</w:t>
            </w:r>
          </w:p>
        </w:tc>
        <w:tc>
          <w:tcPr>
            <w:tcW w:type="dxa" w:w="2492"/>
          </w:tcPr>
          <w:p>
            <w:pPr>
              <w:pStyle w:val="null3"/>
            </w:pPr>
            <w:r>
              <w:rPr>
                <w:rFonts w:ascii="仿宋_GB2312" w:hAnsi="仿宋_GB2312" w:cs="仿宋_GB2312" w:eastAsia="仿宋_GB2312"/>
              </w:rPr>
              <w:t>依据项目部机构设置、人员配备、责任分工、专业配套、工作经验等情况：1.项目技术负责人：具有市政工程类高级职称，得5分；具有中级职称，得3分；不具备者0分,满分5 分。注：附技术负责人技术职称证书等资料。2.项目部组建结构合理、专业配置齐全、主要人员数量充足、工作经验丰富等情况：1.市政工程专业2人，并具有注册建造师执业资格证书得2分，没有不得分；2.造价人员1人，并具有全国建设工程造价员资格证书或注册造价工程师资格证书得1分，没有不得分；3 .资料员1人，并具有住房和城乡建设领域施工现场专业人员职业培训合格证书得1分，没有不得分；4、安全员1人，并具有安全生产考核合格证书得1分，没有不得分；现场组织机构所有人员均应为本企业职工（以劳动合同及社保证明为准），且为常驻人员，不得兼职。注：附本工程技术负责人、相关专业工程师，质量、安全等技术管理人员的相关证书及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技术方案响应说明.docx</w:t>
            </w:r>
          </w:p>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实施与管理提出合理化建议，有助于项目规划工作更加顺利进行。内容合理、完善、详尽，完全满足项目的要求且可行性强的得4分；内容基本合理满足项目的要求且有一定可行性的得（3，2］分；内容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近三年类似项目的业绩（2023年1 月至今），以合同为准，时间以合同签订时间为准。每具备1项得2.5 分，最多得10分。评审依据：以申请人加盖公章的合同复印件或扫描件为准。供应商业绩与项目经理业绩可重复。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技术方案响应说明.docx</w:t>
            </w:r>
          </w:p>
          <w:p>
            <w:pPr>
              <w:pStyle w:val="null3"/>
            </w:pPr>
            <w:r>
              <w:rPr>
                <w:rFonts w:ascii="仿宋_GB2312" w:hAnsi="仿宋_GB2312" w:cs="仿宋_GB2312" w:eastAsia="仿宋_GB2312"/>
              </w:rPr>
              <w:t>业绩的相关证明材料.docx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首次磋商报价表.docx</w:t>
            </w:r>
          </w:p>
          <w:p>
            <w:pPr>
              <w:pStyle w:val="null3"/>
            </w:pPr>
            <w:r>
              <w:rPr>
                <w:rFonts w:ascii="仿宋_GB2312" w:hAnsi="仿宋_GB2312" w:cs="仿宋_GB2312" w:eastAsia="仿宋_GB2312"/>
              </w:rPr>
              <w:t>二次报价表.docx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详见附件：技术方案响应说明.docx</w:t>
      </w:r>
    </w:p>
    <w:p>
      <w:pPr>
        <w:pStyle w:val="null3"/>
        <w:ind w:firstLine="960"/>
      </w:pPr>
      <w:r>
        <w:rPr>
          <w:rFonts w:ascii="仿宋_GB2312" w:hAnsi="仿宋_GB2312" w:cs="仿宋_GB2312" w:eastAsia="仿宋_GB2312"/>
        </w:rPr>
        <w:t>详见附件：项目管理机构.docx</w:t>
      </w:r>
    </w:p>
    <w:p>
      <w:pPr>
        <w:pStyle w:val="null3"/>
        <w:ind w:firstLine="960"/>
      </w:pPr>
      <w:r>
        <w:rPr>
          <w:rFonts w:ascii="仿宋_GB2312" w:hAnsi="仿宋_GB2312" w:cs="仿宋_GB2312" w:eastAsia="仿宋_GB2312"/>
        </w:rPr>
        <w:t>详见附件：技术、服务及其他商务要求应答表.docx</w:t>
      </w:r>
    </w:p>
    <w:p>
      <w:pPr>
        <w:pStyle w:val="null3"/>
        <w:ind w:firstLine="960"/>
      </w:pPr>
      <w:r>
        <w:rPr>
          <w:rFonts w:ascii="仿宋_GB2312" w:hAnsi="仿宋_GB2312" w:cs="仿宋_GB2312" w:eastAsia="仿宋_GB2312"/>
        </w:rPr>
        <w:t>详见附件：业绩的相关证明材料.docx</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详见附件：二次报价表.docx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