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92894F">
      <w:pPr>
        <w:jc w:val="center"/>
        <w:rPr>
          <w:rFonts w:hint="eastAsia"/>
          <w:b/>
          <w:bCs/>
          <w:sz w:val="28"/>
          <w:szCs w:val="28"/>
          <w:highlight w:val="none"/>
          <w:lang w:val="en-US" w:eastAsia="zh-CN"/>
        </w:rPr>
      </w:pPr>
      <w:r>
        <w:rPr>
          <w:rFonts w:hint="eastAsia"/>
          <w:b/>
          <w:bCs/>
          <w:sz w:val="28"/>
          <w:szCs w:val="28"/>
          <w:highlight w:val="none"/>
          <w:lang w:val="en-US" w:eastAsia="zh-CN"/>
        </w:rPr>
        <w:t>采购需求</w:t>
      </w:r>
    </w:p>
    <w:tbl>
      <w:tblPr>
        <w:tblStyle w:val="2"/>
        <w:tblW w:w="5000"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71"/>
        <w:gridCol w:w="1069"/>
        <w:gridCol w:w="6782"/>
      </w:tblGrid>
      <w:tr w14:paraId="7ECD1F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7" w:hRule="atLeast"/>
          <w:jc w:val="center"/>
        </w:trPr>
        <w:tc>
          <w:tcPr>
            <w:tcW w:w="394" w:type="pct"/>
            <w:vAlign w:val="top"/>
          </w:tcPr>
          <w:p w14:paraId="25BADB64">
            <w:pPr>
              <w:pStyle w:val="4"/>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627" w:type="pct"/>
            <w:vAlign w:val="top"/>
          </w:tcPr>
          <w:p w14:paraId="234433EA">
            <w:pPr>
              <w:pStyle w:val="4"/>
              <w:rPr>
                <w:rFonts w:hint="eastAsia" w:ascii="仿宋" w:hAnsi="仿宋" w:eastAsia="仿宋" w:cs="仿宋"/>
                <w:sz w:val="21"/>
                <w:szCs w:val="21"/>
                <w:highlight w:val="none"/>
              </w:rPr>
            </w:pPr>
            <w:r>
              <w:rPr>
                <w:rFonts w:hint="eastAsia" w:ascii="仿宋" w:hAnsi="仿宋" w:eastAsia="仿宋" w:cs="仿宋"/>
                <w:sz w:val="21"/>
                <w:szCs w:val="21"/>
                <w:highlight w:val="none"/>
              </w:rPr>
              <w:t>参数性质</w:t>
            </w:r>
          </w:p>
        </w:tc>
        <w:tc>
          <w:tcPr>
            <w:tcW w:w="3978" w:type="pct"/>
            <w:vAlign w:val="top"/>
          </w:tcPr>
          <w:p w14:paraId="61C2C8EA">
            <w:pPr>
              <w:pStyle w:val="4"/>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技术参数与性能指标</w:t>
            </w:r>
          </w:p>
        </w:tc>
      </w:tr>
      <w:tr w14:paraId="766D5B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394" w:type="pct"/>
            <w:vAlign w:val="top"/>
          </w:tcPr>
          <w:p w14:paraId="562D166C">
            <w:pPr>
              <w:pStyle w:val="4"/>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627" w:type="pct"/>
            <w:vAlign w:val="top"/>
          </w:tcPr>
          <w:p w14:paraId="42AB16AA">
            <w:pPr>
              <w:rPr>
                <w:rFonts w:hint="eastAsia" w:ascii="仿宋" w:hAnsi="仿宋" w:eastAsia="仿宋" w:cs="仿宋"/>
                <w:sz w:val="21"/>
                <w:szCs w:val="21"/>
                <w:highlight w:val="none"/>
              </w:rPr>
            </w:pPr>
            <w:bookmarkStart w:id="0" w:name="_GoBack"/>
            <w:bookmarkEnd w:id="0"/>
          </w:p>
        </w:tc>
        <w:tc>
          <w:tcPr>
            <w:tcW w:w="3978" w:type="pct"/>
            <w:vAlign w:val="top"/>
          </w:tcPr>
          <w:p w14:paraId="530B855E">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w:t>
            </w:r>
            <w:r>
              <w:rPr>
                <w:rFonts w:hint="default" w:ascii="仿宋" w:hAnsi="仿宋" w:eastAsia="仿宋" w:cs="仿宋"/>
                <w:sz w:val="21"/>
                <w:szCs w:val="21"/>
                <w:highlight w:val="none"/>
                <w:lang w:val="en-US" w:eastAsia="zh-CN"/>
              </w:rPr>
              <w:t>项目实现的目标和绩效</w:t>
            </w:r>
          </w:p>
          <w:p w14:paraId="371D1426">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ascii="仿宋" w:hAnsi="仿宋" w:eastAsia="仿宋" w:cs="仿宋"/>
                <w:sz w:val="21"/>
                <w:szCs w:val="21"/>
                <w:highlight w:val="none"/>
                <w:lang w:val="en-US" w:eastAsia="zh-CN"/>
              </w:rPr>
            </w:pPr>
            <w:r>
              <w:rPr>
                <w:rFonts w:hint="default" w:ascii="仿宋" w:hAnsi="仿宋" w:eastAsia="仿宋" w:cs="仿宋"/>
                <w:sz w:val="21"/>
                <w:szCs w:val="21"/>
                <w:highlight w:val="none"/>
                <w:lang w:val="en-US" w:eastAsia="zh-CN"/>
              </w:rPr>
              <w:t>采购一套技术先进、性能稳定、功能完备的高性能复杂流体多尺度流变分析测试系统。建立高精度流体粘弹性检测、实时温控与润滑性能等相关联的智能流变测试技术，为重点实验室及先进润滑平台在润滑剂及相关流体性能表征与应用研发方向的科研与教学提供核心支撑，满足实验室在润滑剂粘温特性调控、剪切稳定性评估、触变行为解析、摩擦学性能关联分析等领域的研究与实验需求，并可提供覆盖工业齿轮油、发动机润滑油、特种润滑脂等多品类润滑剂的灵活开放应用场景，支撑材料科学与工程、材料工程、化学工程等学科教师和学生开展润滑剂配方优化、设备润滑方案设计、极端工况润滑机制研究等跨领域探索与创新实践，同步提升实验室在先进流体研发领域的核心竞争力和学术影响力，成为产出高水平成果、开展高水平合作、培养高水平人才的关键基础设施。</w:t>
            </w:r>
          </w:p>
          <w:p w14:paraId="4AEBE428">
            <w:pPr>
              <w:pStyle w:val="4"/>
              <w:numPr>
                <w:ilvl w:val="0"/>
                <w:numId w:val="0"/>
              </w:numPr>
              <w:ind w:firstLine="210" w:firstLineChars="100"/>
              <w:rPr>
                <w:rFonts w:hint="default" w:ascii="仿宋" w:hAnsi="仿宋" w:eastAsia="仿宋" w:cs="仿宋"/>
                <w:sz w:val="21"/>
                <w:szCs w:val="21"/>
                <w:highlight w:val="none"/>
                <w:lang w:val="en-US" w:eastAsia="zh-CN"/>
              </w:rPr>
            </w:pPr>
            <w:r>
              <w:rPr>
                <w:rFonts w:hint="default" w:ascii="仿宋" w:hAnsi="仿宋" w:eastAsia="仿宋" w:cs="仿宋"/>
                <w:sz w:val="21"/>
                <w:szCs w:val="21"/>
                <w:highlight w:val="none"/>
                <w:lang w:val="en-US" w:eastAsia="zh-CN"/>
              </w:rPr>
              <w:t>项目实施绩效：</w:t>
            </w:r>
          </w:p>
          <w:p w14:paraId="35421912">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r>
              <w:rPr>
                <w:rFonts w:hint="default" w:ascii="仿宋" w:hAnsi="仿宋" w:eastAsia="仿宋" w:cs="仿宋"/>
                <w:sz w:val="21"/>
                <w:szCs w:val="21"/>
                <w:highlight w:val="none"/>
                <w:lang w:val="en-US" w:eastAsia="zh-CN"/>
              </w:rPr>
              <w:t>科研支撑。系统直接支撑科研团队对润滑剂粘温特性、流变行为、剪切稳定性等关键参数的精确测量，为揭示微观机理、构建精准预测模型提供核心数据，推动在摩擦学、材料科学、流体力学等领域的高水平学术论文、发明专利及重大科研成果产出。</w:t>
            </w:r>
          </w:p>
          <w:p w14:paraId="121DEC40">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r>
              <w:rPr>
                <w:rFonts w:hint="default" w:ascii="仿宋" w:hAnsi="仿宋" w:eastAsia="仿宋" w:cs="仿宋"/>
                <w:sz w:val="21"/>
                <w:szCs w:val="21"/>
                <w:highlight w:val="none"/>
                <w:lang w:val="en-US" w:eastAsia="zh-CN"/>
              </w:rPr>
              <w:t>人才培养。服务于材料科学与工程、材料工程、化学工程等学科的本科生、研究生教学和实验课程，满足综合性（多参数协同分析）、创新性（新型润滑剂性能探索）、实践性（系统操作与数据解读）教学资源需求，培养具备润滑剂性能测试能力、配方设计思维与工程应用视野的高层次人才。</w:t>
            </w:r>
          </w:p>
          <w:p w14:paraId="526350FB">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r>
              <w:rPr>
                <w:rFonts w:hint="default" w:ascii="仿宋" w:hAnsi="仿宋" w:eastAsia="仿宋" w:cs="仿宋"/>
                <w:sz w:val="21"/>
                <w:szCs w:val="21"/>
                <w:highlight w:val="none"/>
                <w:lang w:val="en-US" w:eastAsia="zh-CN"/>
              </w:rPr>
              <w:t>学科交叉训练。提供材料表征、机械润滑、润滑剂研发等多学科交叉的训练平台，支撑国家与地方在高端装备润滑、绿色石化、新能源装备长效润滑等领域对专业人才的需求。</w:t>
            </w:r>
          </w:p>
          <w:p w14:paraId="014718EA">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r>
              <w:rPr>
                <w:rFonts w:hint="default" w:ascii="仿宋" w:hAnsi="仿宋" w:eastAsia="仿宋" w:cs="仿宋"/>
                <w:sz w:val="21"/>
                <w:szCs w:val="21"/>
                <w:highlight w:val="none"/>
                <w:lang w:val="en-US" w:eastAsia="zh-CN"/>
              </w:rPr>
              <w:t>产学研合作。通过与润滑油生产企业、检测认证机构及科研院所的合作，开展润滑剂性能评测、新配方开发与标准制定等应用研究，形成润滑剂领域产学研一体化示范，助力企业解决润滑失效、能耗优化等实际难题，提升实验室对区域内高端装备制造、石化产业的技术服务能力。</w:t>
            </w:r>
          </w:p>
        </w:tc>
      </w:tr>
      <w:tr w14:paraId="1F0E4C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394" w:type="pct"/>
            <w:vAlign w:val="top"/>
          </w:tcPr>
          <w:p w14:paraId="057234D0">
            <w:pPr>
              <w:pStyle w:val="4"/>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627" w:type="pct"/>
            <w:vAlign w:val="top"/>
          </w:tcPr>
          <w:p w14:paraId="5D4053D9">
            <w:pPr>
              <w:rPr>
                <w:rFonts w:hint="eastAsia" w:ascii="仿宋" w:hAnsi="仿宋" w:eastAsia="仿宋" w:cs="仿宋"/>
                <w:sz w:val="21"/>
                <w:szCs w:val="21"/>
                <w:highlight w:val="none"/>
              </w:rPr>
            </w:pPr>
          </w:p>
        </w:tc>
        <w:tc>
          <w:tcPr>
            <w:tcW w:w="3978" w:type="pct"/>
            <w:vAlign w:val="top"/>
          </w:tcPr>
          <w:p w14:paraId="4F2B0BE6">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w:t>
            </w:r>
            <w:r>
              <w:rPr>
                <w:rFonts w:hint="default" w:ascii="仿宋" w:hAnsi="仿宋" w:eastAsia="仿宋" w:cs="仿宋"/>
                <w:sz w:val="21"/>
                <w:szCs w:val="21"/>
                <w:highlight w:val="none"/>
                <w:lang w:val="en-US" w:eastAsia="zh-CN"/>
              </w:rPr>
              <w:t>主要技术参数</w:t>
            </w:r>
          </w:p>
          <w:p w14:paraId="268DEA53">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r>
              <w:rPr>
                <w:rFonts w:hint="default" w:ascii="仿宋" w:hAnsi="仿宋" w:eastAsia="仿宋" w:cs="仿宋"/>
                <w:b/>
                <w:bCs/>
                <w:sz w:val="21"/>
                <w:szCs w:val="21"/>
                <w:highlight w:val="none"/>
                <w:lang w:val="en-US" w:eastAsia="zh-CN"/>
              </w:rPr>
              <w:t>复杂流体多尺度流变分析测试系统</w:t>
            </w:r>
            <w:r>
              <w:rPr>
                <w:rFonts w:hint="default" w:ascii="仿宋" w:hAnsi="仿宋" w:eastAsia="仿宋" w:cs="仿宋"/>
                <w:sz w:val="21"/>
                <w:szCs w:val="21"/>
                <w:highlight w:val="none"/>
                <w:lang w:val="en-US" w:eastAsia="zh-CN"/>
              </w:rPr>
              <w:t xml:space="preserve"> 1套</w:t>
            </w:r>
          </w:p>
          <w:p w14:paraId="232B9C3D">
            <w:pPr>
              <w:pStyle w:val="4"/>
              <w:numPr>
                <w:ilvl w:val="0"/>
                <w:numId w:val="0"/>
              </w:numPr>
              <w:rPr>
                <w:rFonts w:hint="default" w:ascii="仿宋" w:hAnsi="仿宋" w:eastAsia="仿宋" w:cs="仿宋"/>
                <w:sz w:val="21"/>
                <w:szCs w:val="21"/>
                <w:highlight w:val="none"/>
                <w:lang w:val="en-US" w:eastAsia="zh-CN"/>
              </w:rPr>
            </w:pPr>
            <w:r>
              <w:rPr>
                <w:rFonts w:hint="default" w:ascii="仿宋" w:hAnsi="仿宋" w:eastAsia="仿宋" w:cs="仿宋"/>
                <w:sz w:val="21"/>
                <w:szCs w:val="21"/>
                <w:highlight w:val="none"/>
                <w:lang w:val="en-US" w:eastAsia="zh-CN"/>
              </w:rPr>
              <w:t>系统应具备宽温域条件下稳态、瞬态和动态振荡流变测试的综合功能，实现精确的应力与应变控制，支持润滑剂、高分子、复杂流体等的基础科研、教学创新及产学研合作应用。系统须保证测量准确、运行稳定、功能可扩展，符合国家相关标准及实验室长期运行需求。</w:t>
            </w:r>
          </w:p>
          <w:p w14:paraId="47C2A907">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r>
              <w:rPr>
                <w:rFonts w:hint="default" w:ascii="仿宋" w:hAnsi="仿宋" w:eastAsia="仿宋" w:cs="仿宋"/>
                <w:sz w:val="21"/>
                <w:szCs w:val="21"/>
                <w:highlight w:val="none"/>
                <w:lang w:val="en-US" w:eastAsia="zh-CN"/>
              </w:rPr>
              <w:t>主机技术指标要求：</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795"/>
              <w:gridCol w:w="3180"/>
              <w:gridCol w:w="2578"/>
            </w:tblGrid>
            <w:tr w14:paraId="357E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tblHeader/>
                <w:jc w:val="center"/>
              </w:trPr>
              <w:tc>
                <w:tcPr>
                  <w:tcW w:w="607" w:type="pct"/>
                  <w:tcBorders>
                    <w:tl2br w:val="nil"/>
                    <w:tr2bl w:val="nil"/>
                  </w:tcBorders>
                  <w:shd w:val="clear" w:color="auto" w:fill="FFFFFF"/>
                  <w:tcMar>
                    <w:top w:w="150" w:type="dxa"/>
                    <w:left w:w="0" w:type="dxa"/>
                    <w:bottom w:w="150" w:type="dxa"/>
                    <w:right w:w="240" w:type="dxa"/>
                  </w:tcMar>
                  <w:vAlign w:val="center"/>
                </w:tcPr>
                <w:p w14:paraId="3C64DC2D">
                  <w:pPr>
                    <w:keepNext w:val="0"/>
                    <w:keepLines w:val="0"/>
                    <w:widowControl/>
                    <w:suppressLineNumbers w:val="0"/>
                    <w:jc w:val="left"/>
                    <w:rPr>
                      <w:rFonts w:hint="default" w:ascii="Times New Roman" w:hAnsi="Times New Roman" w:eastAsia="var(--dsw-font-markdown-table-h" w:cs="Times New Roman"/>
                      <w:b/>
                      <w:bCs/>
                      <w:i w:val="0"/>
                      <w:iCs w:val="0"/>
                      <w:caps w:val="0"/>
                      <w:color w:val="0F1115"/>
                      <w:spacing w:val="0"/>
                      <w:sz w:val="24"/>
                      <w:szCs w:val="24"/>
                      <w:highlight w:val="none"/>
                    </w:rPr>
                  </w:pPr>
                  <w:r>
                    <w:rPr>
                      <w:rFonts w:hint="default" w:ascii="Times New Roman" w:hAnsi="Times New Roman" w:eastAsia="var(--dsw-font-markdown-table-h" w:cs="Times New Roman"/>
                      <w:b/>
                      <w:bCs/>
                      <w:i w:val="0"/>
                      <w:iCs w:val="0"/>
                      <w:caps w:val="0"/>
                      <w:color w:val="0F1115"/>
                      <w:spacing w:val="0"/>
                      <w:kern w:val="0"/>
                      <w:sz w:val="24"/>
                      <w:szCs w:val="24"/>
                      <w:highlight w:val="none"/>
                      <w:lang w:val="en-US" w:eastAsia="zh-CN"/>
                    </w:rPr>
                    <w:t>序号</w:t>
                  </w:r>
                </w:p>
              </w:tc>
              <w:tc>
                <w:tcPr>
                  <w:tcW w:w="2425" w:type="pct"/>
                  <w:tcBorders>
                    <w:tl2br w:val="nil"/>
                    <w:tr2bl w:val="nil"/>
                  </w:tcBorders>
                  <w:shd w:val="clear" w:color="auto" w:fill="FFFFFF"/>
                  <w:tcMar>
                    <w:top w:w="150" w:type="dxa"/>
                    <w:left w:w="240" w:type="dxa"/>
                    <w:bottom w:w="150" w:type="dxa"/>
                    <w:right w:w="240" w:type="dxa"/>
                  </w:tcMar>
                  <w:vAlign w:val="center"/>
                </w:tcPr>
                <w:p w14:paraId="155AF5B9">
                  <w:pPr>
                    <w:keepNext w:val="0"/>
                    <w:keepLines w:val="0"/>
                    <w:widowControl/>
                    <w:suppressLineNumbers w:val="0"/>
                    <w:jc w:val="left"/>
                    <w:rPr>
                      <w:rFonts w:hint="default" w:ascii="Times New Roman" w:hAnsi="Times New Roman" w:eastAsia="var(--dsw-font-markdown-table-h" w:cs="Times New Roman"/>
                      <w:b/>
                      <w:bCs/>
                      <w:i w:val="0"/>
                      <w:iCs w:val="0"/>
                      <w:caps w:val="0"/>
                      <w:color w:val="0F1115"/>
                      <w:spacing w:val="0"/>
                      <w:sz w:val="24"/>
                      <w:szCs w:val="24"/>
                      <w:highlight w:val="none"/>
                    </w:rPr>
                  </w:pPr>
                  <w:r>
                    <w:rPr>
                      <w:rFonts w:hint="default" w:ascii="Times New Roman" w:hAnsi="Times New Roman" w:eastAsia="var(--dsw-font-markdown-table-h" w:cs="Times New Roman"/>
                      <w:b/>
                      <w:bCs/>
                      <w:i w:val="0"/>
                      <w:iCs w:val="0"/>
                      <w:caps w:val="0"/>
                      <w:color w:val="0F1115"/>
                      <w:spacing w:val="0"/>
                      <w:kern w:val="0"/>
                      <w:sz w:val="24"/>
                      <w:szCs w:val="24"/>
                      <w:highlight w:val="none"/>
                      <w:lang w:val="en-US" w:eastAsia="zh-CN"/>
                    </w:rPr>
                    <w:t>技术指标</w:t>
                  </w:r>
                </w:p>
              </w:tc>
              <w:tc>
                <w:tcPr>
                  <w:tcW w:w="1966" w:type="pct"/>
                  <w:tcBorders>
                    <w:tl2br w:val="nil"/>
                    <w:tr2bl w:val="nil"/>
                  </w:tcBorders>
                  <w:shd w:val="clear" w:color="auto" w:fill="FFFFFF"/>
                  <w:tcMar>
                    <w:top w:w="150" w:type="dxa"/>
                    <w:left w:w="240" w:type="dxa"/>
                    <w:bottom w:w="150" w:type="dxa"/>
                    <w:right w:w="240" w:type="dxa"/>
                  </w:tcMar>
                  <w:vAlign w:val="center"/>
                </w:tcPr>
                <w:p w14:paraId="07700A5F">
                  <w:pPr>
                    <w:keepNext w:val="0"/>
                    <w:keepLines w:val="0"/>
                    <w:widowControl/>
                    <w:suppressLineNumbers w:val="0"/>
                    <w:jc w:val="left"/>
                    <w:rPr>
                      <w:rFonts w:hint="default" w:ascii="Times New Roman" w:hAnsi="Times New Roman" w:eastAsia="var(--dsw-font-markdown-table-h" w:cs="Times New Roman"/>
                      <w:b/>
                      <w:bCs/>
                      <w:i w:val="0"/>
                      <w:iCs w:val="0"/>
                      <w:caps w:val="0"/>
                      <w:color w:val="0F1115"/>
                      <w:spacing w:val="0"/>
                      <w:sz w:val="24"/>
                      <w:szCs w:val="24"/>
                      <w:highlight w:val="none"/>
                    </w:rPr>
                  </w:pPr>
                  <w:r>
                    <w:rPr>
                      <w:rFonts w:hint="default" w:ascii="Times New Roman" w:hAnsi="Times New Roman" w:eastAsia="var(--dsw-font-markdown-table-h" w:cs="Times New Roman"/>
                      <w:b/>
                      <w:bCs/>
                      <w:i w:val="0"/>
                      <w:iCs w:val="0"/>
                      <w:caps w:val="0"/>
                      <w:color w:val="0F1115"/>
                      <w:spacing w:val="0"/>
                      <w:kern w:val="0"/>
                      <w:sz w:val="24"/>
                      <w:szCs w:val="24"/>
                      <w:highlight w:val="none"/>
                      <w:lang w:val="en-US" w:eastAsia="zh-CN"/>
                    </w:rPr>
                    <w:t>技术要求</w:t>
                  </w:r>
                </w:p>
              </w:tc>
            </w:tr>
            <w:tr w14:paraId="19B83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195D28A7">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1.1</w:t>
                  </w:r>
                </w:p>
              </w:tc>
              <w:tc>
                <w:tcPr>
                  <w:tcW w:w="2425" w:type="pct"/>
                  <w:tcBorders>
                    <w:tl2br w:val="nil"/>
                    <w:tr2bl w:val="nil"/>
                  </w:tcBorders>
                  <w:shd w:val="clear" w:color="auto" w:fill="FFFFFF"/>
                  <w:tcMar>
                    <w:top w:w="150" w:type="dxa"/>
                    <w:left w:w="240" w:type="dxa"/>
                    <w:bottom w:w="150" w:type="dxa"/>
                    <w:right w:w="240" w:type="dxa"/>
                  </w:tcMar>
                  <w:vAlign w:val="center"/>
                </w:tcPr>
                <w:p w14:paraId="66832566">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扭矩范围</w:t>
                  </w:r>
                </w:p>
              </w:tc>
              <w:tc>
                <w:tcPr>
                  <w:tcW w:w="1966" w:type="pct"/>
                  <w:tcBorders>
                    <w:tl2br w:val="nil"/>
                    <w:tr2bl w:val="nil"/>
                  </w:tcBorders>
                  <w:shd w:val="clear" w:color="auto" w:fill="FFFFFF"/>
                  <w:tcMar>
                    <w:top w:w="150" w:type="dxa"/>
                    <w:left w:w="240" w:type="dxa"/>
                    <w:bottom w:w="150" w:type="dxa"/>
                    <w:right w:w="0" w:type="dxa"/>
                  </w:tcMar>
                  <w:vAlign w:val="center"/>
                </w:tcPr>
                <w:p w14:paraId="28C266A1">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eastAsia" w:eastAsia="var(--dsw-font-markdown-table)" w:cs="Times New Roman"/>
                      <w:i w:val="0"/>
                      <w:iCs w:val="0"/>
                      <w:caps w:val="0"/>
                      <w:color w:val="0F1115"/>
                      <w:spacing w:val="0"/>
                      <w:kern w:val="0"/>
                      <w:sz w:val="24"/>
                      <w:szCs w:val="24"/>
                      <w:highlight w:val="none"/>
                      <w:lang w:val="en-US" w:eastAsia="zh-CN"/>
                    </w:rPr>
                    <w:t>0.</w:t>
                  </w: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2 nN·m～</w:t>
                  </w:r>
                  <w:r>
                    <w:rPr>
                      <w:rFonts w:hint="eastAsia" w:eastAsia="var(--dsw-font-markdown-table)" w:cs="Times New Roman"/>
                      <w:i w:val="0"/>
                      <w:iCs w:val="0"/>
                      <w:caps w:val="0"/>
                      <w:color w:val="0F1115"/>
                      <w:spacing w:val="0"/>
                      <w:kern w:val="0"/>
                      <w:sz w:val="24"/>
                      <w:szCs w:val="24"/>
                      <w:highlight w:val="none"/>
                      <w:lang w:val="en-US" w:eastAsia="zh-CN"/>
                    </w:rPr>
                    <w:t>1</w:t>
                  </w: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00 mN·m</w:t>
                  </w:r>
                </w:p>
              </w:tc>
            </w:tr>
            <w:tr w14:paraId="754F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0701A650">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1.2</w:t>
                  </w:r>
                </w:p>
              </w:tc>
              <w:tc>
                <w:tcPr>
                  <w:tcW w:w="2425" w:type="pct"/>
                  <w:tcBorders>
                    <w:tl2br w:val="nil"/>
                    <w:tr2bl w:val="nil"/>
                  </w:tcBorders>
                  <w:shd w:val="clear" w:color="auto" w:fill="FFFFFF"/>
                  <w:tcMar>
                    <w:top w:w="150" w:type="dxa"/>
                    <w:left w:w="240" w:type="dxa"/>
                    <w:bottom w:w="150" w:type="dxa"/>
                    <w:right w:w="240" w:type="dxa"/>
                  </w:tcMar>
                  <w:vAlign w:val="center"/>
                </w:tcPr>
                <w:p w14:paraId="27502F76">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最小扭矩</w:t>
                  </w:r>
                </w:p>
              </w:tc>
              <w:tc>
                <w:tcPr>
                  <w:tcW w:w="1966" w:type="pct"/>
                  <w:tcBorders>
                    <w:tl2br w:val="nil"/>
                    <w:tr2bl w:val="nil"/>
                  </w:tcBorders>
                  <w:shd w:val="clear" w:color="auto" w:fill="FFFFFF"/>
                  <w:tcMar>
                    <w:top w:w="150" w:type="dxa"/>
                    <w:left w:w="240" w:type="dxa"/>
                    <w:bottom w:w="150" w:type="dxa"/>
                    <w:right w:w="0" w:type="dxa"/>
                  </w:tcMar>
                  <w:vAlign w:val="center"/>
                </w:tcPr>
                <w:p w14:paraId="412CB4AB">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≤2 nN·m</w:t>
                  </w:r>
                </w:p>
              </w:tc>
            </w:tr>
            <w:tr w14:paraId="7AFAC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5A6BDE0E">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1.3</w:t>
                  </w:r>
                </w:p>
              </w:tc>
              <w:tc>
                <w:tcPr>
                  <w:tcW w:w="2425" w:type="pct"/>
                  <w:tcBorders>
                    <w:tl2br w:val="nil"/>
                    <w:tr2bl w:val="nil"/>
                  </w:tcBorders>
                  <w:shd w:val="clear" w:color="auto" w:fill="FFFFFF"/>
                  <w:tcMar>
                    <w:top w:w="150" w:type="dxa"/>
                    <w:left w:w="240" w:type="dxa"/>
                    <w:bottom w:w="150" w:type="dxa"/>
                    <w:right w:w="240" w:type="dxa"/>
                  </w:tcMar>
                  <w:vAlign w:val="center"/>
                </w:tcPr>
                <w:p w14:paraId="2FEAC2B1">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扭矩分辨率</w:t>
                  </w:r>
                </w:p>
              </w:tc>
              <w:tc>
                <w:tcPr>
                  <w:tcW w:w="1966" w:type="pct"/>
                  <w:tcBorders>
                    <w:tl2br w:val="nil"/>
                    <w:tr2bl w:val="nil"/>
                  </w:tcBorders>
                  <w:shd w:val="clear" w:color="auto" w:fill="FFFFFF"/>
                  <w:tcMar>
                    <w:top w:w="150" w:type="dxa"/>
                    <w:left w:w="240" w:type="dxa"/>
                    <w:bottom w:w="150" w:type="dxa"/>
                    <w:right w:w="0" w:type="dxa"/>
                  </w:tcMar>
                  <w:vAlign w:val="center"/>
                </w:tcPr>
                <w:p w14:paraId="4DF3EE87">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≤0.</w:t>
                  </w:r>
                  <w:r>
                    <w:rPr>
                      <w:rFonts w:hint="eastAsia" w:ascii="Times New Roman" w:hAnsi="Times New Roman" w:eastAsia="var(--dsw-font-markdown-table)" w:cs="Times New Roman"/>
                      <w:i w:val="0"/>
                      <w:iCs w:val="0"/>
                      <w:caps w:val="0"/>
                      <w:color w:val="0F1115"/>
                      <w:spacing w:val="0"/>
                      <w:kern w:val="0"/>
                      <w:sz w:val="24"/>
                      <w:szCs w:val="24"/>
                      <w:highlight w:val="none"/>
                      <w:lang w:val="en-US" w:eastAsia="zh-CN"/>
                    </w:rPr>
                    <w:t>2</w:t>
                  </w: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 xml:space="preserve"> nN·m</w:t>
                  </w:r>
                </w:p>
              </w:tc>
            </w:tr>
            <w:tr w14:paraId="6F0C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60D4018F">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ascii="仿宋_GB2312" w:hAnsi="仿宋_GB2312" w:eastAsia="仿宋_GB2312" w:cs="仿宋_GB2312"/>
                      <w:highlight w:val="none"/>
                    </w:rPr>
                    <w:t>▲</w:t>
                  </w: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1.4</w:t>
                  </w:r>
                </w:p>
              </w:tc>
              <w:tc>
                <w:tcPr>
                  <w:tcW w:w="2425" w:type="pct"/>
                  <w:tcBorders>
                    <w:tl2br w:val="nil"/>
                    <w:tr2bl w:val="nil"/>
                  </w:tcBorders>
                  <w:shd w:val="clear" w:color="auto" w:fill="FFFFFF"/>
                  <w:tcMar>
                    <w:top w:w="150" w:type="dxa"/>
                    <w:left w:w="240" w:type="dxa"/>
                    <w:bottom w:w="150" w:type="dxa"/>
                    <w:right w:w="240" w:type="dxa"/>
                  </w:tcMar>
                  <w:vAlign w:val="center"/>
                </w:tcPr>
                <w:p w14:paraId="00B9963A">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马达惯量</w:t>
                  </w:r>
                </w:p>
              </w:tc>
              <w:tc>
                <w:tcPr>
                  <w:tcW w:w="1966" w:type="pct"/>
                  <w:tcBorders>
                    <w:tl2br w:val="nil"/>
                    <w:tr2bl w:val="nil"/>
                  </w:tcBorders>
                  <w:shd w:val="clear" w:color="auto" w:fill="FFFFFF"/>
                  <w:tcMar>
                    <w:top w:w="150" w:type="dxa"/>
                    <w:left w:w="240" w:type="dxa"/>
                    <w:bottom w:w="150" w:type="dxa"/>
                    <w:right w:w="0" w:type="dxa"/>
                  </w:tcMar>
                  <w:vAlign w:val="center"/>
                </w:tcPr>
                <w:p w14:paraId="19281D1E">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w:t>
                  </w:r>
                  <w:r>
                    <w:rPr>
                      <w:rFonts w:hint="eastAsia" w:ascii="Times New Roman" w:hAnsi="Times New Roman" w:eastAsia="var(--dsw-font-markdown-table)" w:cs="Times New Roman"/>
                      <w:i w:val="0"/>
                      <w:iCs w:val="0"/>
                      <w:caps w:val="0"/>
                      <w:color w:val="0F1115"/>
                      <w:spacing w:val="0"/>
                      <w:kern w:val="0"/>
                      <w:sz w:val="24"/>
                      <w:szCs w:val="24"/>
                      <w:highlight w:val="none"/>
                      <w:lang w:val="en-US" w:eastAsia="zh-CN"/>
                    </w:rPr>
                    <w:t>0</w:t>
                  </w: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 xml:space="preserve"> μN·m·s</w:t>
                  </w:r>
                </w:p>
              </w:tc>
            </w:tr>
            <w:tr w14:paraId="6707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1DDA7822">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1.5</w:t>
                  </w:r>
                </w:p>
              </w:tc>
              <w:tc>
                <w:tcPr>
                  <w:tcW w:w="2425" w:type="pct"/>
                  <w:tcBorders>
                    <w:tl2br w:val="nil"/>
                    <w:tr2bl w:val="nil"/>
                  </w:tcBorders>
                  <w:shd w:val="clear" w:color="auto" w:fill="FFFFFF"/>
                  <w:tcMar>
                    <w:top w:w="150" w:type="dxa"/>
                    <w:left w:w="240" w:type="dxa"/>
                    <w:bottom w:w="150" w:type="dxa"/>
                    <w:right w:w="240" w:type="dxa"/>
                  </w:tcMar>
                  <w:vAlign w:val="center"/>
                </w:tcPr>
                <w:p w14:paraId="614EC8EA">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角位移分辨率</w:t>
                  </w:r>
                </w:p>
              </w:tc>
              <w:tc>
                <w:tcPr>
                  <w:tcW w:w="1966" w:type="pct"/>
                  <w:tcBorders>
                    <w:tl2br w:val="nil"/>
                    <w:tr2bl w:val="nil"/>
                  </w:tcBorders>
                  <w:shd w:val="clear" w:color="auto" w:fill="FFFFFF"/>
                  <w:tcMar>
                    <w:top w:w="150" w:type="dxa"/>
                    <w:left w:w="240" w:type="dxa"/>
                    <w:bottom w:w="150" w:type="dxa"/>
                    <w:right w:w="0" w:type="dxa"/>
                  </w:tcMar>
                  <w:vAlign w:val="center"/>
                </w:tcPr>
                <w:p w14:paraId="2DDC669B">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≤12 nrad</w:t>
                  </w:r>
                </w:p>
              </w:tc>
            </w:tr>
            <w:tr w14:paraId="6083E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1DEDF005">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1.6</w:t>
                  </w:r>
                </w:p>
              </w:tc>
              <w:tc>
                <w:tcPr>
                  <w:tcW w:w="2425" w:type="pct"/>
                  <w:tcBorders>
                    <w:tl2br w:val="nil"/>
                    <w:tr2bl w:val="nil"/>
                  </w:tcBorders>
                  <w:shd w:val="clear" w:color="auto" w:fill="FFFFFF"/>
                  <w:tcMar>
                    <w:top w:w="150" w:type="dxa"/>
                    <w:left w:w="240" w:type="dxa"/>
                    <w:bottom w:w="150" w:type="dxa"/>
                    <w:right w:w="240" w:type="dxa"/>
                  </w:tcMar>
                  <w:vAlign w:val="center"/>
                </w:tcPr>
                <w:p w14:paraId="7B6F3FBF">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最小角速度（控制应力模式）</w:t>
                  </w:r>
                </w:p>
              </w:tc>
              <w:tc>
                <w:tcPr>
                  <w:tcW w:w="1966" w:type="pct"/>
                  <w:tcBorders>
                    <w:tl2br w:val="nil"/>
                    <w:tr2bl w:val="nil"/>
                  </w:tcBorders>
                  <w:shd w:val="clear" w:color="auto" w:fill="FFFFFF"/>
                  <w:tcMar>
                    <w:top w:w="150" w:type="dxa"/>
                    <w:left w:w="240" w:type="dxa"/>
                    <w:bottom w:w="150" w:type="dxa"/>
                    <w:right w:w="0" w:type="dxa"/>
                  </w:tcMar>
                  <w:vAlign w:val="center"/>
                </w:tcPr>
                <w:p w14:paraId="51A84A04">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≤10⁻</w:t>
                  </w:r>
                  <w:r>
                    <w:rPr>
                      <w:rFonts w:hint="eastAsia" w:eastAsia="var(--dsw-font-markdown-table)" w:cs="Times New Roman"/>
                      <w:i w:val="0"/>
                      <w:iCs w:val="0"/>
                      <w:caps w:val="0"/>
                      <w:color w:val="0F1115"/>
                      <w:spacing w:val="0"/>
                      <w:kern w:val="0"/>
                      <w:sz w:val="24"/>
                      <w:szCs w:val="24"/>
                      <w:highlight w:val="none"/>
                      <w:vertAlign w:val="superscript"/>
                      <w:lang w:val="en-US" w:eastAsia="zh-CN"/>
                    </w:rPr>
                    <w:t>6</w:t>
                  </w: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 xml:space="preserve"> RPM</w:t>
                  </w:r>
                </w:p>
              </w:tc>
            </w:tr>
            <w:tr w14:paraId="282B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5BFCD547">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1.7</w:t>
                  </w:r>
                </w:p>
              </w:tc>
              <w:tc>
                <w:tcPr>
                  <w:tcW w:w="2425" w:type="pct"/>
                  <w:tcBorders>
                    <w:tl2br w:val="nil"/>
                    <w:tr2bl w:val="nil"/>
                  </w:tcBorders>
                  <w:shd w:val="clear" w:color="auto" w:fill="FFFFFF"/>
                  <w:tcMar>
                    <w:top w:w="150" w:type="dxa"/>
                    <w:left w:w="240" w:type="dxa"/>
                    <w:bottom w:w="150" w:type="dxa"/>
                    <w:right w:w="240" w:type="dxa"/>
                  </w:tcMar>
                  <w:vAlign w:val="center"/>
                </w:tcPr>
                <w:p w14:paraId="09C3D9A6">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最小角速度（控制速率模式）</w:t>
                  </w:r>
                </w:p>
              </w:tc>
              <w:tc>
                <w:tcPr>
                  <w:tcW w:w="1966" w:type="pct"/>
                  <w:tcBorders>
                    <w:tl2br w:val="nil"/>
                    <w:tr2bl w:val="nil"/>
                  </w:tcBorders>
                  <w:shd w:val="clear" w:color="auto" w:fill="FFFFFF"/>
                  <w:tcMar>
                    <w:top w:w="150" w:type="dxa"/>
                    <w:left w:w="240" w:type="dxa"/>
                    <w:bottom w:w="150" w:type="dxa"/>
                    <w:right w:w="0" w:type="dxa"/>
                  </w:tcMar>
                  <w:vAlign w:val="center"/>
                </w:tcPr>
                <w:p w14:paraId="7DF31BFC">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≤10⁻</w:t>
                  </w:r>
                  <w:r>
                    <w:rPr>
                      <w:rFonts w:hint="eastAsia" w:eastAsia="var(--dsw-font-markdown-table)" w:cs="Times New Roman"/>
                      <w:i w:val="0"/>
                      <w:iCs w:val="0"/>
                      <w:caps w:val="0"/>
                      <w:color w:val="0F1115"/>
                      <w:spacing w:val="0"/>
                      <w:kern w:val="0"/>
                      <w:sz w:val="24"/>
                      <w:szCs w:val="24"/>
                      <w:highlight w:val="none"/>
                      <w:vertAlign w:val="superscript"/>
                      <w:lang w:val="en-US" w:eastAsia="zh-CN"/>
                    </w:rPr>
                    <w:t>7</w:t>
                  </w: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RPM</w:t>
                  </w:r>
                </w:p>
              </w:tc>
            </w:tr>
            <w:tr w14:paraId="681F2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56B25DE3">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eastAsia" w:ascii="宋体" w:hAnsi="宋体" w:eastAsia="宋体" w:cs="宋体"/>
                      <w:i w:val="0"/>
                      <w:iCs w:val="0"/>
                      <w:caps w:val="0"/>
                      <w:color w:val="0F1115"/>
                      <w:spacing w:val="0"/>
                      <w:kern w:val="0"/>
                      <w:sz w:val="24"/>
                      <w:szCs w:val="24"/>
                      <w:highlight w:val="none"/>
                      <w:lang w:val="en-US" w:eastAsia="zh-CN"/>
                    </w:rPr>
                    <w:t>★</w:t>
                  </w: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1.8</w:t>
                  </w:r>
                </w:p>
              </w:tc>
              <w:tc>
                <w:tcPr>
                  <w:tcW w:w="2425" w:type="pct"/>
                  <w:tcBorders>
                    <w:tl2br w:val="nil"/>
                    <w:tr2bl w:val="nil"/>
                  </w:tcBorders>
                  <w:shd w:val="clear" w:color="auto" w:fill="FFFFFF"/>
                  <w:tcMar>
                    <w:top w:w="150" w:type="dxa"/>
                    <w:left w:w="240" w:type="dxa"/>
                    <w:bottom w:w="150" w:type="dxa"/>
                    <w:right w:w="240" w:type="dxa"/>
                  </w:tcMar>
                  <w:vAlign w:val="center"/>
                </w:tcPr>
                <w:p w14:paraId="51953D58">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最大角速度</w:t>
                  </w:r>
                </w:p>
              </w:tc>
              <w:tc>
                <w:tcPr>
                  <w:tcW w:w="1966" w:type="pct"/>
                  <w:tcBorders>
                    <w:tl2br w:val="nil"/>
                    <w:tr2bl w:val="nil"/>
                  </w:tcBorders>
                  <w:shd w:val="clear" w:color="auto" w:fill="FFFFFF"/>
                  <w:tcMar>
                    <w:top w:w="150" w:type="dxa"/>
                    <w:left w:w="240" w:type="dxa"/>
                    <w:bottom w:w="150" w:type="dxa"/>
                    <w:right w:w="0" w:type="dxa"/>
                  </w:tcMar>
                  <w:vAlign w:val="center"/>
                </w:tcPr>
                <w:p w14:paraId="305DA619">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w:t>
                  </w:r>
                  <w:r>
                    <w:rPr>
                      <w:rFonts w:hint="eastAsia" w:ascii="Times New Roman" w:hAnsi="Times New Roman" w:eastAsia="var(--dsw-font-markdown-table)" w:cs="Times New Roman"/>
                      <w:i w:val="0"/>
                      <w:iCs w:val="0"/>
                      <w:caps w:val="0"/>
                      <w:color w:val="0F1115"/>
                      <w:spacing w:val="0"/>
                      <w:kern w:val="0"/>
                      <w:sz w:val="24"/>
                      <w:szCs w:val="24"/>
                      <w:highlight w:val="none"/>
                      <w:lang w:val="en-US" w:eastAsia="zh-CN"/>
                    </w:rPr>
                    <w:t>30</w:t>
                  </w: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00 RPM</w:t>
                  </w:r>
                </w:p>
              </w:tc>
            </w:tr>
            <w:tr w14:paraId="381C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29223A7C">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1.9</w:t>
                  </w:r>
                </w:p>
              </w:tc>
              <w:tc>
                <w:tcPr>
                  <w:tcW w:w="2425" w:type="pct"/>
                  <w:tcBorders>
                    <w:tl2br w:val="nil"/>
                    <w:tr2bl w:val="nil"/>
                  </w:tcBorders>
                  <w:shd w:val="clear" w:color="auto" w:fill="FFFFFF"/>
                  <w:tcMar>
                    <w:top w:w="150" w:type="dxa"/>
                    <w:left w:w="240" w:type="dxa"/>
                    <w:bottom w:w="150" w:type="dxa"/>
                    <w:right w:w="240" w:type="dxa"/>
                  </w:tcMar>
                  <w:vAlign w:val="center"/>
                </w:tcPr>
                <w:p w14:paraId="6FC96345">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最小振荡频率</w:t>
                  </w:r>
                </w:p>
              </w:tc>
              <w:tc>
                <w:tcPr>
                  <w:tcW w:w="1966" w:type="pct"/>
                  <w:tcBorders>
                    <w:tl2br w:val="nil"/>
                    <w:tr2bl w:val="nil"/>
                  </w:tcBorders>
                  <w:shd w:val="clear" w:color="auto" w:fill="FFFFFF"/>
                  <w:tcMar>
                    <w:top w:w="150" w:type="dxa"/>
                    <w:left w:w="240" w:type="dxa"/>
                    <w:bottom w:w="150" w:type="dxa"/>
                    <w:right w:w="0" w:type="dxa"/>
                  </w:tcMar>
                  <w:vAlign w:val="center"/>
                </w:tcPr>
                <w:p w14:paraId="3AD5B3A3">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≤10⁻⁶ Hz</w:t>
                  </w:r>
                </w:p>
              </w:tc>
            </w:tr>
            <w:tr w14:paraId="184B9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63F613D2">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1.10</w:t>
                  </w:r>
                </w:p>
              </w:tc>
              <w:tc>
                <w:tcPr>
                  <w:tcW w:w="2425" w:type="pct"/>
                  <w:tcBorders>
                    <w:tl2br w:val="nil"/>
                    <w:tr2bl w:val="nil"/>
                  </w:tcBorders>
                  <w:shd w:val="clear" w:color="auto" w:fill="FFFFFF"/>
                  <w:tcMar>
                    <w:top w:w="150" w:type="dxa"/>
                    <w:left w:w="240" w:type="dxa"/>
                    <w:bottom w:w="150" w:type="dxa"/>
                    <w:right w:w="240" w:type="dxa"/>
                  </w:tcMar>
                  <w:vAlign w:val="center"/>
                </w:tcPr>
                <w:p w14:paraId="49BD5D9C">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最大振荡频率</w:t>
                  </w:r>
                </w:p>
              </w:tc>
              <w:tc>
                <w:tcPr>
                  <w:tcW w:w="1966" w:type="pct"/>
                  <w:tcBorders>
                    <w:tl2br w:val="nil"/>
                    <w:tr2bl w:val="nil"/>
                  </w:tcBorders>
                  <w:shd w:val="clear" w:color="auto" w:fill="FFFFFF"/>
                  <w:tcMar>
                    <w:top w:w="150" w:type="dxa"/>
                    <w:left w:w="240" w:type="dxa"/>
                    <w:bottom w:w="150" w:type="dxa"/>
                    <w:right w:w="0" w:type="dxa"/>
                  </w:tcMar>
                  <w:vAlign w:val="center"/>
                </w:tcPr>
                <w:p w14:paraId="65A6542F">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≥100 Hz</w:t>
                  </w:r>
                </w:p>
              </w:tc>
            </w:tr>
            <w:tr w14:paraId="1478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78244A7F">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1.11</w:t>
                  </w:r>
                </w:p>
              </w:tc>
              <w:tc>
                <w:tcPr>
                  <w:tcW w:w="2425" w:type="pct"/>
                  <w:tcBorders>
                    <w:tl2br w:val="nil"/>
                    <w:tr2bl w:val="nil"/>
                  </w:tcBorders>
                  <w:shd w:val="clear" w:color="auto" w:fill="FFFFFF"/>
                  <w:tcMar>
                    <w:top w:w="150" w:type="dxa"/>
                    <w:left w:w="240" w:type="dxa"/>
                    <w:bottom w:w="150" w:type="dxa"/>
                    <w:right w:w="240" w:type="dxa"/>
                  </w:tcMar>
                  <w:vAlign w:val="center"/>
                </w:tcPr>
                <w:p w14:paraId="595CB1AD">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速度阶跃间隔</w:t>
                  </w:r>
                </w:p>
              </w:tc>
              <w:tc>
                <w:tcPr>
                  <w:tcW w:w="1966" w:type="pct"/>
                  <w:tcBorders>
                    <w:tl2br w:val="nil"/>
                    <w:tr2bl w:val="nil"/>
                  </w:tcBorders>
                  <w:shd w:val="clear" w:color="auto" w:fill="FFFFFF"/>
                  <w:tcMar>
                    <w:top w:w="150" w:type="dxa"/>
                    <w:left w:w="240" w:type="dxa"/>
                    <w:bottom w:w="150" w:type="dxa"/>
                    <w:right w:w="0" w:type="dxa"/>
                  </w:tcMar>
                  <w:vAlign w:val="center"/>
                </w:tcPr>
                <w:p w14:paraId="0318BCB0">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≤10 ms</w:t>
                  </w:r>
                </w:p>
              </w:tc>
            </w:tr>
            <w:tr w14:paraId="3FEBF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607" w:type="pct"/>
                  <w:tcBorders>
                    <w:tl2br w:val="nil"/>
                    <w:tr2bl w:val="nil"/>
                  </w:tcBorders>
                  <w:shd w:val="clear" w:color="auto" w:fill="FFFFFF"/>
                  <w:tcMar>
                    <w:top w:w="150" w:type="dxa"/>
                    <w:left w:w="0" w:type="dxa"/>
                    <w:bottom w:w="150" w:type="dxa"/>
                    <w:right w:w="240" w:type="dxa"/>
                  </w:tcMar>
                  <w:vAlign w:val="center"/>
                </w:tcPr>
                <w:p w14:paraId="6305C2CC">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1.12</w:t>
                  </w:r>
                </w:p>
              </w:tc>
              <w:tc>
                <w:tcPr>
                  <w:tcW w:w="2425" w:type="pct"/>
                  <w:tcBorders>
                    <w:tl2br w:val="nil"/>
                    <w:tr2bl w:val="nil"/>
                  </w:tcBorders>
                  <w:shd w:val="clear" w:color="auto" w:fill="FFFFFF"/>
                  <w:tcMar>
                    <w:top w:w="150" w:type="dxa"/>
                    <w:left w:w="240" w:type="dxa"/>
                    <w:bottom w:w="150" w:type="dxa"/>
                    <w:right w:w="240" w:type="dxa"/>
                  </w:tcMar>
                  <w:vAlign w:val="center"/>
                </w:tcPr>
                <w:p w14:paraId="76966351">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法向/轴向力范围</w:t>
                  </w:r>
                </w:p>
              </w:tc>
              <w:tc>
                <w:tcPr>
                  <w:tcW w:w="1966" w:type="pct"/>
                  <w:tcBorders>
                    <w:tl2br w:val="nil"/>
                    <w:tr2bl w:val="nil"/>
                  </w:tcBorders>
                  <w:shd w:val="clear" w:color="auto" w:fill="FFFFFF"/>
                  <w:tcMar>
                    <w:top w:w="150" w:type="dxa"/>
                    <w:left w:w="240" w:type="dxa"/>
                    <w:bottom w:w="150" w:type="dxa"/>
                    <w:right w:w="0" w:type="dxa"/>
                  </w:tcMar>
                  <w:vAlign w:val="center"/>
                </w:tcPr>
                <w:p w14:paraId="4B158DE9">
                  <w:pPr>
                    <w:keepNext w:val="0"/>
                    <w:keepLines w:val="0"/>
                    <w:widowControl/>
                    <w:suppressLineNumbers w:val="0"/>
                    <w:jc w:val="left"/>
                    <w:rPr>
                      <w:rFonts w:hint="default" w:ascii="Times New Roman" w:hAnsi="Times New Roman" w:eastAsia="var(--dsw-font-markdown-table)" w:cs="Times New Roman"/>
                      <w:i w:val="0"/>
                      <w:iCs w:val="0"/>
                      <w:caps w:val="0"/>
                      <w:color w:val="0F1115"/>
                      <w:spacing w:val="0"/>
                      <w:sz w:val="24"/>
                      <w:szCs w:val="24"/>
                      <w:highlight w:val="none"/>
                    </w:rPr>
                  </w:pPr>
                  <w:r>
                    <w:rPr>
                      <w:rFonts w:hint="default" w:ascii="Times New Roman" w:hAnsi="Times New Roman" w:eastAsia="var(--dsw-font-markdown-table)" w:cs="Times New Roman"/>
                      <w:i w:val="0"/>
                      <w:iCs w:val="0"/>
                      <w:caps w:val="0"/>
                      <w:color w:val="0F1115"/>
                      <w:spacing w:val="0"/>
                      <w:kern w:val="0"/>
                      <w:sz w:val="24"/>
                      <w:szCs w:val="24"/>
                      <w:highlight w:val="none"/>
                      <w:lang w:val="en-US" w:eastAsia="zh-CN"/>
                    </w:rPr>
                    <w:t>0.01～50 N</w:t>
                  </w:r>
                </w:p>
              </w:tc>
            </w:tr>
          </w:tbl>
          <w:p w14:paraId="55F482F9">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2）控温系统要求：</w:t>
            </w:r>
          </w:p>
          <w:p w14:paraId="4612A2BE">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▲①</w:t>
            </w:r>
            <w:r>
              <w:rPr>
                <w:rFonts w:hint="default" w:ascii="仿宋" w:hAnsi="仿宋" w:eastAsia="仿宋" w:cs="仿宋"/>
                <w:sz w:val="21"/>
                <w:szCs w:val="21"/>
                <w:highlight w:val="none"/>
                <w:lang w:val="en-US" w:eastAsia="zh-CN"/>
              </w:rPr>
              <w:t xml:space="preserve"> Peltier平锥板控温系统：温度范围-</w:t>
            </w:r>
            <w:r>
              <w:rPr>
                <w:rFonts w:hint="eastAsia" w:ascii="仿宋" w:hAnsi="仿宋" w:eastAsia="仿宋" w:cs="仿宋"/>
                <w:sz w:val="21"/>
                <w:szCs w:val="21"/>
                <w:highlight w:val="none"/>
                <w:lang w:val="en-US" w:eastAsia="zh-CN"/>
              </w:rPr>
              <w:t>5</w:t>
            </w:r>
            <w:r>
              <w:rPr>
                <w:rFonts w:hint="default" w:ascii="仿宋" w:hAnsi="仿宋" w:eastAsia="仿宋" w:cs="仿宋"/>
                <w:sz w:val="21"/>
                <w:szCs w:val="21"/>
                <w:highlight w:val="none"/>
                <w:lang w:val="en-US" w:eastAsia="zh-CN"/>
              </w:rPr>
              <w:t>0-200℃，温度精度0.01℃，温度准确度0.1℃</w:t>
            </w:r>
            <w:r>
              <w:rPr>
                <w:rFonts w:hint="eastAsia" w:ascii="仿宋" w:hAnsi="仿宋" w:eastAsia="仿宋" w:cs="仿宋"/>
                <w:sz w:val="21"/>
                <w:szCs w:val="21"/>
                <w:highlight w:val="none"/>
                <w:lang w:val="en-US" w:eastAsia="zh-CN"/>
              </w:rPr>
              <w:t>；</w:t>
            </w:r>
          </w:p>
          <w:p w14:paraId="3F2017A3">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val="en-US" w:eastAsia="zh-CN"/>
              </w:rPr>
              <w:t>②</w:t>
            </w:r>
            <w:r>
              <w:rPr>
                <w:rFonts w:hint="default" w:ascii="仿宋" w:hAnsi="仿宋" w:eastAsia="仿宋" w:cs="仿宋"/>
                <w:sz w:val="21"/>
                <w:szCs w:val="21"/>
                <w:highlight w:val="none"/>
                <w:lang w:val="en-US" w:eastAsia="zh-CN"/>
              </w:rPr>
              <w:t>Peltier同心圆筒控温系统：温度范围-30-200℃，温度精度0.01℃，温度准确度0.1℃</w:t>
            </w:r>
            <w:r>
              <w:rPr>
                <w:rFonts w:hint="eastAsia" w:ascii="仿宋" w:hAnsi="仿宋" w:eastAsia="仿宋" w:cs="仿宋"/>
                <w:sz w:val="21"/>
                <w:szCs w:val="21"/>
                <w:highlight w:val="none"/>
                <w:lang w:val="en-US" w:eastAsia="zh-CN"/>
              </w:rPr>
              <w:t>；</w:t>
            </w:r>
          </w:p>
          <w:p w14:paraId="3CCEA2DA">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r>
              <w:rPr>
                <w:rFonts w:hint="default" w:ascii="仿宋" w:hAnsi="仿宋" w:eastAsia="仿宋" w:cs="仿宋"/>
                <w:sz w:val="21"/>
                <w:szCs w:val="21"/>
                <w:highlight w:val="none"/>
                <w:lang w:val="en-US" w:eastAsia="zh-CN"/>
              </w:rPr>
              <w:t>夹具要求：25mm/平行板夹具，25mm/1°锥板，35mm/平行板夹具，35mm/1°锥板钛合金材质</w:t>
            </w:r>
            <w:r>
              <w:rPr>
                <w:rFonts w:hint="eastAsia" w:ascii="仿宋" w:hAnsi="仿宋" w:eastAsia="仿宋" w:cs="仿宋"/>
                <w:sz w:val="21"/>
                <w:szCs w:val="21"/>
                <w:highlight w:val="none"/>
                <w:lang w:val="en-US" w:eastAsia="zh-CN"/>
              </w:rPr>
              <w:t>；</w:t>
            </w:r>
          </w:p>
          <w:p w14:paraId="356385C4">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r>
              <w:rPr>
                <w:rFonts w:hint="default" w:ascii="仿宋" w:hAnsi="仿宋" w:eastAsia="仿宋" w:cs="仿宋"/>
                <w:sz w:val="21"/>
                <w:szCs w:val="21"/>
                <w:highlight w:val="none"/>
                <w:lang w:val="en-US" w:eastAsia="zh-CN"/>
              </w:rPr>
              <w:t>转子要求：双狭缝同心圆筒转子，CC26/CC24/CC20同心圆筒转子，FL22桨叶转子</w:t>
            </w:r>
            <w:r>
              <w:rPr>
                <w:rFonts w:hint="eastAsia" w:ascii="仿宋" w:hAnsi="仿宋" w:eastAsia="仿宋" w:cs="仿宋"/>
                <w:sz w:val="21"/>
                <w:szCs w:val="21"/>
                <w:highlight w:val="none"/>
                <w:lang w:val="en-US" w:eastAsia="zh-CN"/>
              </w:rPr>
              <w:t>；</w:t>
            </w:r>
          </w:p>
          <w:p w14:paraId="12284FAB">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r>
              <w:rPr>
                <w:rFonts w:hint="default" w:ascii="仿宋" w:hAnsi="仿宋" w:eastAsia="仿宋" w:cs="仿宋"/>
                <w:sz w:val="21"/>
                <w:szCs w:val="21"/>
                <w:highlight w:val="none"/>
                <w:lang w:val="en-US" w:eastAsia="zh-CN"/>
              </w:rPr>
              <w:t>样品防挥发罩，PEEK材质，最高可耐250℃</w:t>
            </w:r>
            <w:r>
              <w:rPr>
                <w:rFonts w:hint="eastAsia" w:ascii="仿宋" w:hAnsi="仿宋" w:eastAsia="仿宋" w:cs="仿宋"/>
                <w:sz w:val="21"/>
                <w:szCs w:val="21"/>
                <w:highlight w:val="none"/>
                <w:lang w:val="en-US" w:eastAsia="zh-CN"/>
              </w:rPr>
              <w:t>；</w:t>
            </w:r>
          </w:p>
          <w:p w14:paraId="34485BF1">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r>
              <w:rPr>
                <w:rFonts w:hint="default" w:ascii="仿宋" w:hAnsi="仿宋" w:eastAsia="仿宋" w:cs="仿宋"/>
                <w:sz w:val="21"/>
                <w:szCs w:val="21"/>
                <w:highlight w:val="none"/>
                <w:lang w:val="en-US" w:eastAsia="zh-CN"/>
              </w:rPr>
              <w:t>软硬件要求：</w:t>
            </w:r>
          </w:p>
          <w:p w14:paraId="4D607D5E">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①</w:t>
            </w:r>
            <w:r>
              <w:rPr>
                <w:rFonts w:hint="default" w:ascii="仿宋" w:hAnsi="仿宋" w:eastAsia="仿宋" w:cs="仿宋"/>
                <w:sz w:val="21"/>
                <w:szCs w:val="21"/>
                <w:highlight w:val="none"/>
                <w:lang w:val="en-US" w:eastAsia="zh-CN"/>
              </w:rPr>
              <w:t>软件：带操作、分析软件及摩擦学软件，用于高分子材料力学及粘弹特性测试。可测量的流变参数包括：弹性/储能模量(G')，粘性/损耗模量(G''), 复合模量(G*)，模量-时间函数G(t)，相位角(G''）含中英文)，包括软件介面、参数设置、报告等；数据显示和存储：快速显示分析的结果和分析曲线；分析结果自动存储；可支持数据监测：动态单点测试、瞬态应力松弛； 触变环实验、阶跃速率扫描；动态频率、时间和应变扫描；温度阶跃实验和线性变化实验；自动调零、自动调隙和自动张力；恒定速率温度线性变化/阶跃实验；恒定应力（蠕变）；应力线性变化实验；粘性实验。</w:t>
            </w:r>
          </w:p>
          <w:p w14:paraId="3C5B95DA">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②</w:t>
            </w:r>
            <w:r>
              <w:rPr>
                <w:rFonts w:hint="default" w:ascii="仿宋" w:hAnsi="仿宋" w:eastAsia="仿宋" w:cs="仿宋"/>
                <w:sz w:val="21"/>
                <w:szCs w:val="21"/>
                <w:highlight w:val="none"/>
                <w:lang w:val="en-US" w:eastAsia="zh-CN"/>
              </w:rPr>
              <w:t>硬件：类型：2U机架式；</w:t>
            </w:r>
            <w:r>
              <w:rPr>
                <w:rFonts w:hint="eastAsia" w:ascii="仿宋" w:hAnsi="仿宋" w:eastAsia="仿宋" w:cs="仿宋"/>
                <w:color w:val="auto"/>
                <w:sz w:val="22"/>
                <w:szCs w:val="22"/>
                <w:highlight w:val="none"/>
                <w:lang w:val="en-US" w:eastAsia="zh-CN"/>
              </w:rPr>
              <w:t>处理器性能不低于第三代Intel Xeon可扩展处理器（如5320）或同等级别产品；</w:t>
            </w:r>
            <w:r>
              <w:rPr>
                <w:rFonts w:hint="eastAsia" w:ascii="仿宋" w:hAnsi="仿宋" w:eastAsia="仿宋" w:cs="仿宋"/>
                <w:sz w:val="21"/>
                <w:szCs w:val="21"/>
                <w:highlight w:val="none"/>
                <w:lang w:val="en-US" w:eastAsia="zh-CN"/>
              </w:rPr>
              <w:t xml:space="preserve"> </w:t>
            </w:r>
            <w:r>
              <w:rPr>
                <w:rFonts w:hint="default" w:ascii="仿宋" w:hAnsi="仿宋" w:eastAsia="仿宋" w:cs="仿宋"/>
                <w:sz w:val="21"/>
                <w:szCs w:val="21"/>
                <w:highlight w:val="none"/>
                <w:lang w:val="en-US" w:eastAsia="zh-CN"/>
              </w:rPr>
              <w:t>26核 52线程 2.2GHZ*1 个；内存：≥DDR4 RECC 32  内存≥（32G*1 根）2933MHZ，固态硬盘：≥480G SSD 固态硬盘 系统盘 2.5 寸，机械硬盘：≥3*4T，网卡：1000M，电源：800W*2个；导轨自带；操作系统：WINDOWS SERVER 2019数据中心版；显示器：≥32寸，带鼠标键盘；</w:t>
            </w:r>
          </w:p>
        </w:tc>
      </w:tr>
      <w:tr w14:paraId="5CB89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394" w:type="pct"/>
            <w:vAlign w:val="top"/>
          </w:tcPr>
          <w:p w14:paraId="3C86061C">
            <w:pPr>
              <w:pStyle w:val="4"/>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627" w:type="pct"/>
            <w:vAlign w:val="top"/>
          </w:tcPr>
          <w:p w14:paraId="6D046ECB">
            <w:pPr>
              <w:rPr>
                <w:rFonts w:hint="eastAsia" w:ascii="仿宋" w:hAnsi="仿宋" w:eastAsia="仿宋" w:cs="仿宋"/>
                <w:sz w:val="21"/>
                <w:szCs w:val="21"/>
                <w:highlight w:val="none"/>
              </w:rPr>
            </w:pPr>
          </w:p>
        </w:tc>
        <w:tc>
          <w:tcPr>
            <w:tcW w:w="3978" w:type="pct"/>
            <w:vAlign w:val="top"/>
          </w:tcPr>
          <w:p w14:paraId="3722172B">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三、</w:t>
            </w:r>
            <w:r>
              <w:rPr>
                <w:rFonts w:hint="default" w:ascii="仿宋" w:hAnsi="仿宋" w:eastAsia="仿宋" w:cs="仿宋"/>
                <w:sz w:val="21"/>
                <w:szCs w:val="21"/>
                <w:highlight w:val="none"/>
                <w:lang w:val="en-US" w:eastAsia="zh-CN"/>
              </w:rPr>
              <w:t>配置要求</w:t>
            </w:r>
          </w:p>
          <w:p w14:paraId="1FFE7784">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r>
              <w:rPr>
                <w:rFonts w:hint="default" w:ascii="仿宋" w:hAnsi="仿宋" w:eastAsia="仿宋" w:cs="仿宋"/>
                <w:sz w:val="21"/>
                <w:szCs w:val="21"/>
                <w:highlight w:val="none"/>
                <w:lang w:val="en-US" w:eastAsia="zh-CN"/>
              </w:rPr>
              <w:t>摩擦附件   1套</w:t>
            </w:r>
          </w:p>
          <w:p w14:paraId="45F78464">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r>
              <w:rPr>
                <w:rFonts w:hint="default" w:ascii="仿宋" w:hAnsi="仿宋" w:eastAsia="仿宋" w:cs="仿宋"/>
                <w:sz w:val="21"/>
                <w:szCs w:val="21"/>
                <w:highlight w:val="none"/>
                <w:lang w:val="en-US" w:eastAsia="zh-CN"/>
              </w:rPr>
              <w:t>可选配高温炉用于聚合物测试，要求最高温度可以达到600℃</w:t>
            </w:r>
            <w:r>
              <w:rPr>
                <w:rFonts w:hint="eastAsia" w:ascii="仿宋" w:hAnsi="仿宋" w:eastAsia="仿宋" w:cs="仿宋"/>
                <w:sz w:val="21"/>
                <w:szCs w:val="21"/>
                <w:highlight w:val="none"/>
                <w:lang w:val="en-US" w:eastAsia="zh-CN"/>
              </w:rPr>
              <w:t>；</w:t>
            </w:r>
          </w:p>
          <w:p w14:paraId="6B4ABFBE">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r>
              <w:rPr>
                <w:rFonts w:hint="default" w:ascii="仿宋" w:hAnsi="仿宋" w:eastAsia="仿宋" w:cs="仿宋"/>
                <w:sz w:val="21"/>
                <w:szCs w:val="21"/>
                <w:highlight w:val="none"/>
                <w:lang w:val="en-US" w:eastAsia="zh-CN"/>
              </w:rPr>
              <w:t>双数据处理系统：≥i5-10500/8G/500G/DVDRW/双串口/双网口/WIN10 EN，带鼠标键盘  2套</w:t>
            </w:r>
            <w:r>
              <w:rPr>
                <w:rFonts w:hint="eastAsia" w:ascii="仿宋" w:hAnsi="仿宋" w:eastAsia="仿宋" w:cs="仿宋"/>
                <w:sz w:val="21"/>
                <w:szCs w:val="21"/>
                <w:highlight w:val="none"/>
                <w:lang w:val="en-US" w:eastAsia="zh-CN"/>
              </w:rPr>
              <w:t>；</w:t>
            </w:r>
          </w:p>
          <w:p w14:paraId="44843ECC">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r>
              <w:rPr>
                <w:rFonts w:hint="default" w:ascii="仿宋" w:hAnsi="仿宋" w:eastAsia="仿宋" w:cs="仿宋"/>
                <w:sz w:val="21"/>
                <w:szCs w:val="21"/>
                <w:highlight w:val="none"/>
                <w:lang w:val="en-US" w:eastAsia="zh-CN"/>
              </w:rPr>
              <w:t>静音无油空压机，含除油，除水及除尘过滤器  1套</w:t>
            </w:r>
            <w:r>
              <w:rPr>
                <w:rFonts w:hint="eastAsia" w:ascii="仿宋" w:hAnsi="仿宋" w:eastAsia="仿宋" w:cs="仿宋"/>
                <w:sz w:val="21"/>
                <w:szCs w:val="21"/>
                <w:highlight w:val="none"/>
                <w:lang w:val="en-US" w:eastAsia="zh-CN"/>
              </w:rPr>
              <w:t>；</w:t>
            </w:r>
          </w:p>
          <w:p w14:paraId="59EE1028">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r>
              <w:rPr>
                <w:rFonts w:hint="default" w:ascii="仿宋" w:hAnsi="仿宋" w:eastAsia="仿宋" w:cs="仿宋"/>
                <w:sz w:val="21"/>
                <w:szCs w:val="21"/>
                <w:highlight w:val="none"/>
                <w:lang w:val="en-US" w:eastAsia="zh-CN"/>
              </w:rPr>
              <w:t>标准粘度液（高粘度、低粘度、中等粘度共三瓶） 1套</w:t>
            </w:r>
            <w:r>
              <w:rPr>
                <w:rFonts w:hint="eastAsia" w:ascii="仿宋" w:hAnsi="仿宋" w:eastAsia="仿宋" w:cs="仿宋"/>
                <w:sz w:val="21"/>
                <w:szCs w:val="21"/>
                <w:highlight w:val="none"/>
                <w:lang w:val="en-US" w:eastAsia="zh-CN"/>
              </w:rPr>
              <w:t>；</w:t>
            </w:r>
          </w:p>
          <w:p w14:paraId="2D75C88A">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r>
              <w:rPr>
                <w:rFonts w:hint="default" w:ascii="仿宋" w:hAnsi="仿宋" w:eastAsia="仿宋" w:cs="仿宋"/>
                <w:sz w:val="21"/>
                <w:szCs w:val="21"/>
                <w:highlight w:val="none"/>
                <w:lang w:val="en-US" w:eastAsia="zh-CN"/>
              </w:rPr>
              <w:t>样品电流阻抗测试附件（含交流阻抗数字模拟器和拟合程序、恒电流仪）                1套</w:t>
            </w:r>
            <w:r>
              <w:rPr>
                <w:rFonts w:hint="eastAsia" w:ascii="仿宋" w:hAnsi="仿宋" w:eastAsia="仿宋" w:cs="仿宋"/>
                <w:sz w:val="21"/>
                <w:szCs w:val="21"/>
                <w:highlight w:val="none"/>
                <w:lang w:val="en-US" w:eastAsia="zh-CN"/>
              </w:rPr>
              <w:t>；</w:t>
            </w:r>
          </w:p>
          <w:p w14:paraId="0614D5C3">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w:t>
            </w:r>
            <w:r>
              <w:rPr>
                <w:rFonts w:hint="default" w:ascii="仿宋" w:hAnsi="仿宋" w:eastAsia="仿宋" w:cs="仿宋"/>
                <w:sz w:val="21"/>
                <w:szCs w:val="21"/>
                <w:highlight w:val="none"/>
                <w:lang w:val="en-US" w:eastAsia="zh-CN"/>
              </w:rPr>
              <w:t>超低温循环器         1套</w:t>
            </w:r>
            <w:r>
              <w:rPr>
                <w:rFonts w:hint="eastAsia" w:ascii="仿宋" w:hAnsi="仿宋" w:eastAsia="仿宋" w:cs="仿宋"/>
                <w:sz w:val="21"/>
                <w:szCs w:val="21"/>
                <w:highlight w:val="none"/>
                <w:lang w:val="en-US" w:eastAsia="zh-CN"/>
              </w:rPr>
              <w:t>；</w:t>
            </w:r>
          </w:p>
          <w:p w14:paraId="41E84542">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w:t>
            </w:r>
            <w:r>
              <w:rPr>
                <w:rFonts w:hint="default" w:ascii="仿宋" w:hAnsi="仿宋" w:eastAsia="仿宋" w:cs="仿宋"/>
                <w:sz w:val="21"/>
                <w:szCs w:val="21"/>
                <w:highlight w:val="none"/>
                <w:lang w:val="en-US" w:eastAsia="zh-CN"/>
              </w:rPr>
              <w:t>纳米材料前处理器     1套</w:t>
            </w:r>
            <w:r>
              <w:rPr>
                <w:rFonts w:hint="eastAsia" w:ascii="仿宋" w:hAnsi="仿宋" w:eastAsia="仿宋" w:cs="仿宋"/>
                <w:sz w:val="21"/>
                <w:szCs w:val="21"/>
                <w:highlight w:val="none"/>
                <w:lang w:val="en-US" w:eastAsia="zh-CN"/>
              </w:rPr>
              <w:t>；</w:t>
            </w:r>
          </w:p>
          <w:p w14:paraId="1C3D8D79">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w:t>
            </w:r>
            <w:r>
              <w:rPr>
                <w:rFonts w:hint="default" w:ascii="仿宋" w:hAnsi="仿宋" w:eastAsia="仿宋" w:cs="仿宋"/>
                <w:sz w:val="21"/>
                <w:szCs w:val="21"/>
                <w:highlight w:val="none"/>
                <w:lang w:val="en-US" w:eastAsia="zh-CN"/>
              </w:rPr>
              <w:t>真空处理器           1套</w:t>
            </w:r>
            <w:r>
              <w:rPr>
                <w:rFonts w:hint="eastAsia" w:ascii="仿宋" w:hAnsi="仿宋" w:eastAsia="仿宋" w:cs="仿宋"/>
                <w:sz w:val="21"/>
                <w:szCs w:val="21"/>
                <w:highlight w:val="none"/>
                <w:lang w:val="en-US" w:eastAsia="zh-CN"/>
              </w:rPr>
              <w:t>；</w:t>
            </w:r>
          </w:p>
          <w:p w14:paraId="30AB069B">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（10）</w:t>
            </w:r>
            <w:r>
              <w:rPr>
                <w:rFonts w:hint="default" w:ascii="仿宋" w:hAnsi="仿宋" w:eastAsia="仿宋" w:cs="仿宋"/>
                <w:sz w:val="21"/>
                <w:szCs w:val="21"/>
                <w:highlight w:val="none"/>
                <w:lang w:val="en-US" w:eastAsia="zh-CN"/>
              </w:rPr>
              <w:t>样品分离纯化器      1套</w:t>
            </w:r>
            <w:r>
              <w:rPr>
                <w:rFonts w:hint="eastAsia" w:ascii="仿宋" w:hAnsi="仿宋" w:eastAsia="仿宋" w:cs="仿宋"/>
                <w:sz w:val="21"/>
                <w:szCs w:val="21"/>
                <w:highlight w:val="none"/>
                <w:lang w:val="en-US" w:eastAsia="zh-CN"/>
              </w:rPr>
              <w:t>；</w:t>
            </w:r>
          </w:p>
        </w:tc>
      </w:tr>
      <w:tr w14:paraId="277F04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394" w:type="pct"/>
            <w:vAlign w:val="top"/>
          </w:tcPr>
          <w:p w14:paraId="25B60291">
            <w:pPr>
              <w:pStyle w:val="4"/>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627" w:type="pct"/>
            <w:vAlign w:val="top"/>
          </w:tcPr>
          <w:p w14:paraId="0BE21A94">
            <w:pPr>
              <w:rPr>
                <w:rFonts w:hint="eastAsia" w:ascii="仿宋" w:hAnsi="仿宋" w:eastAsia="仿宋" w:cs="仿宋"/>
                <w:sz w:val="21"/>
                <w:szCs w:val="21"/>
                <w:highlight w:val="none"/>
              </w:rPr>
            </w:pPr>
          </w:p>
        </w:tc>
        <w:tc>
          <w:tcPr>
            <w:tcW w:w="3978" w:type="pct"/>
            <w:vAlign w:val="top"/>
          </w:tcPr>
          <w:p w14:paraId="144E701B">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四、技术要求</w:t>
            </w:r>
          </w:p>
          <w:p w14:paraId="5F3B0EDE">
            <w:pPr>
              <w:pStyle w:val="4"/>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（1）技术要求：是指对采购内容的功能和质量要求，包括性能、材料、结构、外观、安全，或者服务内容和标准等。</w:t>
            </w:r>
          </w:p>
          <w:p w14:paraId="71D0EBAE">
            <w:pPr>
              <w:pStyle w:val="4"/>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本次采购的高温高压流变测试系统应具备宽温域条件下稳态、瞬态和动态振荡流变测试的综合功能，整体系统需实现精确的应力与应变控制，支持润滑剂、高分子、复杂流体等的基础科研、教学创新及产学研合作应用。系统必须保证测量准确、运行稳定、功能可扩展，符合国家相关标准及实验室长期运行需求。</w:t>
            </w:r>
          </w:p>
          <w:p w14:paraId="3EC146E2">
            <w:pPr>
              <w:pStyle w:val="4"/>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（2）材料与结构要求。</w:t>
            </w:r>
          </w:p>
          <w:p w14:paraId="3FFDA533">
            <w:pPr>
              <w:pStyle w:val="4"/>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1）测量单元核心部件（如电机、轴承、光学编码器）必须为原厂设计和制造，确保精度与可靠性。</w:t>
            </w:r>
          </w:p>
          <w:p w14:paraId="0B8724B5">
            <w:pPr>
              <w:pStyle w:val="4"/>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2）与样品接触的部件（如测量转子、板、筒）须采用高强度、耐腐蚀、惰性材料（如哈氏合金、钛合金等），确保在测试各类化学物质（尤其是润滑剂、添加剂）时的长期稳定性和抗腐蚀能力。</w:t>
            </w:r>
          </w:p>
          <w:p w14:paraId="558CDC2F">
            <w:pPr>
              <w:pStyle w:val="4"/>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3）仪器主体结构应坚固，具有优异的隔振能力，有效隔离外界振动干扰，保证测试数据的准确性。</w:t>
            </w:r>
          </w:p>
          <w:p w14:paraId="2653815F">
            <w:pPr>
              <w:pStyle w:val="4"/>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4）可选配的环境系统（如高压单元、溶剂捕获罩）应设计合理，与主机连接便捷可靠。</w:t>
            </w:r>
          </w:p>
          <w:p w14:paraId="65CFCABA">
            <w:pPr>
              <w:pStyle w:val="4"/>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安全与标准，系统需符合国家及行业相关电气安全标准；仪器软件应具备多级用户权限管理功能，支持测试追踪，符合数据完整性要求。温控系统需具备超温自动保护功能，防止因过热对设备及样品造成损害。</w:t>
            </w:r>
          </w:p>
          <w:p w14:paraId="60A8149A">
            <w:pPr>
              <w:pStyle w:val="4"/>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（4）服务与保障，供应商负责整套系统的安装、调试及运行测试，保证设备按期交付并达到性能指标；提供教师与学生的操作培训。</w:t>
            </w:r>
          </w:p>
        </w:tc>
      </w:tr>
      <w:tr w14:paraId="03D93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394" w:type="pct"/>
            <w:vAlign w:val="top"/>
          </w:tcPr>
          <w:p w14:paraId="055E47F6">
            <w:pPr>
              <w:pStyle w:val="4"/>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627" w:type="pct"/>
            <w:vAlign w:val="top"/>
          </w:tcPr>
          <w:p w14:paraId="43574C32">
            <w:pPr>
              <w:rPr>
                <w:rFonts w:hint="eastAsia" w:ascii="仿宋" w:hAnsi="仿宋" w:eastAsia="仿宋" w:cs="仿宋"/>
                <w:sz w:val="21"/>
                <w:szCs w:val="21"/>
                <w:highlight w:val="none"/>
              </w:rPr>
            </w:pPr>
          </w:p>
        </w:tc>
        <w:tc>
          <w:tcPr>
            <w:tcW w:w="3978" w:type="pct"/>
            <w:vAlign w:val="top"/>
          </w:tcPr>
          <w:p w14:paraId="5DDA79DE">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五、其他要求</w:t>
            </w:r>
          </w:p>
          <w:p w14:paraId="444B2D4C">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r>
              <w:rPr>
                <w:rFonts w:hint="default" w:ascii="仿宋" w:hAnsi="仿宋" w:eastAsia="仿宋" w:cs="仿宋"/>
                <w:sz w:val="21"/>
                <w:szCs w:val="21"/>
                <w:highlight w:val="none"/>
                <w:lang w:val="en-US" w:eastAsia="zh-CN"/>
              </w:rPr>
              <w:t>售后服务要求</w:t>
            </w:r>
          </w:p>
          <w:p w14:paraId="5CFEBD9F">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r>
              <w:rPr>
                <w:rFonts w:hint="default" w:ascii="仿宋" w:hAnsi="仿宋" w:eastAsia="仿宋" w:cs="仿宋"/>
                <w:sz w:val="21"/>
                <w:szCs w:val="21"/>
                <w:highlight w:val="none"/>
                <w:lang w:val="en-US" w:eastAsia="zh-CN"/>
              </w:rPr>
              <w:t>本地化服务，西安有专职工程师至少1名，提供证明文件</w:t>
            </w:r>
            <w:r>
              <w:rPr>
                <w:rFonts w:hint="eastAsia" w:ascii="仿宋" w:hAnsi="仿宋" w:eastAsia="仿宋" w:cs="仿宋"/>
                <w:sz w:val="21"/>
                <w:szCs w:val="21"/>
                <w:highlight w:val="none"/>
                <w:lang w:val="en-US" w:eastAsia="zh-CN"/>
              </w:rPr>
              <w:t>。</w:t>
            </w:r>
          </w:p>
          <w:p w14:paraId="2EBBAA6D">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r>
              <w:rPr>
                <w:rFonts w:hint="default" w:ascii="仿宋" w:hAnsi="仿宋" w:eastAsia="仿宋" w:cs="仿宋"/>
                <w:sz w:val="21"/>
                <w:szCs w:val="21"/>
                <w:highlight w:val="none"/>
                <w:lang w:val="en-US" w:eastAsia="zh-CN"/>
              </w:rPr>
              <w:t>质保期：合同签订后不少于12个月。</w:t>
            </w:r>
          </w:p>
          <w:p w14:paraId="24587002">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r>
              <w:rPr>
                <w:rFonts w:hint="default" w:ascii="仿宋" w:hAnsi="仿宋" w:eastAsia="仿宋" w:cs="仿宋"/>
                <w:sz w:val="21"/>
                <w:szCs w:val="21"/>
                <w:highlight w:val="none"/>
                <w:lang w:val="en-US" w:eastAsia="zh-CN"/>
              </w:rPr>
              <w:t>提供7*24小时在线服务，上门服务不超过24小时响应。</w:t>
            </w:r>
          </w:p>
          <w:p w14:paraId="6161075D">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（4）售后服务：</w:t>
            </w:r>
            <w:r>
              <w:rPr>
                <w:rFonts w:hint="eastAsia" w:ascii="仿宋" w:hAnsi="仿宋" w:eastAsia="仿宋" w:cs="仿宋"/>
                <w:sz w:val="21"/>
                <w:szCs w:val="21"/>
                <w:highlight w:val="none"/>
                <w:lang w:val="en-US" w:eastAsia="zh-CN"/>
              </w:rPr>
              <w:t>制造商在西安或项目实施地有厂家维修人员（提供厂家人员信息及社保证明）</w:t>
            </w:r>
            <w:r>
              <w:rPr>
                <w:rFonts w:hint="eastAsia" w:ascii="仿宋" w:hAnsi="仿宋" w:eastAsia="仿宋" w:cs="仿宋"/>
                <w:sz w:val="21"/>
                <w:szCs w:val="21"/>
                <w:highlight w:val="none"/>
                <w:lang w:val="en-US" w:eastAsia="zh-CN"/>
              </w:rPr>
              <w:t>，提供7*24小时电话服务，2小时响应，提供线上指导和上门服务，上门服务响应时间不超过24小时。</w:t>
            </w:r>
          </w:p>
          <w:p w14:paraId="00F78BFD">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2、质保期：验收合格后12个月。</w:t>
            </w:r>
          </w:p>
          <w:p w14:paraId="75741478">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包装和运输：涉及的商品包装和快递包装，均应符合《商品包装政府采购需求标准（试行）》《快递包装政府采购需求标准（试行）》的要求，包装应适应于远距离运输、防潮、防震、防锈和防野蛮装卸，以确保货物安全无损运抵指定地点。</w:t>
            </w:r>
          </w:p>
          <w:p w14:paraId="012889E9">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4、（1）验收人员：采购人组织验收小组进行验收，验收小组成员由采购人代表及相关技术人员组成。</w:t>
            </w:r>
          </w:p>
          <w:p w14:paraId="3D232076">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（2）验收时间：设备安装调试完成后30个工作日内组织验收。</w:t>
            </w:r>
          </w:p>
          <w:p w14:paraId="781302D0">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（3）验收方式：现场验收，由供应商进行设备运行演示和技术指标测试。</w:t>
            </w:r>
          </w:p>
          <w:p w14:paraId="00FEC107">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（4）验收内容：</w:t>
            </w:r>
          </w:p>
          <w:p w14:paraId="17E11ADC">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1）设备品牌、型号、配置、数量与合同及采购需求是否一致；</w:t>
            </w:r>
          </w:p>
          <w:p w14:paraId="10922002">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2）设备外观有无损坏；</w:t>
            </w:r>
          </w:p>
          <w:p w14:paraId="210DA7A6">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3）各项技术性能指标是否达到采购需求要求；</w:t>
            </w:r>
          </w:p>
          <w:p w14:paraId="35DA2C24">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4）随机资料（使用说明书、合格证、保修卡等）是否齐全；</w:t>
            </w:r>
          </w:p>
          <w:p w14:paraId="1F0AF508">
            <w:pPr>
              <w:pStyle w:val="4"/>
              <w:numPr>
                <w:ilvl w:val="0"/>
                <w:numId w:val="0"/>
              </w:num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5）培训是否按约定完成。</w:t>
            </w:r>
          </w:p>
          <w:p w14:paraId="0CDEBE4B">
            <w:pPr>
              <w:pStyle w:val="4"/>
              <w:numPr>
                <w:ilvl w:val="0"/>
                <w:numId w:val="0"/>
              </w:num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lang w:val="en-US" w:eastAsia="zh-CN"/>
              </w:rPr>
              <w:t>验收标准：以采购需求中明确的技术参数和性能指标为验收标准，逐项进行测试，全部指标达标方为验收合格。如果上机测试参数性能不过关，将做退货处理并没收履约保证金。</w:t>
            </w:r>
          </w:p>
        </w:tc>
      </w:tr>
    </w:tbl>
    <w:p w14:paraId="5203DBED">
      <w:pPr>
        <w:jc w:val="center"/>
        <w:rPr>
          <w:rFonts w:hint="eastAsia"/>
          <w:b/>
          <w:bCs/>
          <w:sz w:val="28"/>
          <w:szCs w:val="28"/>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var(--dsw-font-markdown-table-h">
    <w:altName w:val="Segoe Print"/>
    <w:panose1 w:val="00000000000000000000"/>
    <w:charset w:val="00"/>
    <w:family w:val="auto"/>
    <w:pitch w:val="default"/>
    <w:sig w:usb0="00000000" w:usb1="00000000" w:usb2="00000000" w:usb3="00000000" w:csb0="00000000" w:csb1="00000000"/>
  </w:font>
  <w:font w:name="var(--dsw-font-markdown-tabl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D845D4"/>
    <w:rsid w:val="0DD845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2026-07-22T13:01:00Z</dcterms:created>
  <dc:creator>123</dc:creator>
  <cp:lastModifiedBy>123</cp:lastModifiedBy>
  <dcterms:modified xsi:type="dcterms:W3CDTF">2026-07-22T13:02:39Z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E1B50A47E5D04C2FA046B6D9A624EA1D_11</vt:lpwstr>
  </property>
  <property fmtid="{D5CDD505-2E9C-101B-9397-08002B2CF9AE}" pid="4" name="KSOTemplateDocerSaveRecord">
    <vt:lpwstr>eyJoZGlkIjoiOTEzYTE1NjhmYmI0MDkxYmE1ZjVkMjkwNjA2M2Q0ZDUiLCJ1c2VySWQiOiI0NTE5NDQwNTQifQ==</vt:lpwstr>
  </property>
</Properties>
</file>