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88625">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color w:val="auto"/>
          <w:sz w:val="32"/>
          <w:szCs w:val="18"/>
          <w:highlight w:val="none"/>
          <w:lang w:val="en-US" w:eastAsia="zh-CN"/>
        </w:rPr>
        <w:t>2026年西安市市级监测网运维项目</w:t>
      </w:r>
    </w:p>
    <w:p w14:paraId="02FC358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采购包2：采购需求</w:t>
      </w:r>
    </w:p>
    <w:p w14:paraId="0B6BAF7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一、采购项目概况</w:t>
      </w:r>
    </w:p>
    <w:p w14:paraId="18FEB5E6">
      <w:pPr>
        <w:pStyle w:val="11"/>
        <w:spacing w:line="360" w:lineRule="auto"/>
        <w:ind w:firstLine="48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2026年</w:t>
      </w:r>
      <w:bookmarkStart w:id="0" w:name="OLE_LINK7"/>
      <w:r>
        <w:rPr>
          <w:rFonts w:hint="eastAsia" w:ascii="宋体" w:hAnsi="宋体" w:eastAsia="宋体" w:cs="宋体"/>
          <w:color w:val="auto"/>
          <w:sz w:val="24"/>
          <w:szCs w:val="24"/>
          <w:highlight w:val="none"/>
          <w:lang w:val="en-US" w:eastAsia="zh-CN" w:bidi="ar-SA"/>
        </w:rPr>
        <w:t>西安市市级监测网运维</w:t>
      </w:r>
      <w:bookmarkEnd w:id="0"/>
      <w:r>
        <w:rPr>
          <w:rFonts w:hint="eastAsia" w:ascii="宋体" w:hAnsi="宋体" w:eastAsia="宋体" w:cs="宋体"/>
          <w:color w:val="auto"/>
          <w:sz w:val="24"/>
          <w:szCs w:val="24"/>
          <w:highlight w:val="none"/>
          <w:lang w:val="en-US" w:eastAsia="zh-CN" w:bidi="ar-SA"/>
        </w:rPr>
        <w:t>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08C9262D">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采购包2：运维服务范围包括西安市39个街镇国标六参数空气自动监测站运维服务、68套颗粒物监测系统（道路扬尘站）运维服务，服务期为一年。</w:t>
      </w:r>
    </w:p>
    <w:p w14:paraId="2758A0BA">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二、本采购包最高限价：7,043,000.00元</w:t>
      </w:r>
    </w:p>
    <w:p w14:paraId="6B653694">
      <w:pPr>
        <w:pStyle w:val="11"/>
        <w:spacing w:line="360" w:lineRule="auto"/>
        <w:ind w:firstLine="48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1.39个街镇国标六参数空气自动监测站运维：4,953,000.00元</w:t>
      </w:r>
    </w:p>
    <w:p w14:paraId="501927C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bidi="ar-SA"/>
        </w:rPr>
        <w:t>2.68套颗粒物监测系统（道路扬尘站）运维：2,040,000.00元，迁站10站：50,000.00元</w:t>
      </w:r>
    </w:p>
    <w:p w14:paraId="1C62F104">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三、服务要求</w:t>
      </w:r>
    </w:p>
    <w:p w14:paraId="1555168D">
      <w:pPr>
        <w:pStyle w:val="11"/>
        <w:spacing w:line="360" w:lineRule="auto"/>
        <w:ind w:firstLine="480"/>
        <w:rPr>
          <w:rFonts w:hint="eastAsia" w:ascii="宋体" w:hAnsi="宋体" w:eastAsia="宋体" w:cs="宋体"/>
          <w:b w:val="0"/>
          <w:bCs w:val="0"/>
          <w:color w:val="auto"/>
          <w:sz w:val="24"/>
          <w:szCs w:val="24"/>
          <w:highlight w:val="none"/>
          <w:lang w:val="en-US" w:eastAsia="zh-CN"/>
        </w:rPr>
      </w:pPr>
      <w:bookmarkStart w:id="1" w:name="_Toc55201338"/>
      <w:r>
        <w:rPr>
          <w:rFonts w:hint="eastAsia" w:ascii="宋体" w:hAnsi="宋体" w:eastAsia="宋体" w:cs="宋体"/>
          <w:b w:val="0"/>
          <w:bCs w:val="0"/>
          <w:color w:val="auto"/>
          <w:sz w:val="24"/>
          <w:szCs w:val="24"/>
          <w:highlight w:val="none"/>
          <w:lang w:val="en-US" w:eastAsia="zh-CN"/>
        </w:rPr>
        <w:t>西安市国标六参数空气自动监测站（以下简称“小型站”）是“智慧环保”项目感知层的重要组成部分。在西安市部署的39个街镇空气站（含西咸新区19个）实时监测环境空气中的PM10、PM2.5、O3、SO2、CO、NOx浓度，可实现对全市部分区域环境空气质量的实时掌控，为空气质量变化研判、空气质量预测预警、污染溯源等工作提供重要数据支撑。</w:t>
      </w:r>
    </w:p>
    <w:p w14:paraId="06D3F12F">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（一）西安市国标六参数空气自动监测站运维服务需求</w:t>
      </w:r>
    </w:p>
    <w:p w14:paraId="59A1F17F">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1.项目内容</w:t>
      </w:r>
    </w:p>
    <w:p w14:paraId="09B946F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项目运维服务范围为西安市（含西咸新区）39个街镇（园、办）箱式空气自动监测站（如图1所示）。运维服务内容包含所有站点监测分析仪器及数据采集与传输设备、辅助设备、用电及网络保障、视频监控、护栏等辅助基础设施的日常维护、质量控制、故障维修、年度检修、预防性维护等工作，确保空气站各项仪器设备稳定运行并与智慧环保软件平台联网正常，接受采购人质控检查和考核。</w:t>
      </w:r>
    </w:p>
    <w:p w14:paraId="14AEE4CC">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此次采购项目运行维护服务周期为1年。空气站运维内容包括西安市（含西咸新区）39个站点的PM10、PM2.5、O3、SO2、CO、NOx六参数的保外运维。</w:t>
      </w:r>
    </w:p>
    <w:p w14:paraId="68515CD2">
      <w:pPr>
        <w:pStyle w:val="11"/>
        <w:spacing w:line="360" w:lineRule="auto"/>
        <w:ind w:firstLine="480"/>
        <w:jc w:val="center"/>
        <w:rPr>
          <w:rFonts w:hint="eastAsia" w:ascii="宋体" w:hAnsi="宋体" w:eastAsia="宋体" w:cs="宋体"/>
          <w:color w:val="auto"/>
          <w:szCs w:val="32"/>
          <w:highlight w:val="none"/>
        </w:rPr>
      </w:pPr>
      <w:r>
        <w:rPr>
          <w:rFonts w:hint="eastAsia" w:ascii="宋体" w:hAnsi="宋体" w:eastAsia="宋体" w:cs="宋体"/>
          <w:b/>
          <w:bCs/>
          <w:color w:val="auto"/>
          <w:sz w:val="24"/>
          <w:szCs w:val="24"/>
          <w:highlight w:val="none"/>
          <w:lang w:val="zh-CN" w:eastAsia="zh-CN"/>
        </w:rPr>
        <w:t>表1  39个小型站清单</w:t>
      </w:r>
    </w:p>
    <w:tbl>
      <w:tblPr>
        <w:tblStyle w:val="7"/>
        <w:tblW w:w="10116" w:type="dxa"/>
        <w:jc w:val="center"/>
        <w:tblLayout w:type="fixed"/>
        <w:tblCellMar>
          <w:top w:w="0" w:type="dxa"/>
          <w:left w:w="108" w:type="dxa"/>
          <w:bottom w:w="0" w:type="dxa"/>
          <w:right w:w="108" w:type="dxa"/>
        </w:tblCellMar>
      </w:tblPr>
      <w:tblGrid>
        <w:gridCol w:w="1189"/>
        <w:gridCol w:w="1509"/>
        <w:gridCol w:w="1738"/>
        <w:gridCol w:w="1073"/>
        <w:gridCol w:w="1738"/>
        <w:gridCol w:w="2869"/>
      </w:tblGrid>
      <w:tr w14:paraId="0D26E1C4">
        <w:tblPrEx>
          <w:tblCellMar>
            <w:top w:w="0" w:type="dxa"/>
            <w:left w:w="108" w:type="dxa"/>
            <w:bottom w:w="0" w:type="dxa"/>
            <w:right w:w="108" w:type="dxa"/>
          </w:tblCellMar>
        </w:tblPrEx>
        <w:trPr>
          <w:trHeight w:val="434" w:hRule="atLeast"/>
          <w:jc w:val="center"/>
        </w:trPr>
        <w:tc>
          <w:tcPr>
            <w:tcW w:w="1189" w:type="dxa"/>
            <w:tcBorders>
              <w:top w:val="single" w:color="auto" w:sz="8" w:space="0"/>
              <w:left w:val="single" w:color="auto" w:sz="8" w:space="0"/>
              <w:bottom w:val="single" w:color="auto" w:sz="8" w:space="0"/>
              <w:right w:val="single" w:color="auto" w:sz="8" w:space="0"/>
            </w:tcBorders>
            <w:noWrap/>
            <w:vAlign w:val="center"/>
          </w:tcPr>
          <w:p w14:paraId="7EDD90B9">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509" w:type="dxa"/>
            <w:tcBorders>
              <w:top w:val="single" w:color="auto" w:sz="8" w:space="0"/>
              <w:left w:val="nil"/>
              <w:bottom w:val="single" w:color="auto" w:sz="8" w:space="0"/>
              <w:right w:val="single" w:color="auto" w:sz="8" w:space="0"/>
            </w:tcBorders>
            <w:noWrap/>
            <w:vAlign w:val="center"/>
          </w:tcPr>
          <w:p w14:paraId="25CC5263">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1738" w:type="dxa"/>
            <w:tcBorders>
              <w:top w:val="single" w:color="auto" w:sz="8" w:space="0"/>
              <w:left w:val="nil"/>
              <w:bottom w:val="single" w:color="auto" w:sz="8" w:space="0"/>
              <w:right w:val="single" w:color="auto" w:sz="8" w:space="0"/>
            </w:tcBorders>
            <w:noWrap/>
            <w:vAlign w:val="center"/>
          </w:tcPr>
          <w:p w14:paraId="6583B647">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c>
          <w:tcPr>
            <w:tcW w:w="1073" w:type="dxa"/>
            <w:tcBorders>
              <w:top w:val="single" w:color="auto" w:sz="8" w:space="0"/>
              <w:left w:val="nil"/>
              <w:bottom w:val="single" w:color="auto" w:sz="8" w:space="0"/>
              <w:right w:val="single" w:color="auto" w:sz="8" w:space="0"/>
            </w:tcBorders>
            <w:noWrap/>
            <w:vAlign w:val="center"/>
          </w:tcPr>
          <w:p w14:paraId="7C805FA8">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738" w:type="dxa"/>
            <w:tcBorders>
              <w:top w:val="single" w:color="auto" w:sz="8" w:space="0"/>
              <w:left w:val="nil"/>
              <w:bottom w:val="single" w:color="auto" w:sz="8" w:space="0"/>
              <w:right w:val="single" w:color="auto" w:sz="8" w:space="0"/>
            </w:tcBorders>
            <w:noWrap/>
            <w:vAlign w:val="center"/>
          </w:tcPr>
          <w:p w14:paraId="649951BC">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2869" w:type="dxa"/>
            <w:tcBorders>
              <w:top w:val="single" w:color="auto" w:sz="8" w:space="0"/>
              <w:left w:val="nil"/>
              <w:bottom w:val="single" w:color="auto" w:sz="8" w:space="0"/>
              <w:right w:val="single" w:color="auto" w:sz="8" w:space="0"/>
            </w:tcBorders>
            <w:noWrap/>
            <w:vAlign w:val="center"/>
          </w:tcPr>
          <w:p w14:paraId="3CABB33C">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r>
      <w:tr w14:paraId="35C9D94E">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143B3E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1509" w:type="dxa"/>
            <w:tcBorders>
              <w:top w:val="nil"/>
              <w:left w:val="nil"/>
              <w:bottom w:val="single" w:color="auto" w:sz="8" w:space="0"/>
              <w:right w:val="single" w:color="auto" w:sz="8" w:space="0"/>
            </w:tcBorders>
            <w:shd w:val="clear" w:color="000000" w:fill="F8F8F9"/>
            <w:noWrap/>
            <w:vAlign w:val="center"/>
          </w:tcPr>
          <w:p w14:paraId="18D8F2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0BFE26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广济镇</w:t>
            </w:r>
          </w:p>
        </w:tc>
        <w:tc>
          <w:tcPr>
            <w:tcW w:w="1073" w:type="dxa"/>
            <w:tcBorders>
              <w:top w:val="nil"/>
              <w:left w:val="nil"/>
              <w:bottom w:val="single" w:color="auto" w:sz="8" w:space="0"/>
              <w:right w:val="single" w:color="auto" w:sz="8" w:space="0"/>
            </w:tcBorders>
            <w:shd w:val="clear" w:color="000000" w:fill="FFFFFF"/>
            <w:noWrap/>
            <w:vAlign w:val="center"/>
          </w:tcPr>
          <w:p w14:paraId="76CF58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21</w:t>
            </w:r>
          </w:p>
        </w:tc>
        <w:tc>
          <w:tcPr>
            <w:tcW w:w="1738" w:type="dxa"/>
            <w:tcBorders>
              <w:top w:val="nil"/>
              <w:left w:val="nil"/>
              <w:bottom w:val="single" w:color="auto" w:sz="8" w:space="0"/>
              <w:right w:val="single" w:color="auto" w:sz="8" w:space="0"/>
            </w:tcBorders>
            <w:shd w:val="clear" w:color="000000" w:fill="F8F8F9"/>
            <w:noWrap/>
            <w:vAlign w:val="center"/>
          </w:tcPr>
          <w:p w14:paraId="2A70F6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1DFB045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沣东新城建章路街办</w:t>
            </w:r>
          </w:p>
        </w:tc>
      </w:tr>
      <w:tr w14:paraId="59A14EC9">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77BF915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1509" w:type="dxa"/>
            <w:tcBorders>
              <w:top w:val="nil"/>
              <w:left w:val="nil"/>
              <w:bottom w:val="single" w:color="auto" w:sz="8" w:space="0"/>
              <w:right w:val="single" w:color="auto" w:sz="8" w:space="0"/>
            </w:tcBorders>
            <w:shd w:val="clear" w:color="000000" w:fill="FFFFFF"/>
            <w:noWrap/>
            <w:vAlign w:val="center"/>
          </w:tcPr>
          <w:p w14:paraId="71BFE8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39487F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竹峪镇</w:t>
            </w:r>
          </w:p>
        </w:tc>
        <w:tc>
          <w:tcPr>
            <w:tcW w:w="1073" w:type="dxa"/>
            <w:tcBorders>
              <w:top w:val="nil"/>
              <w:left w:val="nil"/>
              <w:bottom w:val="single" w:color="auto" w:sz="8" w:space="0"/>
              <w:right w:val="single" w:color="auto" w:sz="8" w:space="0"/>
            </w:tcBorders>
            <w:shd w:val="clear" w:color="000000" w:fill="FFFFFF"/>
            <w:noWrap/>
            <w:vAlign w:val="center"/>
          </w:tcPr>
          <w:p w14:paraId="07E15E9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22</w:t>
            </w:r>
          </w:p>
        </w:tc>
        <w:tc>
          <w:tcPr>
            <w:tcW w:w="1738" w:type="dxa"/>
            <w:tcBorders>
              <w:top w:val="nil"/>
              <w:left w:val="nil"/>
              <w:bottom w:val="single" w:color="auto" w:sz="8" w:space="0"/>
              <w:right w:val="single" w:color="auto" w:sz="8" w:space="0"/>
            </w:tcBorders>
            <w:shd w:val="clear" w:color="000000" w:fill="FFFFFF"/>
            <w:noWrap/>
            <w:vAlign w:val="center"/>
          </w:tcPr>
          <w:p w14:paraId="7957C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16EE00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沣东新城三桥街办</w:t>
            </w:r>
          </w:p>
        </w:tc>
      </w:tr>
      <w:tr w14:paraId="0C5DCDEF">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66BE00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1509" w:type="dxa"/>
            <w:tcBorders>
              <w:top w:val="nil"/>
              <w:left w:val="nil"/>
              <w:bottom w:val="single" w:color="auto" w:sz="8" w:space="0"/>
              <w:right w:val="single" w:color="auto" w:sz="8" w:space="0"/>
            </w:tcBorders>
            <w:shd w:val="clear" w:color="000000" w:fill="F8F8F9"/>
            <w:noWrap/>
            <w:vAlign w:val="center"/>
          </w:tcPr>
          <w:p w14:paraId="2DDC0E3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3B372EB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富仁镇</w:t>
            </w:r>
          </w:p>
        </w:tc>
        <w:tc>
          <w:tcPr>
            <w:tcW w:w="1073" w:type="dxa"/>
            <w:tcBorders>
              <w:top w:val="nil"/>
              <w:left w:val="nil"/>
              <w:bottom w:val="single" w:color="auto" w:sz="8" w:space="0"/>
              <w:right w:val="single" w:color="auto" w:sz="8" w:space="0"/>
            </w:tcBorders>
            <w:shd w:val="clear" w:color="000000" w:fill="FFFFFF"/>
            <w:noWrap/>
            <w:vAlign w:val="center"/>
          </w:tcPr>
          <w:p w14:paraId="3CD4D76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23</w:t>
            </w:r>
          </w:p>
        </w:tc>
        <w:tc>
          <w:tcPr>
            <w:tcW w:w="1738" w:type="dxa"/>
            <w:tcBorders>
              <w:top w:val="nil"/>
              <w:left w:val="nil"/>
              <w:bottom w:val="single" w:color="auto" w:sz="8" w:space="0"/>
              <w:right w:val="single" w:color="auto" w:sz="8" w:space="0"/>
            </w:tcBorders>
            <w:shd w:val="clear" w:color="000000" w:fill="F8F8F9"/>
            <w:noWrap/>
            <w:vAlign w:val="center"/>
          </w:tcPr>
          <w:p w14:paraId="498FF1F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57048B1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沣东新城斗门街办</w:t>
            </w:r>
          </w:p>
        </w:tc>
      </w:tr>
      <w:tr w14:paraId="1817260B">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27A7DB8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1509" w:type="dxa"/>
            <w:tcBorders>
              <w:top w:val="nil"/>
              <w:left w:val="nil"/>
              <w:bottom w:val="single" w:color="auto" w:sz="8" w:space="0"/>
              <w:right w:val="single" w:color="auto" w:sz="8" w:space="0"/>
            </w:tcBorders>
            <w:shd w:val="clear" w:color="000000" w:fill="FFFFFF"/>
            <w:noWrap/>
            <w:vAlign w:val="center"/>
          </w:tcPr>
          <w:p w14:paraId="5B8450B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154DCC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尚村镇</w:t>
            </w:r>
          </w:p>
        </w:tc>
        <w:tc>
          <w:tcPr>
            <w:tcW w:w="1073" w:type="dxa"/>
            <w:tcBorders>
              <w:top w:val="nil"/>
              <w:left w:val="nil"/>
              <w:bottom w:val="single" w:color="auto" w:sz="8" w:space="0"/>
              <w:right w:val="single" w:color="auto" w:sz="8" w:space="0"/>
            </w:tcBorders>
            <w:shd w:val="clear" w:color="000000" w:fill="FFFFFF"/>
            <w:noWrap/>
            <w:vAlign w:val="center"/>
          </w:tcPr>
          <w:p w14:paraId="2FD7EB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24</w:t>
            </w:r>
          </w:p>
        </w:tc>
        <w:tc>
          <w:tcPr>
            <w:tcW w:w="1738" w:type="dxa"/>
            <w:tcBorders>
              <w:top w:val="nil"/>
              <w:left w:val="nil"/>
              <w:bottom w:val="single" w:color="auto" w:sz="8" w:space="0"/>
              <w:right w:val="single" w:color="auto" w:sz="8" w:space="0"/>
            </w:tcBorders>
            <w:shd w:val="clear" w:color="000000" w:fill="FFFFFF"/>
            <w:noWrap/>
            <w:vAlign w:val="center"/>
          </w:tcPr>
          <w:p w14:paraId="35C2FE6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369EC18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沣东新城王寺街办</w:t>
            </w:r>
          </w:p>
        </w:tc>
      </w:tr>
      <w:tr w14:paraId="10617DF7">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4E6CF62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w:t>
            </w:r>
          </w:p>
        </w:tc>
        <w:tc>
          <w:tcPr>
            <w:tcW w:w="1509" w:type="dxa"/>
            <w:tcBorders>
              <w:top w:val="nil"/>
              <w:left w:val="nil"/>
              <w:bottom w:val="single" w:color="auto" w:sz="8" w:space="0"/>
              <w:right w:val="single" w:color="auto" w:sz="8" w:space="0"/>
            </w:tcBorders>
            <w:shd w:val="clear" w:color="000000" w:fill="F8F8F9"/>
            <w:noWrap/>
            <w:vAlign w:val="center"/>
          </w:tcPr>
          <w:p w14:paraId="60AA7A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572712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终南镇</w:t>
            </w:r>
          </w:p>
        </w:tc>
        <w:tc>
          <w:tcPr>
            <w:tcW w:w="1073" w:type="dxa"/>
            <w:tcBorders>
              <w:top w:val="nil"/>
              <w:left w:val="nil"/>
              <w:bottom w:val="single" w:color="auto" w:sz="8" w:space="0"/>
              <w:right w:val="single" w:color="auto" w:sz="8" w:space="0"/>
            </w:tcBorders>
            <w:shd w:val="clear" w:color="000000" w:fill="FFFFFF"/>
            <w:noWrap/>
            <w:vAlign w:val="center"/>
          </w:tcPr>
          <w:p w14:paraId="183E5FD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25</w:t>
            </w:r>
          </w:p>
        </w:tc>
        <w:tc>
          <w:tcPr>
            <w:tcW w:w="1738" w:type="dxa"/>
            <w:tcBorders>
              <w:top w:val="nil"/>
              <w:left w:val="nil"/>
              <w:bottom w:val="single" w:color="auto" w:sz="8" w:space="0"/>
              <w:right w:val="single" w:color="auto" w:sz="8" w:space="0"/>
            </w:tcBorders>
            <w:shd w:val="clear" w:color="000000" w:fill="F8F8F9"/>
            <w:noWrap/>
            <w:vAlign w:val="center"/>
          </w:tcPr>
          <w:p w14:paraId="0120D9F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2977429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沣东新城沣东街办</w:t>
            </w:r>
          </w:p>
        </w:tc>
      </w:tr>
      <w:tr w14:paraId="70603051">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25A922E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w:t>
            </w:r>
          </w:p>
        </w:tc>
        <w:tc>
          <w:tcPr>
            <w:tcW w:w="1509" w:type="dxa"/>
            <w:tcBorders>
              <w:top w:val="nil"/>
              <w:left w:val="nil"/>
              <w:bottom w:val="single" w:color="auto" w:sz="8" w:space="0"/>
              <w:right w:val="single" w:color="auto" w:sz="8" w:space="0"/>
            </w:tcBorders>
            <w:shd w:val="clear" w:color="000000" w:fill="FFFFFF"/>
            <w:noWrap/>
            <w:vAlign w:val="center"/>
          </w:tcPr>
          <w:p w14:paraId="596A705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77AB9A2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九峰镇</w:t>
            </w:r>
          </w:p>
        </w:tc>
        <w:tc>
          <w:tcPr>
            <w:tcW w:w="1073" w:type="dxa"/>
            <w:tcBorders>
              <w:top w:val="nil"/>
              <w:left w:val="nil"/>
              <w:bottom w:val="single" w:color="auto" w:sz="8" w:space="0"/>
              <w:right w:val="single" w:color="auto" w:sz="8" w:space="0"/>
            </w:tcBorders>
            <w:shd w:val="clear" w:color="000000" w:fill="FFFFFF"/>
            <w:noWrap/>
            <w:vAlign w:val="center"/>
          </w:tcPr>
          <w:p w14:paraId="735422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26</w:t>
            </w:r>
          </w:p>
        </w:tc>
        <w:tc>
          <w:tcPr>
            <w:tcW w:w="1738" w:type="dxa"/>
            <w:tcBorders>
              <w:top w:val="nil"/>
              <w:left w:val="nil"/>
              <w:bottom w:val="single" w:color="auto" w:sz="8" w:space="0"/>
              <w:right w:val="single" w:color="auto" w:sz="8" w:space="0"/>
            </w:tcBorders>
            <w:shd w:val="clear" w:color="000000" w:fill="FFFFFF"/>
            <w:noWrap/>
            <w:vAlign w:val="center"/>
          </w:tcPr>
          <w:p w14:paraId="10B69B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02C96E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沣西新城钓台街办</w:t>
            </w:r>
          </w:p>
        </w:tc>
      </w:tr>
      <w:tr w14:paraId="48634E87">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0FBE53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w:t>
            </w:r>
          </w:p>
        </w:tc>
        <w:tc>
          <w:tcPr>
            <w:tcW w:w="1509" w:type="dxa"/>
            <w:tcBorders>
              <w:top w:val="nil"/>
              <w:left w:val="nil"/>
              <w:bottom w:val="single" w:color="auto" w:sz="8" w:space="0"/>
              <w:right w:val="single" w:color="auto" w:sz="8" w:space="0"/>
            </w:tcBorders>
            <w:shd w:val="clear" w:color="000000" w:fill="F8F8F9"/>
            <w:noWrap/>
            <w:vAlign w:val="center"/>
          </w:tcPr>
          <w:p w14:paraId="28455C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57857F1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集贤镇</w:t>
            </w:r>
          </w:p>
        </w:tc>
        <w:tc>
          <w:tcPr>
            <w:tcW w:w="1073" w:type="dxa"/>
            <w:tcBorders>
              <w:top w:val="nil"/>
              <w:left w:val="nil"/>
              <w:bottom w:val="single" w:color="auto" w:sz="8" w:space="0"/>
              <w:right w:val="single" w:color="auto" w:sz="8" w:space="0"/>
            </w:tcBorders>
            <w:shd w:val="clear" w:color="000000" w:fill="FFFFFF"/>
            <w:noWrap/>
            <w:vAlign w:val="center"/>
          </w:tcPr>
          <w:p w14:paraId="0040B6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27</w:t>
            </w:r>
          </w:p>
        </w:tc>
        <w:tc>
          <w:tcPr>
            <w:tcW w:w="1738" w:type="dxa"/>
            <w:tcBorders>
              <w:top w:val="nil"/>
              <w:left w:val="nil"/>
              <w:bottom w:val="single" w:color="auto" w:sz="8" w:space="0"/>
              <w:right w:val="single" w:color="auto" w:sz="8" w:space="0"/>
            </w:tcBorders>
            <w:shd w:val="clear" w:color="000000" w:fill="F8F8F9"/>
            <w:noWrap/>
            <w:vAlign w:val="center"/>
          </w:tcPr>
          <w:p w14:paraId="5821DCF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05705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沣西新城高桥街办</w:t>
            </w:r>
          </w:p>
        </w:tc>
      </w:tr>
      <w:tr w14:paraId="579DCB14">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F4704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w:t>
            </w:r>
          </w:p>
        </w:tc>
        <w:tc>
          <w:tcPr>
            <w:tcW w:w="1509" w:type="dxa"/>
            <w:tcBorders>
              <w:top w:val="nil"/>
              <w:left w:val="nil"/>
              <w:bottom w:val="single" w:color="auto" w:sz="8" w:space="0"/>
              <w:right w:val="single" w:color="auto" w:sz="8" w:space="0"/>
            </w:tcBorders>
            <w:shd w:val="clear" w:color="000000" w:fill="FFFFFF"/>
            <w:noWrap/>
            <w:vAlign w:val="center"/>
          </w:tcPr>
          <w:p w14:paraId="5C9EAD4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7FD9C9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楼观镇</w:t>
            </w:r>
          </w:p>
        </w:tc>
        <w:tc>
          <w:tcPr>
            <w:tcW w:w="1073" w:type="dxa"/>
            <w:tcBorders>
              <w:top w:val="nil"/>
              <w:left w:val="nil"/>
              <w:bottom w:val="single" w:color="auto" w:sz="8" w:space="0"/>
              <w:right w:val="single" w:color="auto" w:sz="8" w:space="0"/>
            </w:tcBorders>
            <w:shd w:val="clear" w:color="000000" w:fill="FFFFFF"/>
            <w:noWrap/>
            <w:vAlign w:val="center"/>
          </w:tcPr>
          <w:p w14:paraId="731590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28</w:t>
            </w:r>
          </w:p>
        </w:tc>
        <w:tc>
          <w:tcPr>
            <w:tcW w:w="1738" w:type="dxa"/>
            <w:tcBorders>
              <w:top w:val="nil"/>
              <w:left w:val="nil"/>
              <w:bottom w:val="single" w:color="auto" w:sz="8" w:space="0"/>
              <w:right w:val="single" w:color="auto" w:sz="8" w:space="0"/>
            </w:tcBorders>
            <w:shd w:val="clear" w:color="000000" w:fill="FFFFFF"/>
            <w:noWrap/>
            <w:vAlign w:val="center"/>
          </w:tcPr>
          <w:p w14:paraId="032ED17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6998CB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沣西新城马王街办</w:t>
            </w:r>
          </w:p>
        </w:tc>
      </w:tr>
      <w:tr w14:paraId="43CAFA38">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086B0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w:t>
            </w:r>
          </w:p>
        </w:tc>
        <w:tc>
          <w:tcPr>
            <w:tcW w:w="1509" w:type="dxa"/>
            <w:tcBorders>
              <w:top w:val="nil"/>
              <w:left w:val="nil"/>
              <w:bottom w:val="single" w:color="auto" w:sz="8" w:space="0"/>
              <w:right w:val="single" w:color="auto" w:sz="8" w:space="0"/>
            </w:tcBorders>
            <w:shd w:val="clear" w:color="000000" w:fill="F8F8F9"/>
            <w:noWrap/>
            <w:vAlign w:val="center"/>
          </w:tcPr>
          <w:p w14:paraId="03A2300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33808B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司竹镇</w:t>
            </w:r>
          </w:p>
        </w:tc>
        <w:tc>
          <w:tcPr>
            <w:tcW w:w="1073" w:type="dxa"/>
            <w:tcBorders>
              <w:top w:val="nil"/>
              <w:left w:val="nil"/>
              <w:bottom w:val="single" w:color="auto" w:sz="8" w:space="0"/>
              <w:right w:val="single" w:color="auto" w:sz="8" w:space="0"/>
            </w:tcBorders>
            <w:shd w:val="clear" w:color="000000" w:fill="FFFFFF"/>
            <w:noWrap/>
            <w:vAlign w:val="center"/>
          </w:tcPr>
          <w:p w14:paraId="2401552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29</w:t>
            </w:r>
          </w:p>
        </w:tc>
        <w:tc>
          <w:tcPr>
            <w:tcW w:w="1738" w:type="dxa"/>
            <w:tcBorders>
              <w:top w:val="nil"/>
              <w:left w:val="nil"/>
              <w:bottom w:val="single" w:color="auto" w:sz="8" w:space="0"/>
              <w:right w:val="single" w:color="auto" w:sz="8" w:space="0"/>
            </w:tcBorders>
            <w:shd w:val="clear" w:color="000000" w:fill="F8F8F9"/>
            <w:noWrap/>
            <w:vAlign w:val="center"/>
          </w:tcPr>
          <w:p w14:paraId="2B13CDB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6572CCF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沣西新城大王街办</w:t>
            </w:r>
          </w:p>
        </w:tc>
      </w:tr>
      <w:tr w14:paraId="62028BFD">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E29E3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w:t>
            </w:r>
          </w:p>
        </w:tc>
        <w:tc>
          <w:tcPr>
            <w:tcW w:w="1509" w:type="dxa"/>
            <w:tcBorders>
              <w:top w:val="nil"/>
              <w:left w:val="nil"/>
              <w:bottom w:val="single" w:color="auto" w:sz="8" w:space="0"/>
              <w:right w:val="single" w:color="auto" w:sz="8" w:space="0"/>
            </w:tcBorders>
            <w:shd w:val="clear" w:color="000000" w:fill="FFFFFF"/>
            <w:noWrap/>
            <w:vAlign w:val="center"/>
          </w:tcPr>
          <w:p w14:paraId="313678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62F44A1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四屯镇</w:t>
            </w:r>
          </w:p>
        </w:tc>
        <w:tc>
          <w:tcPr>
            <w:tcW w:w="1073" w:type="dxa"/>
            <w:tcBorders>
              <w:top w:val="nil"/>
              <w:left w:val="nil"/>
              <w:bottom w:val="single" w:color="auto" w:sz="8" w:space="0"/>
              <w:right w:val="single" w:color="auto" w:sz="8" w:space="0"/>
            </w:tcBorders>
            <w:shd w:val="clear" w:color="000000" w:fill="FFFFFF"/>
            <w:noWrap/>
            <w:vAlign w:val="center"/>
          </w:tcPr>
          <w:p w14:paraId="1176A90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30</w:t>
            </w:r>
          </w:p>
        </w:tc>
        <w:tc>
          <w:tcPr>
            <w:tcW w:w="1738" w:type="dxa"/>
            <w:tcBorders>
              <w:top w:val="nil"/>
              <w:left w:val="nil"/>
              <w:bottom w:val="single" w:color="auto" w:sz="8" w:space="0"/>
              <w:right w:val="single" w:color="auto" w:sz="8" w:space="0"/>
            </w:tcBorders>
            <w:shd w:val="clear" w:color="000000" w:fill="FFFFFF"/>
            <w:noWrap/>
            <w:vAlign w:val="center"/>
          </w:tcPr>
          <w:p w14:paraId="72B55DD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4EF42D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秦汉新城渭城街办</w:t>
            </w:r>
          </w:p>
        </w:tc>
      </w:tr>
      <w:tr w14:paraId="4C35D792">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E5F0BF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w:t>
            </w:r>
          </w:p>
        </w:tc>
        <w:tc>
          <w:tcPr>
            <w:tcW w:w="1509" w:type="dxa"/>
            <w:tcBorders>
              <w:top w:val="nil"/>
              <w:left w:val="nil"/>
              <w:bottom w:val="single" w:color="auto" w:sz="8" w:space="0"/>
              <w:right w:val="single" w:color="auto" w:sz="8" w:space="0"/>
            </w:tcBorders>
            <w:shd w:val="clear" w:color="000000" w:fill="F8F8F9"/>
            <w:noWrap/>
            <w:vAlign w:val="center"/>
          </w:tcPr>
          <w:p w14:paraId="2F66B7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348B5D9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骆峪镇</w:t>
            </w:r>
          </w:p>
        </w:tc>
        <w:tc>
          <w:tcPr>
            <w:tcW w:w="1073" w:type="dxa"/>
            <w:tcBorders>
              <w:top w:val="nil"/>
              <w:left w:val="nil"/>
              <w:bottom w:val="single" w:color="auto" w:sz="8" w:space="0"/>
              <w:right w:val="single" w:color="auto" w:sz="8" w:space="0"/>
            </w:tcBorders>
            <w:shd w:val="clear" w:color="000000" w:fill="FFFFFF"/>
            <w:noWrap/>
            <w:vAlign w:val="center"/>
          </w:tcPr>
          <w:p w14:paraId="6D988B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31</w:t>
            </w:r>
          </w:p>
        </w:tc>
        <w:tc>
          <w:tcPr>
            <w:tcW w:w="1738" w:type="dxa"/>
            <w:tcBorders>
              <w:top w:val="nil"/>
              <w:left w:val="nil"/>
              <w:bottom w:val="single" w:color="auto" w:sz="8" w:space="0"/>
              <w:right w:val="single" w:color="auto" w:sz="8" w:space="0"/>
            </w:tcBorders>
            <w:shd w:val="clear" w:color="000000" w:fill="F8F8F9"/>
            <w:noWrap/>
            <w:vAlign w:val="center"/>
          </w:tcPr>
          <w:p w14:paraId="6F57AF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405E6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秦汉新城窑店街办</w:t>
            </w:r>
          </w:p>
        </w:tc>
      </w:tr>
      <w:tr w14:paraId="0B880A97">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730B14B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w:t>
            </w:r>
          </w:p>
        </w:tc>
        <w:tc>
          <w:tcPr>
            <w:tcW w:w="1509" w:type="dxa"/>
            <w:tcBorders>
              <w:top w:val="nil"/>
              <w:left w:val="nil"/>
              <w:bottom w:val="single" w:color="auto" w:sz="8" w:space="0"/>
              <w:right w:val="single" w:color="auto" w:sz="8" w:space="0"/>
            </w:tcBorders>
            <w:shd w:val="clear" w:color="000000" w:fill="FFFFFF"/>
            <w:noWrap/>
            <w:vAlign w:val="center"/>
          </w:tcPr>
          <w:p w14:paraId="311A6B5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4CFE17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哑柏镇</w:t>
            </w:r>
          </w:p>
        </w:tc>
        <w:tc>
          <w:tcPr>
            <w:tcW w:w="1073" w:type="dxa"/>
            <w:tcBorders>
              <w:top w:val="nil"/>
              <w:left w:val="nil"/>
              <w:bottom w:val="single" w:color="auto" w:sz="8" w:space="0"/>
              <w:right w:val="single" w:color="auto" w:sz="8" w:space="0"/>
            </w:tcBorders>
            <w:shd w:val="clear" w:color="000000" w:fill="FFFFFF"/>
            <w:noWrap/>
            <w:vAlign w:val="center"/>
          </w:tcPr>
          <w:p w14:paraId="20531A6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32</w:t>
            </w:r>
          </w:p>
        </w:tc>
        <w:tc>
          <w:tcPr>
            <w:tcW w:w="1738" w:type="dxa"/>
            <w:tcBorders>
              <w:top w:val="nil"/>
              <w:left w:val="nil"/>
              <w:bottom w:val="single" w:color="auto" w:sz="8" w:space="0"/>
              <w:right w:val="single" w:color="auto" w:sz="8" w:space="0"/>
            </w:tcBorders>
            <w:shd w:val="clear" w:color="000000" w:fill="FFFFFF"/>
            <w:noWrap/>
            <w:vAlign w:val="center"/>
          </w:tcPr>
          <w:p w14:paraId="335AF0A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2927109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秦汉新城正阳街办</w:t>
            </w:r>
          </w:p>
        </w:tc>
      </w:tr>
      <w:tr w14:paraId="7A0B4F3A">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08B34AA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w:t>
            </w:r>
          </w:p>
        </w:tc>
        <w:tc>
          <w:tcPr>
            <w:tcW w:w="1509" w:type="dxa"/>
            <w:tcBorders>
              <w:top w:val="nil"/>
              <w:left w:val="nil"/>
              <w:bottom w:val="single" w:color="auto" w:sz="8" w:space="0"/>
              <w:right w:val="single" w:color="auto" w:sz="8" w:space="0"/>
            </w:tcBorders>
            <w:shd w:val="clear" w:color="000000" w:fill="F8F8F9"/>
            <w:noWrap/>
            <w:vAlign w:val="center"/>
          </w:tcPr>
          <w:p w14:paraId="116EBB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7BDEACA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青化镇</w:t>
            </w:r>
          </w:p>
        </w:tc>
        <w:tc>
          <w:tcPr>
            <w:tcW w:w="1073" w:type="dxa"/>
            <w:tcBorders>
              <w:top w:val="nil"/>
              <w:left w:val="nil"/>
              <w:bottom w:val="single" w:color="auto" w:sz="8" w:space="0"/>
              <w:right w:val="single" w:color="auto" w:sz="8" w:space="0"/>
            </w:tcBorders>
            <w:shd w:val="clear" w:color="000000" w:fill="FFFFFF"/>
            <w:noWrap/>
            <w:vAlign w:val="center"/>
          </w:tcPr>
          <w:p w14:paraId="14D506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33</w:t>
            </w:r>
          </w:p>
        </w:tc>
        <w:tc>
          <w:tcPr>
            <w:tcW w:w="1738" w:type="dxa"/>
            <w:tcBorders>
              <w:top w:val="nil"/>
              <w:left w:val="nil"/>
              <w:bottom w:val="single" w:color="auto" w:sz="8" w:space="0"/>
              <w:right w:val="single" w:color="auto" w:sz="8" w:space="0"/>
            </w:tcBorders>
            <w:shd w:val="clear" w:color="000000" w:fill="F8F8F9"/>
            <w:noWrap/>
            <w:vAlign w:val="center"/>
          </w:tcPr>
          <w:p w14:paraId="6832E0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33ACBB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秦汉新城周陵街办</w:t>
            </w:r>
          </w:p>
        </w:tc>
      </w:tr>
      <w:tr w14:paraId="36F00B55">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1E58FA0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w:t>
            </w:r>
          </w:p>
        </w:tc>
        <w:tc>
          <w:tcPr>
            <w:tcW w:w="1509" w:type="dxa"/>
            <w:tcBorders>
              <w:top w:val="nil"/>
              <w:left w:val="nil"/>
              <w:bottom w:val="single" w:color="auto" w:sz="8" w:space="0"/>
              <w:right w:val="single" w:color="auto" w:sz="8" w:space="0"/>
            </w:tcBorders>
            <w:shd w:val="clear" w:color="000000" w:fill="FFFFFF"/>
            <w:noWrap/>
            <w:vAlign w:val="center"/>
          </w:tcPr>
          <w:p w14:paraId="27E47B5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654895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翠峰镇</w:t>
            </w:r>
          </w:p>
        </w:tc>
        <w:tc>
          <w:tcPr>
            <w:tcW w:w="1073" w:type="dxa"/>
            <w:tcBorders>
              <w:top w:val="nil"/>
              <w:left w:val="nil"/>
              <w:bottom w:val="single" w:color="auto" w:sz="8" w:space="0"/>
              <w:right w:val="single" w:color="auto" w:sz="8" w:space="0"/>
            </w:tcBorders>
            <w:shd w:val="clear" w:color="000000" w:fill="FFFFFF"/>
            <w:noWrap/>
            <w:vAlign w:val="center"/>
          </w:tcPr>
          <w:p w14:paraId="3697BA1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34</w:t>
            </w:r>
          </w:p>
        </w:tc>
        <w:tc>
          <w:tcPr>
            <w:tcW w:w="1738" w:type="dxa"/>
            <w:tcBorders>
              <w:top w:val="nil"/>
              <w:left w:val="nil"/>
              <w:bottom w:val="single" w:color="auto" w:sz="8" w:space="0"/>
              <w:right w:val="single" w:color="auto" w:sz="8" w:space="0"/>
            </w:tcBorders>
            <w:shd w:val="clear" w:color="000000" w:fill="FFFFFF"/>
            <w:noWrap/>
            <w:vAlign w:val="center"/>
          </w:tcPr>
          <w:p w14:paraId="6C49384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3D17E0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泾河新城高庄镇</w:t>
            </w:r>
          </w:p>
        </w:tc>
      </w:tr>
      <w:tr w14:paraId="426DD08C">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1E0647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w:t>
            </w:r>
          </w:p>
        </w:tc>
        <w:tc>
          <w:tcPr>
            <w:tcW w:w="1509" w:type="dxa"/>
            <w:tcBorders>
              <w:top w:val="nil"/>
              <w:left w:val="nil"/>
              <w:bottom w:val="single" w:color="auto" w:sz="8" w:space="0"/>
              <w:right w:val="single" w:color="auto" w:sz="8" w:space="0"/>
            </w:tcBorders>
            <w:shd w:val="clear" w:color="000000" w:fill="F8F8F9"/>
            <w:noWrap/>
            <w:vAlign w:val="center"/>
          </w:tcPr>
          <w:p w14:paraId="074DBB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78C933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二曲街办</w:t>
            </w:r>
          </w:p>
        </w:tc>
        <w:tc>
          <w:tcPr>
            <w:tcW w:w="1073" w:type="dxa"/>
            <w:tcBorders>
              <w:top w:val="nil"/>
              <w:left w:val="nil"/>
              <w:bottom w:val="single" w:color="auto" w:sz="8" w:space="0"/>
              <w:right w:val="single" w:color="auto" w:sz="8" w:space="0"/>
            </w:tcBorders>
            <w:shd w:val="clear" w:color="000000" w:fill="FFFFFF"/>
            <w:noWrap/>
            <w:vAlign w:val="center"/>
          </w:tcPr>
          <w:p w14:paraId="22CD00C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35</w:t>
            </w:r>
          </w:p>
        </w:tc>
        <w:tc>
          <w:tcPr>
            <w:tcW w:w="1738" w:type="dxa"/>
            <w:tcBorders>
              <w:top w:val="nil"/>
              <w:left w:val="nil"/>
              <w:bottom w:val="single" w:color="auto" w:sz="8" w:space="0"/>
              <w:right w:val="single" w:color="auto" w:sz="8" w:space="0"/>
            </w:tcBorders>
            <w:shd w:val="clear" w:color="000000" w:fill="F8F8F9"/>
            <w:noWrap/>
            <w:vAlign w:val="center"/>
          </w:tcPr>
          <w:p w14:paraId="48C033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97AF2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泾河新城崇文镇</w:t>
            </w:r>
          </w:p>
        </w:tc>
      </w:tr>
      <w:tr w14:paraId="38DAF602">
        <w:tblPrEx>
          <w:tblCellMar>
            <w:top w:w="0" w:type="dxa"/>
            <w:left w:w="108" w:type="dxa"/>
            <w:bottom w:w="0" w:type="dxa"/>
            <w:right w:w="108" w:type="dxa"/>
          </w:tblCellMar>
        </w:tblPrEx>
        <w:trPr>
          <w:trHeight w:val="668"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04694C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w:t>
            </w:r>
          </w:p>
        </w:tc>
        <w:tc>
          <w:tcPr>
            <w:tcW w:w="1509" w:type="dxa"/>
            <w:tcBorders>
              <w:top w:val="nil"/>
              <w:left w:val="nil"/>
              <w:bottom w:val="single" w:color="auto" w:sz="8" w:space="0"/>
              <w:right w:val="single" w:color="auto" w:sz="8" w:space="0"/>
            </w:tcBorders>
            <w:shd w:val="clear" w:color="000000" w:fill="FFFFFF"/>
            <w:noWrap/>
            <w:vAlign w:val="center"/>
          </w:tcPr>
          <w:p w14:paraId="14E96ED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467BF51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马召镇</w:t>
            </w:r>
          </w:p>
        </w:tc>
        <w:tc>
          <w:tcPr>
            <w:tcW w:w="1073" w:type="dxa"/>
            <w:tcBorders>
              <w:top w:val="nil"/>
              <w:left w:val="nil"/>
              <w:bottom w:val="single" w:color="auto" w:sz="8" w:space="0"/>
              <w:right w:val="single" w:color="auto" w:sz="8" w:space="0"/>
            </w:tcBorders>
            <w:shd w:val="clear" w:color="000000" w:fill="FFFFFF"/>
            <w:noWrap/>
            <w:vAlign w:val="center"/>
          </w:tcPr>
          <w:p w14:paraId="707D763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36</w:t>
            </w:r>
          </w:p>
        </w:tc>
        <w:tc>
          <w:tcPr>
            <w:tcW w:w="1738" w:type="dxa"/>
            <w:tcBorders>
              <w:top w:val="nil"/>
              <w:left w:val="nil"/>
              <w:bottom w:val="single" w:color="auto" w:sz="8" w:space="0"/>
              <w:right w:val="single" w:color="auto" w:sz="8" w:space="0"/>
            </w:tcBorders>
            <w:shd w:val="clear" w:color="000000" w:fill="FFFFFF"/>
            <w:noWrap/>
            <w:vAlign w:val="center"/>
          </w:tcPr>
          <w:p w14:paraId="6E5B239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4E4BA9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泾河新城永乐镇（原泾干）</w:t>
            </w:r>
          </w:p>
        </w:tc>
      </w:tr>
      <w:tr w14:paraId="1383E2EB">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67B4C6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w:t>
            </w:r>
          </w:p>
        </w:tc>
        <w:tc>
          <w:tcPr>
            <w:tcW w:w="1509" w:type="dxa"/>
            <w:tcBorders>
              <w:top w:val="nil"/>
              <w:left w:val="nil"/>
              <w:bottom w:val="single" w:color="auto" w:sz="8" w:space="0"/>
              <w:right w:val="single" w:color="auto" w:sz="8" w:space="0"/>
            </w:tcBorders>
            <w:shd w:val="clear" w:color="000000" w:fill="F8F8F9"/>
            <w:noWrap/>
            <w:vAlign w:val="center"/>
          </w:tcPr>
          <w:p w14:paraId="4F30A2C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157ADAE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陈河镇</w:t>
            </w:r>
          </w:p>
        </w:tc>
        <w:tc>
          <w:tcPr>
            <w:tcW w:w="1073" w:type="dxa"/>
            <w:tcBorders>
              <w:top w:val="nil"/>
              <w:left w:val="nil"/>
              <w:bottom w:val="single" w:color="auto" w:sz="8" w:space="0"/>
              <w:right w:val="single" w:color="auto" w:sz="8" w:space="0"/>
            </w:tcBorders>
            <w:shd w:val="clear" w:color="000000" w:fill="FFFFFF"/>
            <w:noWrap/>
            <w:vAlign w:val="center"/>
          </w:tcPr>
          <w:p w14:paraId="258BF85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37</w:t>
            </w:r>
          </w:p>
        </w:tc>
        <w:tc>
          <w:tcPr>
            <w:tcW w:w="1738" w:type="dxa"/>
            <w:tcBorders>
              <w:top w:val="nil"/>
              <w:left w:val="nil"/>
              <w:bottom w:val="single" w:color="auto" w:sz="8" w:space="0"/>
              <w:right w:val="single" w:color="auto" w:sz="8" w:space="0"/>
            </w:tcBorders>
            <w:shd w:val="clear" w:color="000000" w:fill="F8F8F9"/>
            <w:noWrap/>
            <w:vAlign w:val="center"/>
          </w:tcPr>
          <w:p w14:paraId="379CD5C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70CBD7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空港新城北杜街办</w:t>
            </w:r>
          </w:p>
        </w:tc>
      </w:tr>
      <w:tr w14:paraId="34BB0166">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35F75B4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18</w:t>
            </w:r>
          </w:p>
        </w:tc>
        <w:tc>
          <w:tcPr>
            <w:tcW w:w="1509" w:type="dxa"/>
            <w:tcBorders>
              <w:top w:val="nil"/>
              <w:left w:val="nil"/>
              <w:bottom w:val="single" w:color="auto" w:sz="8" w:space="0"/>
              <w:right w:val="single" w:color="auto" w:sz="8" w:space="0"/>
            </w:tcBorders>
            <w:shd w:val="clear" w:color="000000" w:fill="FFFFFF"/>
            <w:noWrap/>
            <w:vAlign w:val="center"/>
          </w:tcPr>
          <w:p w14:paraId="12B496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43D2386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厚畛子镇</w:t>
            </w:r>
          </w:p>
        </w:tc>
        <w:tc>
          <w:tcPr>
            <w:tcW w:w="1073" w:type="dxa"/>
            <w:tcBorders>
              <w:top w:val="nil"/>
              <w:left w:val="nil"/>
              <w:bottom w:val="single" w:color="auto" w:sz="8" w:space="0"/>
              <w:right w:val="single" w:color="auto" w:sz="8" w:space="0"/>
            </w:tcBorders>
            <w:shd w:val="clear" w:color="000000" w:fill="FFFFFF"/>
            <w:noWrap/>
            <w:vAlign w:val="center"/>
          </w:tcPr>
          <w:p w14:paraId="10F2F12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38</w:t>
            </w:r>
          </w:p>
        </w:tc>
        <w:tc>
          <w:tcPr>
            <w:tcW w:w="1738" w:type="dxa"/>
            <w:tcBorders>
              <w:top w:val="nil"/>
              <w:left w:val="nil"/>
              <w:bottom w:val="single" w:color="auto" w:sz="8" w:space="0"/>
              <w:right w:val="single" w:color="auto" w:sz="8" w:space="0"/>
            </w:tcBorders>
            <w:shd w:val="clear" w:color="000000" w:fill="FFFFFF"/>
            <w:noWrap/>
            <w:vAlign w:val="center"/>
          </w:tcPr>
          <w:p w14:paraId="3D7516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FFFFF"/>
            <w:noWrap/>
            <w:vAlign w:val="center"/>
          </w:tcPr>
          <w:p w14:paraId="24F7796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空港新城太平镇</w:t>
            </w:r>
          </w:p>
        </w:tc>
      </w:tr>
      <w:tr w14:paraId="7332204F">
        <w:tblPrEx>
          <w:tblCellMar>
            <w:top w:w="0" w:type="dxa"/>
            <w:left w:w="108" w:type="dxa"/>
            <w:bottom w:w="0" w:type="dxa"/>
            <w:right w:w="108" w:type="dxa"/>
          </w:tblCellMar>
        </w:tblPrEx>
        <w:trPr>
          <w:trHeight w:val="35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E1090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19</w:t>
            </w:r>
          </w:p>
        </w:tc>
        <w:tc>
          <w:tcPr>
            <w:tcW w:w="1509" w:type="dxa"/>
            <w:tcBorders>
              <w:top w:val="nil"/>
              <w:left w:val="nil"/>
              <w:bottom w:val="single" w:color="auto" w:sz="8" w:space="0"/>
              <w:right w:val="single" w:color="auto" w:sz="8" w:space="0"/>
            </w:tcBorders>
            <w:shd w:val="clear" w:color="000000" w:fill="F8F8F9"/>
            <w:noWrap/>
            <w:vAlign w:val="center"/>
          </w:tcPr>
          <w:p w14:paraId="3523D37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8F8F9"/>
            <w:noWrap/>
            <w:vAlign w:val="center"/>
          </w:tcPr>
          <w:p w14:paraId="111BB8F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王家河镇</w:t>
            </w:r>
          </w:p>
        </w:tc>
        <w:tc>
          <w:tcPr>
            <w:tcW w:w="1073" w:type="dxa"/>
            <w:tcBorders>
              <w:top w:val="nil"/>
              <w:left w:val="nil"/>
              <w:bottom w:val="single" w:color="auto" w:sz="8" w:space="0"/>
              <w:right w:val="single" w:color="auto" w:sz="8" w:space="0"/>
            </w:tcBorders>
            <w:shd w:val="clear" w:color="000000" w:fill="FFFFFF"/>
            <w:noWrap/>
            <w:vAlign w:val="center"/>
          </w:tcPr>
          <w:p w14:paraId="24B0C2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39</w:t>
            </w:r>
          </w:p>
        </w:tc>
        <w:tc>
          <w:tcPr>
            <w:tcW w:w="1738" w:type="dxa"/>
            <w:tcBorders>
              <w:top w:val="nil"/>
              <w:left w:val="nil"/>
              <w:bottom w:val="single" w:color="auto" w:sz="8" w:space="0"/>
              <w:right w:val="single" w:color="auto" w:sz="8" w:space="0"/>
            </w:tcBorders>
            <w:shd w:val="clear" w:color="000000" w:fill="F8F8F9"/>
            <w:noWrap/>
            <w:vAlign w:val="center"/>
          </w:tcPr>
          <w:p w14:paraId="5DB7D3D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西咸新区</w:t>
            </w:r>
          </w:p>
        </w:tc>
        <w:tc>
          <w:tcPr>
            <w:tcW w:w="2869" w:type="dxa"/>
            <w:tcBorders>
              <w:top w:val="nil"/>
              <w:left w:val="nil"/>
              <w:bottom w:val="single" w:color="auto" w:sz="8" w:space="0"/>
              <w:right w:val="single" w:color="auto" w:sz="8" w:space="0"/>
            </w:tcBorders>
            <w:shd w:val="clear" w:color="000000" w:fill="F8F8F9"/>
            <w:noWrap/>
            <w:vAlign w:val="center"/>
          </w:tcPr>
          <w:p w14:paraId="497DB98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空港新城底张街办</w:t>
            </w:r>
          </w:p>
        </w:tc>
      </w:tr>
      <w:tr w14:paraId="00A33085">
        <w:tblPrEx>
          <w:tblCellMar>
            <w:top w:w="0" w:type="dxa"/>
            <w:left w:w="108" w:type="dxa"/>
            <w:bottom w:w="0" w:type="dxa"/>
            <w:right w:w="108" w:type="dxa"/>
          </w:tblCellMar>
        </w:tblPrEx>
        <w:trPr>
          <w:trHeight w:val="394" w:hRule="atLeast"/>
          <w:jc w:val="center"/>
        </w:trPr>
        <w:tc>
          <w:tcPr>
            <w:tcW w:w="1189" w:type="dxa"/>
            <w:tcBorders>
              <w:top w:val="nil"/>
              <w:left w:val="single" w:color="auto" w:sz="8" w:space="0"/>
              <w:bottom w:val="single" w:color="auto" w:sz="8" w:space="0"/>
              <w:right w:val="single" w:color="auto" w:sz="8" w:space="0"/>
            </w:tcBorders>
            <w:shd w:val="clear" w:color="000000" w:fill="FFFFFF"/>
            <w:noWrap/>
            <w:vAlign w:val="center"/>
          </w:tcPr>
          <w:p w14:paraId="5C25E2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20</w:t>
            </w:r>
          </w:p>
        </w:tc>
        <w:tc>
          <w:tcPr>
            <w:tcW w:w="1509" w:type="dxa"/>
            <w:tcBorders>
              <w:top w:val="nil"/>
              <w:left w:val="nil"/>
              <w:bottom w:val="single" w:color="auto" w:sz="8" w:space="0"/>
              <w:right w:val="single" w:color="auto" w:sz="8" w:space="0"/>
            </w:tcBorders>
            <w:shd w:val="clear" w:color="000000" w:fill="FFFFFF"/>
            <w:noWrap/>
            <w:vAlign w:val="center"/>
          </w:tcPr>
          <w:p w14:paraId="3BB8E6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周至县</w:t>
            </w:r>
          </w:p>
        </w:tc>
        <w:tc>
          <w:tcPr>
            <w:tcW w:w="1738" w:type="dxa"/>
            <w:tcBorders>
              <w:top w:val="nil"/>
              <w:left w:val="nil"/>
              <w:bottom w:val="single" w:color="auto" w:sz="8" w:space="0"/>
              <w:right w:val="single" w:color="auto" w:sz="8" w:space="0"/>
            </w:tcBorders>
            <w:shd w:val="clear" w:color="000000" w:fill="FFFFFF"/>
            <w:noWrap/>
            <w:vAlign w:val="center"/>
          </w:tcPr>
          <w:p w14:paraId="04A7D92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板房子镇</w:t>
            </w:r>
          </w:p>
        </w:tc>
        <w:tc>
          <w:tcPr>
            <w:tcW w:w="1073" w:type="dxa"/>
            <w:tcBorders>
              <w:top w:val="nil"/>
              <w:left w:val="nil"/>
              <w:bottom w:val="single" w:color="auto" w:sz="8" w:space="0"/>
              <w:right w:val="single" w:color="auto" w:sz="8" w:space="0"/>
            </w:tcBorders>
            <w:shd w:val="clear" w:color="000000" w:fill="FFFFFF"/>
            <w:noWrap/>
            <w:vAlign w:val="center"/>
          </w:tcPr>
          <w:p w14:paraId="46C4BBE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　</w:t>
            </w:r>
          </w:p>
        </w:tc>
        <w:tc>
          <w:tcPr>
            <w:tcW w:w="1738" w:type="dxa"/>
            <w:tcBorders>
              <w:top w:val="nil"/>
              <w:left w:val="nil"/>
              <w:bottom w:val="single" w:color="auto" w:sz="8" w:space="0"/>
              <w:right w:val="single" w:color="auto" w:sz="8" w:space="0"/>
            </w:tcBorders>
            <w:shd w:val="clear" w:color="000000" w:fill="FFFFFF"/>
            <w:noWrap/>
            <w:vAlign w:val="center"/>
          </w:tcPr>
          <w:p w14:paraId="23C9819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　</w:t>
            </w:r>
          </w:p>
        </w:tc>
        <w:tc>
          <w:tcPr>
            <w:tcW w:w="2869" w:type="dxa"/>
            <w:tcBorders>
              <w:top w:val="nil"/>
              <w:left w:val="nil"/>
              <w:bottom w:val="single" w:color="auto" w:sz="8" w:space="0"/>
              <w:right w:val="single" w:color="auto" w:sz="8" w:space="0"/>
            </w:tcBorders>
            <w:shd w:val="clear" w:color="000000" w:fill="FFFFFF"/>
            <w:noWrap/>
            <w:vAlign w:val="center"/>
          </w:tcPr>
          <w:p w14:paraId="77C1AA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　</w:t>
            </w:r>
          </w:p>
        </w:tc>
      </w:tr>
    </w:tbl>
    <w:p w14:paraId="36FB8EF6">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1.2 空气站情况</w:t>
      </w:r>
    </w:p>
    <w:p w14:paraId="2AF3844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（1）仪器设备</w:t>
      </w:r>
    </w:p>
    <w:p w14:paraId="190B58B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负责运维的设备主要包括监测仪器、辅助设备两部分，其中监测仪器包括O3、PM10、PM2.5、SO2、CO、NOx六项指标分析仪，辅助设备包括采样系统、数据采集与传输软硬件、制冷系统、供电系统、防雷系统以及视频监控系统等。</w:t>
      </w:r>
    </w:p>
    <w:p w14:paraId="3CFC2F0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监测设备品牌型号、监测原理如下：</w:t>
      </w:r>
    </w:p>
    <w:tbl>
      <w:tblPr>
        <w:tblStyle w:val="7"/>
        <w:tblW w:w="933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4"/>
        <w:gridCol w:w="2571"/>
        <w:gridCol w:w="2618"/>
        <w:gridCol w:w="2115"/>
      </w:tblGrid>
      <w:tr w14:paraId="1B5AA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6DFF6EA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监测项目</w:t>
            </w:r>
          </w:p>
        </w:tc>
        <w:tc>
          <w:tcPr>
            <w:tcW w:w="2571" w:type="dxa"/>
            <w:vAlign w:val="center"/>
          </w:tcPr>
          <w:p w14:paraId="4547FF3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品牌型号</w:t>
            </w:r>
          </w:p>
        </w:tc>
        <w:tc>
          <w:tcPr>
            <w:tcW w:w="2618" w:type="dxa"/>
            <w:tcBorders>
              <w:right w:val="single" w:color="auto" w:sz="4" w:space="0"/>
            </w:tcBorders>
            <w:vAlign w:val="center"/>
          </w:tcPr>
          <w:p w14:paraId="5F5EB2C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测量原理</w:t>
            </w:r>
          </w:p>
        </w:tc>
        <w:tc>
          <w:tcPr>
            <w:tcW w:w="2115" w:type="dxa"/>
            <w:tcBorders>
              <w:left w:val="single" w:color="auto" w:sz="4" w:space="0"/>
            </w:tcBorders>
            <w:vAlign w:val="center"/>
          </w:tcPr>
          <w:p w14:paraId="3AB6130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5DDE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2619F0C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z w:val="21"/>
                <w:szCs w:val="21"/>
                <w:highlight w:val="none"/>
                <w:vertAlign w:val="subscript"/>
              </w:rPr>
              <w:t>10</w:t>
            </w:r>
          </w:p>
        </w:tc>
        <w:tc>
          <w:tcPr>
            <w:tcW w:w="2571" w:type="dxa"/>
            <w:vAlign w:val="center"/>
          </w:tcPr>
          <w:p w14:paraId="106A9A9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18" w:type="dxa"/>
            <w:tcBorders>
              <w:right w:val="single" w:color="auto" w:sz="4" w:space="0"/>
            </w:tcBorders>
            <w:vAlign w:val="center"/>
          </w:tcPr>
          <w:p w14:paraId="6EC07A2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2115" w:type="dxa"/>
            <w:tcBorders>
              <w:left w:val="single" w:color="auto" w:sz="4" w:space="0"/>
            </w:tcBorders>
            <w:vAlign w:val="center"/>
          </w:tcPr>
          <w:p w14:paraId="68ACBB6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39个站</w:t>
            </w:r>
          </w:p>
        </w:tc>
      </w:tr>
      <w:tr w14:paraId="473B5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0F33E9C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z w:val="21"/>
                <w:szCs w:val="21"/>
                <w:highlight w:val="none"/>
                <w:vertAlign w:val="subscript"/>
              </w:rPr>
              <w:t>2.5</w:t>
            </w:r>
          </w:p>
        </w:tc>
        <w:tc>
          <w:tcPr>
            <w:tcW w:w="2571" w:type="dxa"/>
            <w:vAlign w:val="center"/>
          </w:tcPr>
          <w:p w14:paraId="26BCB7F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18" w:type="dxa"/>
            <w:tcBorders>
              <w:right w:val="single" w:color="auto" w:sz="4" w:space="0"/>
            </w:tcBorders>
            <w:vAlign w:val="center"/>
          </w:tcPr>
          <w:p w14:paraId="3CBA857F">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2115" w:type="dxa"/>
            <w:tcBorders>
              <w:left w:val="single" w:color="auto" w:sz="4" w:space="0"/>
            </w:tcBorders>
            <w:vAlign w:val="center"/>
          </w:tcPr>
          <w:p w14:paraId="68B925B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39个站</w:t>
            </w:r>
          </w:p>
        </w:tc>
      </w:tr>
      <w:tr w14:paraId="09CB1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Align w:val="center"/>
          </w:tcPr>
          <w:p w14:paraId="1016EA5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O</w:t>
            </w:r>
            <w:r>
              <w:rPr>
                <w:rFonts w:hint="eastAsia" w:ascii="宋体" w:hAnsi="宋体" w:eastAsia="宋体" w:cs="宋体"/>
                <w:color w:val="auto"/>
                <w:sz w:val="21"/>
                <w:szCs w:val="21"/>
                <w:highlight w:val="none"/>
                <w:vertAlign w:val="subscript"/>
              </w:rPr>
              <w:t>3</w:t>
            </w:r>
          </w:p>
        </w:tc>
        <w:tc>
          <w:tcPr>
            <w:tcW w:w="2571" w:type="dxa"/>
            <w:vAlign w:val="center"/>
          </w:tcPr>
          <w:p w14:paraId="1BD2DDC0">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49i</w:t>
            </w:r>
          </w:p>
        </w:tc>
        <w:tc>
          <w:tcPr>
            <w:tcW w:w="2618" w:type="dxa"/>
            <w:tcBorders>
              <w:right w:val="single" w:color="auto" w:sz="4" w:space="0"/>
            </w:tcBorders>
            <w:vAlign w:val="center"/>
          </w:tcPr>
          <w:p w14:paraId="29060DA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紫外吸收法</w:t>
            </w:r>
          </w:p>
        </w:tc>
        <w:tc>
          <w:tcPr>
            <w:tcW w:w="2115" w:type="dxa"/>
            <w:tcBorders>
              <w:left w:val="single" w:color="auto" w:sz="4" w:space="0"/>
            </w:tcBorders>
            <w:vAlign w:val="center"/>
          </w:tcPr>
          <w:p w14:paraId="2CAA756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39个站</w:t>
            </w:r>
          </w:p>
        </w:tc>
      </w:tr>
      <w:tr w14:paraId="5AA0A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restart"/>
            <w:vAlign w:val="center"/>
          </w:tcPr>
          <w:p w14:paraId="4DDC0F3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SO</w:t>
            </w:r>
            <w:r>
              <w:rPr>
                <w:rFonts w:hint="eastAsia" w:ascii="宋体" w:hAnsi="宋体" w:eastAsia="宋体" w:cs="宋体"/>
                <w:color w:val="auto"/>
                <w:sz w:val="21"/>
                <w:szCs w:val="21"/>
                <w:highlight w:val="none"/>
                <w:vertAlign w:val="subscript"/>
              </w:rPr>
              <w:t>2</w:t>
            </w:r>
          </w:p>
        </w:tc>
        <w:tc>
          <w:tcPr>
            <w:tcW w:w="2571" w:type="dxa"/>
            <w:vAlign w:val="center"/>
          </w:tcPr>
          <w:p w14:paraId="01D7C3D2">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43i</w:t>
            </w:r>
          </w:p>
        </w:tc>
        <w:tc>
          <w:tcPr>
            <w:tcW w:w="2618" w:type="dxa"/>
            <w:tcBorders>
              <w:right w:val="single" w:color="auto" w:sz="4" w:space="0"/>
            </w:tcBorders>
            <w:vAlign w:val="center"/>
          </w:tcPr>
          <w:p w14:paraId="3598720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紫外荧光法</w:t>
            </w:r>
          </w:p>
        </w:tc>
        <w:tc>
          <w:tcPr>
            <w:tcW w:w="2115" w:type="dxa"/>
            <w:tcBorders>
              <w:left w:val="single" w:color="auto" w:sz="4" w:space="0"/>
            </w:tcBorders>
            <w:vAlign w:val="center"/>
          </w:tcPr>
          <w:p w14:paraId="6C323FE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西安20个站点</w:t>
            </w:r>
          </w:p>
        </w:tc>
      </w:tr>
      <w:tr w14:paraId="1598A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continue"/>
            <w:vAlign w:val="center"/>
          </w:tcPr>
          <w:p w14:paraId="7A87E31E">
            <w:pPr>
              <w:adjustRightInd w:val="0"/>
              <w:jc w:val="center"/>
              <w:textAlignment w:val="baseline"/>
              <w:rPr>
                <w:rFonts w:hint="eastAsia" w:ascii="宋体" w:hAnsi="宋体" w:eastAsia="宋体" w:cs="宋体"/>
                <w:color w:val="auto"/>
                <w:sz w:val="21"/>
                <w:szCs w:val="21"/>
                <w:highlight w:val="none"/>
              </w:rPr>
            </w:pPr>
          </w:p>
        </w:tc>
        <w:tc>
          <w:tcPr>
            <w:tcW w:w="2571" w:type="dxa"/>
            <w:vAlign w:val="center"/>
          </w:tcPr>
          <w:p w14:paraId="0E89A37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TH-2002H</w:t>
            </w:r>
          </w:p>
        </w:tc>
        <w:tc>
          <w:tcPr>
            <w:tcW w:w="2618" w:type="dxa"/>
            <w:tcBorders>
              <w:right w:val="single" w:color="auto" w:sz="4" w:space="0"/>
            </w:tcBorders>
            <w:vAlign w:val="center"/>
          </w:tcPr>
          <w:p w14:paraId="088163D0">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紫外荧光法</w:t>
            </w:r>
          </w:p>
        </w:tc>
        <w:tc>
          <w:tcPr>
            <w:tcW w:w="2115" w:type="dxa"/>
            <w:tcBorders>
              <w:left w:val="single" w:color="auto" w:sz="4" w:space="0"/>
            </w:tcBorders>
            <w:vAlign w:val="center"/>
          </w:tcPr>
          <w:p w14:paraId="0759306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西咸19个站点</w:t>
            </w:r>
          </w:p>
        </w:tc>
      </w:tr>
      <w:tr w14:paraId="2083E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restart"/>
            <w:vAlign w:val="center"/>
          </w:tcPr>
          <w:p w14:paraId="3D67CE50">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w:t>
            </w:r>
          </w:p>
        </w:tc>
        <w:tc>
          <w:tcPr>
            <w:tcW w:w="2571" w:type="dxa"/>
            <w:vAlign w:val="center"/>
          </w:tcPr>
          <w:p w14:paraId="0296B05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48i</w:t>
            </w:r>
          </w:p>
        </w:tc>
        <w:tc>
          <w:tcPr>
            <w:tcW w:w="2618" w:type="dxa"/>
            <w:tcBorders>
              <w:right w:val="single" w:color="auto" w:sz="4" w:space="0"/>
            </w:tcBorders>
            <w:vAlign w:val="center"/>
          </w:tcPr>
          <w:p w14:paraId="6128A43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红外吸收法</w:t>
            </w:r>
          </w:p>
        </w:tc>
        <w:tc>
          <w:tcPr>
            <w:tcW w:w="2115" w:type="dxa"/>
            <w:tcBorders>
              <w:left w:val="single" w:color="auto" w:sz="4" w:space="0"/>
            </w:tcBorders>
            <w:vAlign w:val="center"/>
          </w:tcPr>
          <w:p w14:paraId="10738A3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西安20个站点</w:t>
            </w:r>
          </w:p>
        </w:tc>
      </w:tr>
      <w:tr w14:paraId="44A99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continue"/>
            <w:vAlign w:val="center"/>
          </w:tcPr>
          <w:p w14:paraId="1BB187C3">
            <w:pPr>
              <w:adjustRightInd w:val="0"/>
              <w:jc w:val="center"/>
              <w:textAlignment w:val="baseline"/>
              <w:rPr>
                <w:rFonts w:hint="eastAsia" w:ascii="宋体" w:hAnsi="宋体" w:eastAsia="宋体" w:cs="宋体"/>
                <w:color w:val="auto"/>
                <w:sz w:val="21"/>
                <w:szCs w:val="21"/>
                <w:highlight w:val="none"/>
              </w:rPr>
            </w:pPr>
          </w:p>
        </w:tc>
        <w:tc>
          <w:tcPr>
            <w:tcW w:w="2571" w:type="dxa"/>
            <w:vAlign w:val="center"/>
          </w:tcPr>
          <w:p w14:paraId="4C561A5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TH-2004H</w:t>
            </w:r>
          </w:p>
        </w:tc>
        <w:tc>
          <w:tcPr>
            <w:tcW w:w="2618" w:type="dxa"/>
            <w:tcBorders>
              <w:right w:val="single" w:color="auto" w:sz="4" w:space="0"/>
            </w:tcBorders>
            <w:vAlign w:val="center"/>
          </w:tcPr>
          <w:p w14:paraId="360E3E4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红外吸收法</w:t>
            </w:r>
          </w:p>
        </w:tc>
        <w:tc>
          <w:tcPr>
            <w:tcW w:w="2115" w:type="dxa"/>
            <w:tcBorders>
              <w:left w:val="single" w:color="auto" w:sz="4" w:space="0"/>
            </w:tcBorders>
            <w:vAlign w:val="center"/>
          </w:tcPr>
          <w:p w14:paraId="39E8033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西咸19个站点</w:t>
            </w:r>
          </w:p>
        </w:tc>
      </w:tr>
      <w:tr w14:paraId="64A6D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trPr>
        <w:tc>
          <w:tcPr>
            <w:tcW w:w="2034" w:type="dxa"/>
            <w:vMerge w:val="restart"/>
            <w:vAlign w:val="center"/>
          </w:tcPr>
          <w:p w14:paraId="1CAFBDB7">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NOx</w:t>
            </w:r>
          </w:p>
        </w:tc>
        <w:tc>
          <w:tcPr>
            <w:tcW w:w="2571" w:type="dxa"/>
            <w:vAlign w:val="center"/>
          </w:tcPr>
          <w:p w14:paraId="753FEF5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42i</w:t>
            </w:r>
          </w:p>
        </w:tc>
        <w:tc>
          <w:tcPr>
            <w:tcW w:w="2618" w:type="dxa"/>
            <w:tcBorders>
              <w:right w:val="single" w:color="auto" w:sz="4" w:space="0"/>
            </w:tcBorders>
            <w:vAlign w:val="center"/>
          </w:tcPr>
          <w:p w14:paraId="237C2681">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化学发光法</w:t>
            </w:r>
          </w:p>
        </w:tc>
        <w:tc>
          <w:tcPr>
            <w:tcW w:w="2115" w:type="dxa"/>
            <w:tcBorders>
              <w:left w:val="single" w:color="auto" w:sz="4" w:space="0"/>
            </w:tcBorders>
            <w:vAlign w:val="center"/>
          </w:tcPr>
          <w:p w14:paraId="71874CA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西安20个站点</w:t>
            </w:r>
          </w:p>
        </w:tc>
      </w:tr>
      <w:tr w14:paraId="4E94B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2034" w:type="dxa"/>
            <w:vMerge w:val="continue"/>
            <w:vAlign w:val="center"/>
          </w:tcPr>
          <w:p w14:paraId="733EA3E5">
            <w:pPr>
              <w:adjustRightInd w:val="0"/>
              <w:jc w:val="center"/>
              <w:textAlignment w:val="baseline"/>
              <w:rPr>
                <w:rFonts w:hint="eastAsia" w:ascii="宋体" w:hAnsi="宋体" w:eastAsia="宋体" w:cs="宋体"/>
                <w:color w:val="auto"/>
                <w:sz w:val="21"/>
                <w:szCs w:val="21"/>
                <w:highlight w:val="none"/>
              </w:rPr>
            </w:pPr>
          </w:p>
        </w:tc>
        <w:tc>
          <w:tcPr>
            <w:tcW w:w="2571" w:type="dxa"/>
            <w:vAlign w:val="center"/>
          </w:tcPr>
          <w:p w14:paraId="715B861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TH-2001H</w:t>
            </w:r>
          </w:p>
        </w:tc>
        <w:tc>
          <w:tcPr>
            <w:tcW w:w="2618" w:type="dxa"/>
            <w:tcBorders>
              <w:right w:val="single" w:color="auto" w:sz="4" w:space="0"/>
            </w:tcBorders>
            <w:vAlign w:val="center"/>
          </w:tcPr>
          <w:p w14:paraId="0277851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化学发光法</w:t>
            </w:r>
          </w:p>
        </w:tc>
        <w:tc>
          <w:tcPr>
            <w:tcW w:w="2115" w:type="dxa"/>
            <w:tcBorders>
              <w:left w:val="single" w:color="auto" w:sz="4" w:space="0"/>
            </w:tcBorders>
            <w:vAlign w:val="center"/>
          </w:tcPr>
          <w:p w14:paraId="122A60BE">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西咸19个站点</w:t>
            </w:r>
          </w:p>
        </w:tc>
      </w:tr>
    </w:tbl>
    <w:p w14:paraId="6DC06F4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1.2.2监测项目</w:t>
      </w:r>
    </w:p>
    <w:p w14:paraId="0BD35CE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各站点均监测O3、PM10、PM2.5、SO2、CO、NOx六项指标。</w:t>
      </w:r>
    </w:p>
    <w:p w14:paraId="5AC3B2E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1.2.3监测频次及数据传输</w:t>
      </w:r>
    </w:p>
    <w:p w14:paraId="0E18098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监测工作方式为24小时不间断连续自动监测，本项目在线路可达的站点采用4M MSTP专线组网，少部分无法铺设的站点辅助以中国移动APN无线方式组网，向西安市智慧环保指挥平台实时监测数据。上传数据包括各监测设备的实时监测分钟值、小时值及工控机的状态参数等，各监测项目监测频次参照《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中数据统计的有效性规定执行。</w:t>
      </w:r>
    </w:p>
    <w:p w14:paraId="41D060E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1.2.4站点基础设施及电力、通讯保障</w:t>
      </w:r>
    </w:p>
    <w:p w14:paraId="7227165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西安市智慧环保项目空气监测自动站属于小型站，配备稳定的电力供应和通讯设备，并能向西安市智慧环保指挥大厅正常上传监测数据。</w:t>
      </w:r>
    </w:p>
    <w:p w14:paraId="7A5DF49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1.2.5空气站其他情况</w:t>
      </w:r>
    </w:p>
    <w:p w14:paraId="2208E11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目前，大多数子站未采用国家电网（陕西地电）直接供电方式供电，而是通过二次电表计价供电。根据取电来源，大致可分为村民家庭供电、村委会供电、街道办事处供电、企业（民企/国企）供电、事业单位（学校/公园/孵化器）供电、国家电网（陕西地电）供电。子站未配备臭氧校准设备和颗粒物标准膜片。目前，部分空气站（高空站）暂未安装安全爬梯。</w:t>
      </w:r>
    </w:p>
    <w:p w14:paraId="3D961F0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2.运维工作目标</w:t>
      </w:r>
    </w:p>
    <w:p w14:paraId="75F3D09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运行维护工作应按照安全生产有关规定，建立安全生产制度，切实消除安全隐患；运行维护工作必须确保提供及时、准确、有效的监测数据，空气站运行质量应达到以下指标：</w:t>
      </w:r>
    </w:p>
    <w:p w14:paraId="3121FB9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中规定的污染物浓度数据有效性最低要求；</w:t>
      </w:r>
    </w:p>
    <w:p w14:paraId="0BB50C9E">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（2）各项指标数据捕获率达到90%（以小时值计）以上；</w:t>
      </w:r>
    </w:p>
    <w:p w14:paraId="6C6EFA9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（3）各项指标数据有效率达到80%（以小时值计）以上；</w:t>
      </w:r>
    </w:p>
    <w:p w14:paraId="70EC4B3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（4）运维任务完成率100%；</w:t>
      </w:r>
    </w:p>
    <w:p w14:paraId="7FA1A6BE">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（5）异常情况处理率100%；</w:t>
      </w:r>
    </w:p>
    <w:p w14:paraId="5BD1DA9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3.运维工作内容</w:t>
      </w:r>
    </w:p>
    <w:p w14:paraId="4511D2D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运维过程中主要完成以下工作：</w:t>
      </w:r>
    </w:p>
    <w:p w14:paraId="673A340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（1）空气站的日常运行维护，备件耗材更换；</w:t>
      </w:r>
    </w:p>
    <w:p w14:paraId="18FB958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（2）空气站的设备维护保养及维修；</w:t>
      </w:r>
    </w:p>
    <w:p w14:paraId="115A61D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（3）当仪器出现故障不能及时修复时，应在48小时之内使用备机开展监测；</w:t>
      </w:r>
    </w:p>
    <w:p w14:paraId="3AFA57D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 xml:space="preserve">（4）空气站的内部质控措施； </w:t>
      </w:r>
    </w:p>
    <w:p w14:paraId="1091662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（5）空气站通讯及数据采集系统的维护及维修，保障空气站与西安市智慧环保指挥平台通讯正常；</w:t>
      </w:r>
    </w:p>
    <w:p w14:paraId="0F554E7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（6）空气站相关辅助设施的维护、保养、维修；</w:t>
      </w:r>
    </w:p>
    <w:p w14:paraId="4AC0FF7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（7）运维电费和通讯费用由运维单位承担；</w:t>
      </w:r>
    </w:p>
    <w:p w14:paraId="621F565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（8）运维过程中产生的备机及耗材费用由运维单位承担；</w:t>
      </w:r>
    </w:p>
    <w:p w14:paraId="57F2E6A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（9）运维单位在运维期内须无条件配合</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组织的小型站相关设备补充、升级工作，并保障监测数据的完整性、准确性。</w:t>
      </w:r>
    </w:p>
    <w:p w14:paraId="1B4A865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10）委托运行维护及管理的全部资产（包括全部产权和建筑物、设备及配套设施）属采购人所有。未经采购人同意，运维单位不得以任何方式对各类财产进行出售、抵押或转移；同时，在委托运行及管理期间，运维单位有责任保证上述全部资产的完整、安全并处于良好状态，运维单位应根据站点分布及安全保障情况购买财产保险（含第三方责任险），避免出现被盗、人为破坏等原因造成的资产损失。出现空气站资产丢失、损坏等情况，一切责任由运维单位承担，并尽快恢复运行，所发生的费用全部由运维单位承担。</w:t>
      </w:r>
    </w:p>
    <w:p w14:paraId="10EEF73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（11）运维单位须为所有参与本项目运维的人员购买能覆盖此次运维周期的人身意外保险，制定并执行运维相关的安全措施，确保不发生意外，若发生运维安全事故，全部责任由运维单位承担。</w:t>
      </w:r>
    </w:p>
    <w:p w14:paraId="25CD7D3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4.运维工作具体要求</w:t>
      </w:r>
    </w:p>
    <w:p w14:paraId="7770833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运维单位应遵守关于空气站管理的各项规定，严格按照国家相关标准要求开展运维工作。</w:t>
      </w:r>
    </w:p>
    <w:p w14:paraId="1CF48FA3">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 一般维护要求</w:t>
      </w:r>
    </w:p>
    <w:p w14:paraId="7D1D073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（1）保持站点内部环境清洁，布置整齐，各仪器设备干净清洁，设备标识清楚；</w:t>
      </w:r>
    </w:p>
    <w:p w14:paraId="22DB8C1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（2）检查供电、网络通讯的情况，保证系统的正常运行;</w:t>
      </w:r>
    </w:p>
    <w:p w14:paraId="7D98C9A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 xml:space="preserve">（3）保证空调正常工作，仪器运行温度保持在25℃左右，站房内温度日波动范围小于5℃，相对湿度保持在80%RH以下； </w:t>
      </w:r>
    </w:p>
    <w:p w14:paraId="0FA40BA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（4）指派专人维护，设备固定牢固，人走关门，非工作人员未经许可不得入内；</w:t>
      </w:r>
    </w:p>
    <w:p w14:paraId="4EB3132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（5）定期检查消防和安全设施；</w:t>
      </w:r>
    </w:p>
    <w:p w14:paraId="520FA17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（6）每次维护后做好系统运行维护记录；</w:t>
      </w:r>
    </w:p>
    <w:p w14:paraId="03BC563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（7）进行维护时，应规范操作，注意安全，防止意外发生；</w:t>
      </w:r>
    </w:p>
    <w:p w14:paraId="7FB2E04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（8）所有记录表格参照国家站标准填写。</w:t>
      </w:r>
    </w:p>
    <w:p w14:paraId="3F9548D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4.1.1 每日维护要求</w:t>
      </w:r>
    </w:p>
    <w:p w14:paraId="2EA373A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每日上午和下午两次远程查看空气站数据并形成记录，分析监测数据，对站点运行情况进行远程诊断和运行管理，包括：</w:t>
      </w:r>
    </w:p>
    <w:p w14:paraId="747E408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（1）判断系统数据采集与传输情况；</w:t>
      </w:r>
    </w:p>
    <w:p w14:paraId="758CBBE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发现监测数据异常，应立即通知采购人，在每日6时～23时出现的异常，应在4小时内解决；在每日23时～次日6时出现的异常，应在次日10时前解决（通信线路，电力线路故障除外，但应及时与相关部门联系积极解决）；</w:t>
      </w:r>
    </w:p>
    <w:p w14:paraId="29BA3B6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（3）发生重污染天气等特殊情况后，应在4小时内开展相应运维工作；</w:t>
      </w:r>
    </w:p>
    <w:p w14:paraId="5B2C03F6">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（4）根据数据分析结果、设备状态参数和仪器故障报警信号，判断仪器运行情况和现场状况；</w:t>
      </w:r>
    </w:p>
    <w:p w14:paraId="5C71245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（5）每日检查数据是否及时上传至数据平台并正常发布，发现数据断网及时恢复；</w:t>
      </w:r>
    </w:p>
    <w:p w14:paraId="3EB3F69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运维单位对空气站监测数据进行审核，并将审核数据按时提交采购人。每日12时前完成空气站前日各站点原始小时值的审核，报送采购人复核。对复核不通过的数据，需于第2日12时前再次审核后上报。再次审核报送的数据仍未通过复核的，以</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最终复核结果为准。每月1日12时前，完成上月所有实时监测数据的在线审核，报送采购人复核。对复核不通过的数据，于1日18时前再次报送采购人。再次审核报送的数据仍未通过复核的，以采购人最终复核结果为准。对于未能在规定时间内完成审核的数据，需于数据产生1周内，以正式文件的形式向采购人报送书面审核结果及未能按时完成审核的原因。</w:t>
      </w:r>
    </w:p>
    <w:p w14:paraId="2D522A5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4.1.2每周工作要求</w:t>
      </w:r>
    </w:p>
    <w:p w14:paraId="315FA02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每周至少巡查空气站1次，并做好巡查记录，巡检时需要完成的工作包括：</w:t>
      </w:r>
    </w:p>
    <w:p w14:paraId="018690F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（1）查看小型站设备是否齐备，有无丢失和损坏；检查接地线路是否可靠，排风排气装置工作是否正常，标准气钢瓶阀门是否漏气，标准气的消耗情况；</w:t>
      </w:r>
    </w:p>
    <w:p w14:paraId="1729A5B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（2）检查采样和排气管路是否有漏气和堵塞现象，各监测仪器采样流量是否正常；</w:t>
      </w:r>
    </w:p>
    <w:p w14:paraId="786C139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（3）检查各监测仪器运行状况和工作参数，判断是否正常，如有异常情况及时处理，保证仪器运行正常；</w:t>
      </w:r>
    </w:p>
    <w:p w14:paraId="5A36023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（4）检查PM10与PM2.5监测仪动态加热装置及采样总管加热装置是否工作正常；</w:t>
      </w:r>
    </w:p>
    <w:p w14:paraId="4BCD3E2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（5）检查并记录仪器设备零气、标气输出压力，应与前次检查时基本保持一致；</w:t>
      </w:r>
    </w:p>
    <w:p w14:paraId="6B5F10B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（6）每周对气态监测仪至少进行一次零点、跨度检查（纯净零气及75%-90%标气），如果漂移超过国家相关规范要求，需要进行校准或维修；</w:t>
      </w:r>
    </w:p>
    <w:p w14:paraId="2F2AE1D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（7）检查外部环境是否正常，有没有对测定结果或运行环境存在明显影响的污染源；</w:t>
      </w:r>
    </w:p>
    <w:p w14:paraId="6767FA3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（8）检查电路系统和通讯系统，保证系统供电正常，电压稳定；</w:t>
      </w:r>
    </w:p>
    <w:p w14:paraId="73870BB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（9）检查空气站通讯系统，保证空气站与数据平台的连接正常，数据传输正常；确保无远程控制软件；</w:t>
      </w:r>
    </w:p>
    <w:p w14:paraId="4F10CEF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（10）对仪器显示数据、时间与数据采集仪之间的一致性进行检查和校准；</w:t>
      </w:r>
    </w:p>
    <w:p w14:paraId="15D071D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（11）检查气态监测仪器的采样入口与采样支路管线结合部之间的过滤膜的污染情况，每周更换1次滤膜，每周检查监测仪器散热风扇污染情况，及时清洗；</w:t>
      </w:r>
    </w:p>
    <w:p w14:paraId="4A6C15A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（12）在冬、夏季应注意空气站机柜内部与外部环境的温差，若温差较大，应及时改变机柜温度或对采样总管采取适当的控制措施，防止冷凝现象；</w:t>
      </w:r>
    </w:p>
    <w:p w14:paraId="2A33C0A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（13）应及时清除空气站附近的杂草和积水，当周围树木生长超过规范规定的控制限时，应及时剪除对采样有影响的树枝；</w:t>
      </w:r>
    </w:p>
    <w:p w14:paraId="58331C9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（14）应经常检查避雷设施是否可靠，机柜是否有漏雨现象，发现渗漏情况及时用玻璃胶进行密封，机柜外围设备是否有损坏或被水淹，如遇到以上问题应及时处理，保证系统安全运行；</w:t>
      </w:r>
    </w:p>
    <w:p w14:paraId="43B16CB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（15）检查站房的安全措施，做好防火防盗工作；</w:t>
      </w:r>
    </w:p>
    <w:p w14:paraId="62B7974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（16）每周对颗粒物仪器至少进行一次流量检查，流量误差超过±5%时应进行校准，每周对颗粒物监测仪的采样纸带进行检查，如纸带即将用尽或滤膜负载超过50%，及时进行更换；</w:t>
      </w:r>
    </w:p>
    <w:p w14:paraId="1F540F7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（17）空气质量达到重度及以上时，应及时清洗采样管和切割器并更换滤膜。在污染过程结束后清洗采样系统；</w:t>
      </w:r>
    </w:p>
    <w:p w14:paraId="4DE3E73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（18）每周检查视频监控系统，并做好视频系统的日常维护。发现人为干预空气质量监测的行为，及时向采购人汇报；</w:t>
      </w:r>
    </w:p>
    <w:p w14:paraId="056958E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（19）每周对机柜内外环境卫生进行检查，及时保洁；</w:t>
      </w:r>
    </w:p>
    <w:p w14:paraId="0E6A324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（20）认真填写每周运行维护记录表。</w:t>
      </w:r>
    </w:p>
    <w:p w14:paraId="7F494FC1">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4.1.3每月工作要求</w:t>
      </w:r>
    </w:p>
    <w:p w14:paraId="2EAEA18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（1）清洗PM10及PM2.5采样头，检查β射线法颗粒物监测仪仪器喷嘴、压环、密封圈等部件；</w:t>
      </w:r>
    </w:p>
    <w:p w14:paraId="29A1622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（2）检查PM10及PM2.5监测仪、气态分析仪、动态校准仪流量，超过国家相关规范要求时进行校准，检查仪器是否泄漏；</w:t>
      </w:r>
    </w:p>
    <w:p w14:paraId="26302B52">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（3）每月开展颗粒物标准膜测试，流量误差超过±2%时应进行校准；</w:t>
      </w:r>
    </w:p>
    <w:p w14:paraId="350025C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（4）每月清洗一次空调过滤网；</w:t>
      </w:r>
    </w:p>
    <w:p w14:paraId="5CD8A7E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（5）分析仪器时钟检查，数据采集仪时钟检查；</w:t>
      </w:r>
    </w:p>
    <w:p w14:paraId="5FF29B2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（6）每月对数据和运维记录进行备份；</w:t>
      </w:r>
    </w:p>
    <w:p w14:paraId="333349D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（7）认真填写每月运行维护记录表。</w:t>
      </w:r>
    </w:p>
    <w:p w14:paraId="754BB61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4.1.4每季度工作要求</w:t>
      </w:r>
    </w:p>
    <w:p w14:paraId="40CEC76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（1）采样总管及采样风机每季度至少清洗一次；</w:t>
      </w:r>
    </w:p>
    <w:p w14:paraId="6F9E990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（2）对气态分析仪进行多点线性检查，绘制校准曲线，检验相关系数、截距和斜率；</w:t>
      </w:r>
    </w:p>
    <w:p w14:paraId="21549DF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（3）每季度进行一次监测仪器的精密度校准。气态污染物监测仪的精密度审核采用向监测仪通入一定体积分数的标准气体来确定，颗粒物监测仪的精密度审核采用标准流量计测定监测仪器的工作流量来确定；</w:t>
      </w:r>
    </w:p>
    <w:p w14:paraId="2EA613F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（4）检查校准PM10、PM2.5监测仪相对湿度、温度传感器和压力传感器；</w:t>
      </w:r>
    </w:p>
    <w:p w14:paraId="2080ABF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（5）更换气态采样管、颗粒物采样管、摄像系统管路等与机柜冲孔处的密封玻璃胶；</w:t>
      </w:r>
    </w:p>
    <w:p w14:paraId="1DB0599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（6）认真填写季度运行维护记录表。</w:t>
      </w:r>
    </w:p>
    <w:p w14:paraId="61718D3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4.1.5每半年工作要求</w:t>
      </w:r>
    </w:p>
    <w:p w14:paraId="4D2F09C2">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（1）动态校准仪质量流量计每半年进行一次流量多点校准；</w:t>
      </w:r>
    </w:p>
    <w:p w14:paraId="6FC38D42">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（2）采用臭氧传递标准对小型站臭氧工作标准进行标准传递，更换零气源净化剂和氧化剂，以零气性能进行检查；</w:t>
      </w:r>
    </w:p>
    <w:p w14:paraId="5FAC3364">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（3）对氮氧化物分析仪钼炉转化率进行检查；</w:t>
      </w:r>
    </w:p>
    <w:p w14:paraId="1EEE2CEC">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（4）对气态监测仪器每半年进行一次期间核查；</w:t>
      </w:r>
    </w:p>
    <w:p w14:paraId="4AC95B9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（5）对机柜、风绳（等电位联结体）等外部组件进行除锈处理；</w:t>
      </w:r>
    </w:p>
    <w:p w14:paraId="16BD397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（6）认真填写每半年运行维护记录表。</w:t>
      </w:r>
    </w:p>
    <w:p w14:paraId="4314497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4.1.6每年工作要求</w:t>
      </w:r>
    </w:p>
    <w:p w14:paraId="4074274D">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（1）对所有的仪器进行预防性维护，按说明书要求更换备件；</w:t>
      </w:r>
    </w:p>
    <w:p w14:paraId="1ABD05F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（2）更换所有泵组件；</w:t>
      </w:r>
    </w:p>
    <w:p w14:paraId="05244140">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（3）认真填写每年运行维护记录表；</w:t>
      </w:r>
    </w:p>
    <w:p w14:paraId="1D1C41D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（4）需提供计量部门出具的质控仪器计量认证证书。</w:t>
      </w:r>
    </w:p>
    <w:p w14:paraId="08B3B24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4.1.7日常运行维护记录</w:t>
      </w:r>
    </w:p>
    <w:p w14:paraId="4A58678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应建立空气站维护档案，将空气站的运行过程和运行事件进行详细记录，并进行归档管理。日常运维中使用运行管理相关记录至少应包括：</w:t>
      </w:r>
    </w:p>
    <w:p w14:paraId="34AAE3E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（1）空气站运行维护记录；</w:t>
      </w:r>
    </w:p>
    <w:p w14:paraId="6CAD7DD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（2）颗粒物监测仪校准检查记录；</w:t>
      </w:r>
    </w:p>
    <w:p w14:paraId="2F4160E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（3）气态监测仪校准检查记录；</w:t>
      </w:r>
    </w:p>
    <w:p w14:paraId="48BCFCB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（4）空气自动监测系统仪器设备维修记录；</w:t>
      </w:r>
    </w:p>
    <w:p w14:paraId="4351AE6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（5）空气自动监测系统备品备件管理记录；</w:t>
      </w:r>
    </w:p>
    <w:p w14:paraId="6F3C64EA">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（6）空气站主要消耗耗材使用记录；</w:t>
      </w:r>
    </w:p>
    <w:p w14:paraId="5EBF64D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（7）标准物质使用记录；</w:t>
      </w:r>
    </w:p>
    <w:p w14:paraId="074274A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（8）多点线性校准表格；</w:t>
      </w:r>
    </w:p>
    <w:p w14:paraId="6E1321C8">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（9）空气站机柜内外环境检查记录；</w:t>
      </w:r>
    </w:p>
    <w:p w14:paraId="566DB05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（10）空气自动监测系统仪器资料保管清单。</w:t>
      </w:r>
    </w:p>
    <w:p w14:paraId="1990DFB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投标人须在投标文件中提供以上记录表格。</w:t>
      </w:r>
    </w:p>
    <w:p w14:paraId="283D4AC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4.1.8其他要求</w:t>
      </w:r>
    </w:p>
    <w:p w14:paraId="798FB6C9">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（1）运维所使用耗材、备件要求为原厂耗材及备件；</w:t>
      </w:r>
    </w:p>
    <w:p w14:paraId="35E24FE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（2）应及时制定每月工作计划，并严格按计划执行，若有变更及时通知采购人；</w:t>
      </w:r>
    </w:p>
    <w:p w14:paraId="416DFF5E">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（3）运维单位需保证满足环保部门对仪器设备故障的响应时间的要求，当仪器设备每日6时～23时出现故障，应在1小时内响应，</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zh-CN" w:eastAsia="zh-CN"/>
        </w:rPr>
        <w:t>小时内到达现场解决（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0682C38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（4）严禁擅自改变采样管路连接方式和更改仪器参数设置；</w:t>
      </w:r>
    </w:p>
    <w:p w14:paraId="4D85624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（5）运维单位须每月5日前提交各站点上一月的运维记录纸质表格记录至采购人。</w:t>
      </w:r>
    </w:p>
    <w:p w14:paraId="4399CD64">
      <w:pPr>
        <w:adjustRightInd w:val="0"/>
        <w:spacing w:line="360" w:lineRule="auto"/>
        <w:ind w:firstLine="480" w:firstLineChars="200"/>
        <w:textAlignment w:val="baseline"/>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zh-CN"/>
        </w:rPr>
        <w:t>（6）运维服务期内，</w:t>
      </w:r>
      <w:r>
        <w:rPr>
          <w:rFonts w:hint="eastAsia" w:ascii="宋体" w:hAnsi="宋体" w:eastAsia="宋体" w:cs="宋体"/>
          <w:color w:val="auto"/>
          <w:szCs w:val="24"/>
          <w:highlight w:val="none"/>
          <w:lang w:val="en-US" w:eastAsia="zh-CN"/>
        </w:rPr>
        <w:t>承担采购人要求的相关迁站任务（不超过3站）。</w:t>
      </w:r>
    </w:p>
    <w:p w14:paraId="0BCD4C9F">
      <w:pPr>
        <w:pStyle w:val="11"/>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 质量控制要求</w:t>
      </w:r>
    </w:p>
    <w:p w14:paraId="7C05C693">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中标人需认真落实质量管理制度，做好相应记录。</w:t>
      </w:r>
    </w:p>
    <w:p w14:paraId="5666BC4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4.2.1量值溯源要求</w:t>
      </w:r>
    </w:p>
    <w:p w14:paraId="7F68062F">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将运维所使用的流量计、温度计、气压计、湿度计等标准质控器具溯源到标准设备，由省级（含）以上计量院出具鉴定报告；将运维所使用的臭氧工作标准向国家总站指定或认可的标准进行溯源，性能指标均应符合要求。</w:t>
      </w:r>
    </w:p>
    <w:p w14:paraId="73FCCD9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4.2.2日常质量控制要求</w:t>
      </w:r>
    </w:p>
    <w:p w14:paraId="4D0B341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分析仪在以下情况下需进行校准：</w:t>
      </w:r>
    </w:p>
    <w:p w14:paraId="1D5BF24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（1）安装时；</w:t>
      </w:r>
    </w:p>
    <w:p w14:paraId="4DCB83D7">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（2）移动位置时；</w:t>
      </w:r>
    </w:p>
    <w:p w14:paraId="59E4D7C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（3）进行可能影响校准结果的维修或维护后；</w:t>
      </w:r>
    </w:p>
    <w:p w14:paraId="115AA185">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（4）监测仪暂停工作一段时间后；</w:t>
      </w:r>
    </w:p>
    <w:p w14:paraId="469EDBBB">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（5）有迹象表明监测仪工作不正常或校准结果出现变化；</w:t>
      </w:r>
    </w:p>
    <w:p w14:paraId="1EE7456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（6）超过国家规范或本方案要求的校准周期或校准要求的。</w:t>
      </w:r>
    </w:p>
    <w:p w14:paraId="2B1DDEF1">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4.2.3质量检查</w:t>
      </w:r>
    </w:p>
    <w:p w14:paraId="431662A1">
      <w:pPr>
        <w:pStyle w:val="11"/>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运维单位必须接受</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及其委托单位和人员的质量检查。</w:t>
      </w:r>
    </w:p>
    <w:p w14:paraId="6FA0E06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4.2.4质量控制资料整理</w:t>
      </w:r>
    </w:p>
    <w:p w14:paraId="65EA0A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b w:val="0"/>
          <w:bCs w:val="0"/>
          <w:color w:val="auto"/>
          <w:sz w:val="24"/>
          <w:szCs w:val="24"/>
          <w:highlight w:val="none"/>
          <w:lang w:val="zh-CN" w:eastAsia="zh-CN"/>
        </w:rPr>
        <w:t>各种技术与质量文件均保持现行有效，可根据管理需要进行调整或修订。以纸质表格的形式，将巡检记录、维修维护记录、日常检查等质量保证与质量控制记录按要求及时进行填写。</w:t>
      </w:r>
    </w:p>
    <w:p w14:paraId="2FF88A0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4.2.5质量控制资料提交</w:t>
      </w:r>
    </w:p>
    <w:p w14:paraId="3E1E5C1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运维单位须每月5日前将各站点上一月的质控记录的纸质表格提交至采购人。</w:t>
      </w:r>
    </w:p>
    <w:p w14:paraId="3BE16C3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 系统设备维修要求</w:t>
      </w:r>
    </w:p>
    <w:p w14:paraId="792F790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4.3.1维修更换工作要求</w:t>
      </w:r>
    </w:p>
    <w:p w14:paraId="1E5B91D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运维单位负责系统所有设备和仪器的维护、维修和部件更换。</w:t>
      </w:r>
    </w:p>
    <w:p w14:paraId="106C9D6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4.3.2设备维修质量控制要求</w:t>
      </w:r>
    </w:p>
    <w:p w14:paraId="2847C97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监测仪器修复后，当其监测性能受到影响时，采用关键参数检查、标气测定、颗粒物流量测定、标准膜测试、标准样品测试或手工比对等方法进行测试；修复后的仪器应经质控实验室校核。</w:t>
      </w:r>
    </w:p>
    <w:p w14:paraId="5B86412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仪器大修后，气态监测仪应按顺序开展零点漂移和量程漂移测试、精密度及准确度测试、多点线性测试；颗粒物监测设备应开展手工比对测试，测试应严格按照《环境空气颗粒物（PM10和PM2.5）连续自动监测系统运行和质控技术规范》（HJ 817-2018）中准确度审核要求实施，并遵守《环境空气颗粒物（PM2.5）手工监测方法（重量法）技术规范》（HJ656－2013）、《环境空气中PM10和PM2.5的测定 重量法》（HJ618－2011）和《环境空气质量手工监测技术规范》（HJ 194-2017）等相关规范要求，同时提交相应报告。</w:t>
      </w:r>
    </w:p>
    <w:p w14:paraId="08F3674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4.4机构、人员、车辆、设备配备及技术标准要求</w:t>
      </w:r>
    </w:p>
    <w:p w14:paraId="75E686C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4.4.1机构配备要求</w:t>
      </w:r>
    </w:p>
    <w:p w14:paraId="1AC4F45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39个空气站分布于西安市39个街办、乡镇、工业园，点多面广，为提高运维效率，运维单位应至少设立2个运维办事处及1个质控实验室，运维办事处主要用于运维人员办公（统计分析数据、制作运维计划、上报运维报告等）及存放器材；质控实验室用于对监测仪器和设备进行量值传递、校准和性能审核，并对检修后的监测仪器和设备进行核准和性能测试。</w:t>
      </w:r>
    </w:p>
    <w:p w14:paraId="1657EE5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实验室基本要求：</w:t>
      </w:r>
    </w:p>
    <w:p w14:paraId="7C657EF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（1）实验室大小应能保证操作人员正常工作；</w:t>
      </w:r>
    </w:p>
    <w:p w14:paraId="2C8D62D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（2）应采用密封窗结构，并设置缓冲间，防止灰尘和泥土进入实验室；</w:t>
      </w:r>
    </w:p>
    <w:p w14:paraId="2739AB79">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（3）应安装温度和湿度控制设备，使实验室温度控制在25℃±5℃范围内，相对湿度控制在80%以下；</w:t>
      </w:r>
    </w:p>
    <w:p w14:paraId="1F61C7E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（4）供电电源电压为220V，电压波动不能超过±10%。实验室供电系统应配有电源过压、过载和漏电保护装置，实验室要有良好的接地线路，接地电阻≤4Ω；</w:t>
      </w:r>
    </w:p>
    <w:p w14:paraId="237AA0E9">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（5）应配置良好的通风设备和废气排出口，保持室内空气清洁；</w:t>
      </w:r>
    </w:p>
    <w:p w14:paraId="22F5894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（6）应至少配备质控用六参数监测仪、臭氧传递标准、标定用流量计。</w:t>
      </w:r>
    </w:p>
    <w:p w14:paraId="0116958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4.4.2人员配备要求</w:t>
      </w:r>
    </w:p>
    <w:p w14:paraId="1F8A5EA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运维单位应保证配备的运维技术人员数量与其负责日常维护的站点数量比值不低于1/4。</w:t>
      </w:r>
    </w:p>
    <w:p w14:paraId="10FE905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运行维护单位投入本项目的现场站点运维人员须取得省级及以上相关部门颁发的空气站自动监测培训合格证。</w:t>
      </w:r>
    </w:p>
    <w:p w14:paraId="4B21E97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选派至少1名专职工作人员在我中心指定办公地点进行小型站的运维管理（数据审核，运维调度）。在我中心指定地点进行小型站运维管理的工作人员应接受我中心管理，我中心有权要求撤换不符合运维管理要求的工作人员。运维单位应至少安排2名人员进行空气站质控管理，配合采购人进行检查考。</w:t>
      </w:r>
    </w:p>
    <w:p w14:paraId="475C75F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4.4.3车辆配置要求</w:t>
      </w:r>
    </w:p>
    <w:p w14:paraId="7A65689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运维单位应保证配备的运维保障车辆数量与负责日常维护的站点数量比值不低于1/8，其中应包含：</w:t>
      </w:r>
    </w:p>
    <w:p w14:paraId="7D6F22D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运维巡检用车：主要用于站点的日常巡查维护、备件耗材运输、工具运输；</w:t>
      </w:r>
    </w:p>
    <w:p w14:paraId="07FD060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质控用车：主要用于各种计量器具、质控器具的检定运输，臭氧分析仪的标准传递及标准溯源；</w:t>
      </w:r>
    </w:p>
    <w:p w14:paraId="0BA8E67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应急用车：主要用于子站的应急故障处理及车辆维修保养的轮换等。</w:t>
      </w:r>
    </w:p>
    <w:p w14:paraId="56B6AFB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4.4.4备机配置要求</w:t>
      </w:r>
    </w:p>
    <w:p w14:paraId="4F466FC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（1）运维单位须配置不少于4套备机满足运维需求。</w:t>
      </w:r>
    </w:p>
    <w:p w14:paraId="29ADF21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（2）运维单位需为本项目配备1套工控机、1套路由设备。</w:t>
      </w:r>
    </w:p>
    <w:p w14:paraId="0332388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4.4.5备件配置需求</w:t>
      </w:r>
    </w:p>
    <w:p w14:paraId="1BEE7C6D">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运维单位应按不少于半年的使用量配置运维所需备件（原厂）。备件应做好出入库登记，在备件使用过程中，要遵循先备先用的原则。</w:t>
      </w:r>
    </w:p>
    <w:p w14:paraId="0F58759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本项目涉及备件包括但不限于以下内容：</w:t>
      </w:r>
    </w:p>
    <w:p w14:paraId="0AF7664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（1）PM10分析仪备品备件：检测器、前置放大器、光电开关板、流量控制器、颗粒物加热杆、采样泵、24V电源、检测室密封膜、高压模块、开关电源、输入滤波器、保险管等；</w:t>
      </w:r>
    </w:p>
    <w:p w14:paraId="4BB40BA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（2）PM2.5分析仪备品备件：检测器、前置放大器、光电开关板、流量控制器、颗粒物加热杆、采样泵、24V电源、检测室密封膜、高压模块、开关电源、输入滤波器、保险管等；</w:t>
      </w:r>
    </w:p>
    <w:p w14:paraId="103C5BB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O3分析仪备品备件：检测器、24VDC风扇、臭氧灯、内置泵、臭氧剔除器、输入滤波器、流量传感器、压力传感器、24V电源、毛细管、采样支管保温棉套（防止支管内样气因温差产生冷凝水损坏分析仪）、A/B电磁阀、保险管等；</w:t>
      </w:r>
    </w:p>
    <w:p w14:paraId="59B07FC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CO分析仪备品备件：毛细管、相关轮、红外源、相关轮电机、接口板、红外源固定支架、传感器、加热器板组件、光学开关、入口镜、出口镜、风扇电源线、检测器、泵、24VD风扇、压力传感器、输入滤波器、保险丝座、主板、24V开关电源、流量传感器、显示屏、压力传感器等；</w:t>
      </w:r>
    </w:p>
    <w:p w14:paraId="3624D7A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NOx分析仪备品备件：毛细管、臭氧发生器、接口板、光电倍增管、温控板、冷堆、模式电磁阀（三通）、流量开关、臭氧去除器、二氧化硅过滤器（臭氧清洁柱）、钼炉、臭氧变压器、保险丝2A、变压器、光电倍增管，反应室，冷堆组件、输入板保险丝2A、输入板、I/O扩展板、模拟量输出板、高压供电包、反应室毛细管O圈小、反应室毛细管O圈大、固定反应室9454侧的三个大六方螺丝（1个）、反应室9454内侧密封O圈、白色玻璃、红色玻璃、密封垫圈、红色玻璃内侧o圈、钼转换器芯、反应室（冷堆一侧）、反应室（转化炉一侧）、泵、24VD风扇、压力传感器、输入滤波器、保险丝座、主板、24V开关电源、流量传感器、显示屏、压力传感器等；</w:t>
      </w:r>
    </w:p>
    <w:p w14:paraId="35CDDFB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SO2分析仪备品备件：保险丝1.6A、毛细管、紫外灯、程序版、棱镜组、紫外灯座、光电倍增管、碳氢切割器/祛除器、接口板、泵、24VD风扇、压力传感器、输入滤波器、保险丝座、主板、24V开关电源、流量传感器、显示屏、压力传感器等；</w:t>
      </w:r>
    </w:p>
    <w:p w14:paraId="367C8F3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（7）其他备品备件：显示器、工控机主板、空调电机、空调主板、稳压器、温控仪、电表、空开、浪涌保护器、插线板、机柜内节能灯管、监控硬盘机、监控球机、监控设备电源适配器等。</w:t>
      </w:r>
    </w:p>
    <w:p w14:paraId="55076F6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4.4.6耗材配置要求</w:t>
      </w:r>
    </w:p>
    <w:p w14:paraId="0C8F10D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运维单位应按不少于半年的消耗量配置运维所需耗材（原厂）。耗材应做好出入库登记，在耗材使用过程中，要遵循先备先用的原则。</w:t>
      </w:r>
    </w:p>
    <w:p w14:paraId="0F2548E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本项目涉及耗材包括但不限于以下内容：</w:t>
      </w:r>
    </w:p>
    <w:p w14:paraId="7FBBA51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（1）PM10分析仪：纸带、O型圈、泵维护包等；</w:t>
      </w:r>
    </w:p>
    <w:p w14:paraId="3069260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（2）PM2.5分析仪：纸带、O型圈、泵维护包等；</w:t>
      </w:r>
    </w:p>
    <w:p w14:paraId="31668F4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（3）O3分析仪：粒子过滤膜、臭氧剔除器、O型圈、泵膜、采样支管及一次性连接件等；</w:t>
      </w:r>
    </w:p>
    <w:p w14:paraId="68396C4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（4）CO分析仪：气路接口处密封圈、接头、滤膜、聚四氟乙烯采样支管、标准钢气瓶等；</w:t>
      </w:r>
    </w:p>
    <w:p w14:paraId="38EBDC8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（5）NOx分析仪：气路接口处密封圈、接头、滤膜、聚四氟乙烯采样支管、标准钢气瓶等；</w:t>
      </w:r>
    </w:p>
    <w:p w14:paraId="410B70F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（6）SO2分析仪：气路接口处密封圈、接头、滤膜、聚四氟乙烯采样支管、标准钢气瓶等。</w:t>
      </w:r>
    </w:p>
    <w:p w14:paraId="5372295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（7）其他耗材：中性透明玻璃胶、不锈钢除锈剂等。</w:t>
      </w:r>
    </w:p>
    <w:p w14:paraId="72A1445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4.4.7设备维修质量控制配置要求</w:t>
      </w:r>
    </w:p>
    <w:p w14:paraId="4ECD50A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运维单位须配备必要的质量控制设备：</w:t>
      </w:r>
    </w:p>
    <w:p w14:paraId="756A2A7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（1）至少每8个站点配备1套流量计、1台一级压力计、1台一级温湿度计；</w:t>
      </w:r>
    </w:p>
    <w:p w14:paraId="62F5DCD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（2）至少每8个站点配备一台臭氧校准仪（另需配置3台溯源为三级或三级以上标准）；</w:t>
      </w:r>
    </w:p>
    <w:p w14:paraId="230C81C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（3）至少每8个子站配备一套Thermo 5014i标准膜片（用于颗粒物分析仪标准膜标定检查校准）；</w:t>
      </w:r>
    </w:p>
    <w:p w14:paraId="1568746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运维单位应将运维所使用的流量计、温度计、气压计、湿度计等标准质控器具溯源到标准设备，由省级（含）以上计量院出具鉴定报告；将运维所使用的臭氧工作标准向我中心指定或认可的标准进行溯源，性能指标均应符合要求。</w:t>
      </w:r>
    </w:p>
    <w:p w14:paraId="059C428F">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4.4.8空气质量连续监测（AQMS）技术服务遵循的标准及规范</w:t>
      </w:r>
    </w:p>
    <w:p w14:paraId="0DACF9F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w:t>
      </w:r>
    </w:p>
    <w:p w14:paraId="1986118C">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《环境监测质量管理技术导则》（HJ 630-2011）；</w:t>
      </w:r>
    </w:p>
    <w:p w14:paraId="1025654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《环境空气颗粒物（PM10和PM2.5）连续自动监测系统安装和验收技术规范》（HJ 655-2013）；</w:t>
      </w:r>
    </w:p>
    <w:p w14:paraId="2E91893D">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《环境空气颗粒物（PM10和PM2.5）连续自动监测系统技术要求及检测方法》（HJ 653-2013）；</w:t>
      </w:r>
    </w:p>
    <w:p w14:paraId="00800BD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《环境空气颗粒物（PM10和PM2.5）连续自动监测系统运行和质控技术规范》（HJ 817-2018）；</w:t>
      </w:r>
    </w:p>
    <w:p w14:paraId="6F289E0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《环境空气气态污染物（SO2、NO2、O3、CO）连续自动监测系统安装验收技术规范》（HJ 193-2013）；</w:t>
      </w:r>
    </w:p>
    <w:p w14:paraId="253C4ED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《环境空气气态污染物（SO2、NO2、O3、CO）连续自动监测系统技术要求及检测方法》（HJ 654-2013）；</w:t>
      </w:r>
    </w:p>
    <w:p w14:paraId="0E4FE18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《环境空气气态污染物（SO2、NO2、O3、CO）连续自动监测系统运行和质控技术规范》（HJ 818-2018）；</w:t>
      </w:r>
    </w:p>
    <w:p w14:paraId="143D13A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《环境空气质量手工监测技术规范》（HJ 194-2017）；</w:t>
      </w:r>
    </w:p>
    <w:p w14:paraId="19F5F13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《环境空气颗粒物（PM2.5）手工监测方法（重量法）技术规范》（HJ 656-2013）；</w:t>
      </w:r>
    </w:p>
    <w:p w14:paraId="298917C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《环境空气质量评价技术规范（试行）》（HJ 663-2013）；</w:t>
      </w:r>
    </w:p>
    <w:p w14:paraId="199487C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《环境空气质量指数（AQI）技术规定（试行）》（HJ 633-2012）；</w:t>
      </w:r>
    </w:p>
    <w:p w14:paraId="6A3AE44F">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《环境空气PM10和PM2.5的测定 重量法》（HJ 618－2011）。</w:t>
      </w:r>
    </w:p>
    <w:p w14:paraId="1EBF527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其他规范及要求：中华人民共和国环境保护行业标准中规定的涉及空气质量连续自动监测内容的要求；生态环境部印发《城市环境空气质量排名技术规定》；省级环保部门的管理要求和工作要求；市级环保部门的管理要求和工作要求。</w:t>
      </w:r>
    </w:p>
    <w:p w14:paraId="52ECE69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5.空气站交接内容</w:t>
      </w:r>
    </w:p>
    <w:p w14:paraId="74CC026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5.1勘查安装现场</w:t>
      </w:r>
    </w:p>
    <w:p w14:paraId="57EC817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对所有设备安装现场进行勘察，通过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69E72EC0">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5.2完善设备资料</w:t>
      </w:r>
    </w:p>
    <w:p w14:paraId="623C72C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空气自动监测设备的现场资料，主要有：设备的中文说明书、维护手册、技术图纸、国家认证检测报告与合格证（复印件）、设备自带的软件备份、安装厂家的调试报告。</w:t>
      </w:r>
    </w:p>
    <w:p w14:paraId="13EBBCA4">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5.3设备检修调试</w:t>
      </w:r>
    </w:p>
    <w:p w14:paraId="7DA7C82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根据国家相关标准，对已安装的自动监测设备进行调试，并对各个主要技术指标进行检测，检测结果必须符合国家相关标准要求。</w:t>
      </w:r>
    </w:p>
    <w:p w14:paraId="186A352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5.4调取运行数据</w:t>
      </w:r>
    </w:p>
    <w:p w14:paraId="338D8B4C">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运维单位在设备安装现场将调取设备运行前一个月连续的历史数据，分析并判断数据能否正确反映当地实际监测状况，从而判断设备是否工作正常。</w:t>
      </w:r>
    </w:p>
    <w:p w14:paraId="5F17FB4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5.5接收运行设备</w:t>
      </w:r>
    </w:p>
    <w:p w14:paraId="0EEA53D9">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若自动监测设备运行正常、测试结果符合要求，运维单位将在现场重新启动自动监测设备，如果能够继续正常工作，运维单位将正式接收自动监测设备。</w:t>
      </w:r>
    </w:p>
    <w:p w14:paraId="4259600D">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5.6建立设备档案</w:t>
      </w:r>
    </w:p>
    <w:p w14:paraId="17F3EA6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根据勘察情况、设备测试数据和测试结果，运维单位将对每套空气自动监测设备建立一个单独的档案，将每次维护的表格都存在这个档案中。在运维移交时，将这些设备档案交给后续的运维单位。</w:t>
      </w:r>
    </w:p>
    <w:p w14:paraId="36776C7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6.监督考核要求</w:t>
      </w:r>
    </w:p>
    <w:p w14:paraId="77FDBB3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每月对运维单位绩效考核一次，考核采取百分制、单站考核的方式，主要包括单个站点数据有效性、监测数据捕获率、数据有效率（以下简称“两率”）以及运行维护的内容。</w:t>
      </w:r>
    </w:p>
    <w:p w14:paraId="79E95AE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6.1 考核办法</w:t>
      </w:r>
    </w:p>
    <w:p w14:paraId="0A540FDC">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监测数据捕获率指考核时段内各监测项目实际获取的小时值监测数据量总和除以应获得小时值数据量总和。</w:t>
      </w:r>
    </w:p>
    <w:p w14:paraId="78887D6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数据有效率指考核时段内各监测项目实际获取的质控合格的小时值监测数据量总和除以应获得小时值数据量总和。</w:t>
      </w:r>
    </w:p>
    <w:p w14:paraId="787F8EA8">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每日各项目应获得小时值数据量均按24个计，考核时段天数按考核时段内日历天数计。</w:t>
      </w:r>
    </w:p>
    <w:p w14:paraId="39C8C60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（1）数据有效性：</w:t>
      </w:r>
    </w:p>
    <w:p w14:paraId="56D6E65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中规定的污染物浓度数据有效性的最低要求，否则考核总分为0分；</w:t>
      </w:r>
    </w:p>
    <w:p w14:paraId="596E1D5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单站设备数据捕获率必须高于90%（含），否则不予支付运维费用；单站设备数据有效率必须高于80%（含），否则不予支付运维费用。</w:t>
      </w:r>
    </w:p>
    <w:p w14:paraId="597BD794">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（2）两率及运行维护：</w:t>
      </w:r>
    </w:p>
    <w:p w14:paraId="11E6D27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符合数据有效性要求后，参照本部分执行：</w:t>
      </w:r>
    </w:p>
    <w:p w14:paraId="095E7E44">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1）两率部分（60分）</w:t>
      </w:r>
    </w:p>
    <w:p w14:paraId="084667A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单站监测数据有效率高于90%（含）的，得60分；80%（含）-90%的，得分为60×（数据有效率/90%）。</w:t>
      </w:r>
    </w:p>
    <w:p w14:paraId="02E79B4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2）运行维护部分（30分）</w:t>
      </w:r>
    </w:p>
    <w:p w14:paraId="0A694D6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行维护部分由采购人组织检查考核，每月抽10%至20%站点进行运行维护部分现场检查，以现场检查得分平均分计为所有站点本月运行维护部分得分。检查内容包括站点环境保障效果、采样系统维护效果、仪器日常维护效果、质量控制效果、通讯系统维护效果（数据上传发布情况）、人员与档案记录管理情况等。</w:t>
      </w:r>
    </w:p>
    <w:p w14:paraId="186E920A">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检查满分100分，运维得分=检查得分×0.3分。</w:t>
      </w:r>
    </w:p>
    <w:p w14:paraId="289FEEF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3）运维任务完成及异常情况处理情况（10分）</w:t>
      </w:r>
    </w:p>
    <w:p w14:paraId="5DD4DFE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单站运维任务完成率100%，并且站点异常情况处理率达100%的，得10分；两项未达100%的，得分为10×（任务完成及异常情况处理率/100%）。</w:t>
      </w:r>
    </w:p>
    <w:p w14:paraId="10C25E2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4）考核总分（100分）</w:t>
      </w:r>
    </w:p>
    <w:p w14:paraId="015A1B3D">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考核总分=两率得分+运维得分+任务完成及异常情况处理得分。</w:t>
      </w:r>
    </w:p>
    <w:p w14:paraId="65E5B0AA">
      <w:pPr>
        <w:spacing w:line="360" w:lineRule="auto"/>
        <w:rPr>
          <w:rFonts w:hint="eastAsia" w:ascii="宋体" w:hAnsi="宋体" w:eastAsia="宋体" w:cs="宋体"/>
          <w:color w:val="auto"/>
          <w:sz w:val="32"/>
          <w:szCs w:val="32"/>
          <w:highlight w:val="none"/>
        </w:rPr>
        <w:sectPr>
          <w:footerReference r:id="rId3" w:type="default"/>
          <w:pgSz w:w="11907" w:h="16840"/>
          <w:pgMar w:top="1247" w:right="1247" w:bottom="1213" w:left="1247" w:header="851" w:footer="680" w:gutter="0"/>
          <w:pgNumType w:fmt="decimal" w:start="1"/>
          <w:cols w:space="720" w:num="1"/>
          <w:docGrid w:linePitch="312" w:charSpace="0"/>
        </w:sectPr>
      </w:pPr>
    </w:p>
    <w:p w14:paraId="78918641">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西安市镇（街）环境空气自动监测子站运维现场检查评分表</w:t>
      </w:r>
    </w:p>
    <w:p w14:paraId="571902B4">
      <w:pPr>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站点所在地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区（县/管委会）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街办（镇/园办）                                   </w:t>
      </w:r>
      <w:r>
        <w:rPr>
          <w:rFonts w:hint="eastAsia" w:ascii="宋体" w:hAnsi="宋体" w:eastAsia="宋体" w:cs="宋体"/>
          <w:b/>
          <w:color w:val="auto"/>
          <w:sz w:val="24"/>
          <w:szCs w:val="24"/>
          <w:highlight w:val="none"/>
        </w:rPr>
        <w:t>监测子站名称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334DB1AC">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检查日期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w:t>
      </w:r>
    </w:p>
    <w:tbl>
      <w:tblPr>
        <w:tblStyle w:val="7"/>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793"/>
        <w:gridCol w:w="851"/>
        <w:gridCol w:w="5670"/>
        <w:gridCol w:w="2212"/>
        <w:gridCol w:w="623"/>
      </w:tblGrid>
      <w:tr w14:paraId="1FF7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7D4AC03F">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B4501D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851" w:type="dxa"/>
            <w:tcBorders>
              <w:top w:val="single" w:color="auto" w:sz="4" w:space="0"/>
              <w:left w:val="single" w:color="auto" w:sz="4" w:space="0"/>
              <w:bottom w:val="single" w:color="auto" w:sz="4" w:space="0"/>
              <w:right w:val="single" w:color="auto" w:sz="4" w:space="0"/>
            </w:tcBorders>
            <w:vAlign w:val="center"/>
          </w:tcPr>
          <w:p w14:paraId="51FA027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w:t>
            </w:r>
          </w:p>
          <w:p w14:paraId="691C00D9">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5670" w:type="dxa"/>
            <w:tcBorders>
              <w:top w:val="single" w:color="auto" w:sz="4" w:space="0"/>
              <w:left w:val="single" w:color="auto" w:sz="4" w:space="0"/>
              <w:bottom w:val="single" w:color="auto" w:sz="4" w:space="0"/>
              <w:right w:val="single" w:color="auto" w:sz="4" w:space="0"/>
            </w:tcBorders>
            <w:vAlign w:val="center"/>
          </w:tcPr>
          <w:p w14:paraId="0131086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212" w:type="dxa"/>
            <w:tcBorders>
              <w:top w:val="single" w:color="auto" w:sz="4" w:space="0"/>
              <w:left w:val="single" w:color="auto" w:sz="4" w:space="0"/>
              <w:bottom w:val="single" w:color="auto" w:sz="4" w:space="0"/>
              <w:right w:val="single" w:color="auto" w:sz="4" w:space="0"/>
            </w:tcBorders>
            <w:vAlign w:val="center"/>
          </w:tcPr>
          <w:p w14:paraId="0530D035">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623" w:type="dxa"/>
            <w:tcBorders>
              <w:top w:val="single" w:color="auto" w:sz="4" w:space="0"/>
              <w:left w:val="single" w:color="auto" w:sz="4" w:space="0"/>
              <w:bottom w:val="single" w:color="auto" w:sz="4" w:space="0"/>
              <w:right w:val="single" w:color="auto" w:sz="4" w:space="0"/>
            </w:tcBorders>
            <w:vAlign w:val="center"/>
          </w:tcPr>
          <w:p w14:paraId="4D14CFCF">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2FA5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0999FACB">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7079401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376FA50E">
            <w:pPr>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1780290">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64CBE6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6A26221C">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站点内部干净，无灰尘；</w:t>
            </w:r>
          </w:p>
          <w:p w14:paraId="3B236464">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站点物品摆放整齐；无明显异味；</w:t>
            </w:r>
          </w:p>
          <w:p w14:paraId="3EC99B56">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仪器电源线路、气体线路规整；</w:t>
            </w:r>
          </w:p>
          <w:p w14:paraId="0C5EAC00">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站点内部没有无关的设备及杂物。</w:t>
            </w:r>
          </w:p>
          <w:p w14:paraId="49AD6CBC">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爬梯及防护栏满足安全需求，无破损；</w:t>
            </w:r>
          </w:p>
          <w:p w14:paraId="2479F59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备注：若①③⑤任一项不满足扣5分；其他项不满足扣除2分，扣分上限为单项分值。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2B4B333">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8ED19FE">
            <w:pPr>
              <w:ind w:left="330"/>
              <w:jc w:val="left"/>
              <w:rPr>
                <w:rFonts w:hint="eastAsia" w:ascii="宋体" w:hAnsi="宋体" w:eastAsia="宋体" w:cs="宋体"/>
                <w:color w:val="auto"/>
                <w:sz w:val="21"/>
                <w:szCs w:val="21"/>
                <w:highlight w:val="none"/>
              </w:rPr>
            </w:pPr>
          </w:p>
        </w:tc>
      </w:tr>
      <w:tr w14:paraId="602D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2A36E6E1">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73422BA">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851" w:type="dxa"/>
            <w:tcBorders>
              <w:top w:val="single" w:color="auto" w:sz="4" w:space="0"/>
              <w:left w:val="single" w:color="auto" w:sz="4" w:space="0"/>
              <w:bottom w:val="single" w:color="auto" w:sz="4" w:space="0"/>
              <w:right w:val="single" w:color="auto" w:sz="4" w:space="0"/>
            </w:tcBorders>
            <w:vAlign w:val="center"/>
          </w:tcPr>
          <w:p w14:paraId="387AEC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6B0CF8E1">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站点配有温湿度计；</w:t>
            </w:r>
          </w:p>
          <w:p w14:paraId="0372AAC7">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箱内温满足25±5℃；</w:t>
            </w:r>
          </w:p>
          <w:p w14:paraId="425B1AF7">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箱内湿度满足≤80%。</w:t>
            </w:r>
          </w:p>
          <w:p w14:paraId="3CD6F65A">
            <w:p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备注：不满足①扣3分；其他项不满足扣除2分，扣分上限为单项分值。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6F9DF188">
            <w:pP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温度计：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RH</w:t>
            </w:r>
          </w:p>
          <w:p w14:paraId="0F59F7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温控模块：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94BC2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总管侧空调：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AE70A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另一侧空调：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tc>
        <w:tc>
          <w:tcPr>
            <w:tcW w:w="623" w:type="dxa"/>
            <w:tcBorders>
              <w:top w:val="single" w:color="auto" w:sz="4" w:space="0"/>
              <w:left w:val="single" w:color="auto" w:sz="4" w:space="0"/>
              <w:bottom w:val="single" w:color="auto" w:sz="4" w:space="0"/>
              <w:right w:val="single" w:color="auto" w:sz="4" w:space="0"/>
            </w:tcBorders>
            <w:vAlign w:val="center"/>
          </w:tcPr>
          <w:p w14:paraId="753182A7">
            <w:pPr>
              <w:ind w:left="-360" w:leftChars="-150"/>
              <w:jc w:val="left"/>
              <w:rPr>
                <w:rFonts w:hint="eastAsia" w:ascii="宋体" w:hAnsi="宋体" w:eastAsia="宋体" w:cs="宋体"/>
                <w:color w:val="auto"/>
                <w:spacing w:val="-2"/>
                <w:sz w:val="21"/>
                <w:szCs w:val="21"/>
                <w:highlight w:val="none"/>
              </w:rPr>
            </w:pPr>
          </w:p>
        </w:tc>
      </w:tr>
      <w:tr w14:paraId="6066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3B0D7A8">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7175635">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防水、防雷、供电、摄像是否满足运行要求，其他基础设施是否满足监测要求</w:t>
            </w:r>
          </w:p>
        </w:tc>
        <w:tc>
          <w:tcPr>
            <w:tcW w:w="851" w:type="dxa"/>
            <w:tcBorders>
              <w:top w:val="single" w:color="auto" w:sz="4" w:space="0"/>
              <w:left w:val="single" w:color="auto" w:sz="4" w:space="0"/>
              <w:bottom w:val="single" w:color="auto" w:sz="4" w:space="0"/>
              <w:right w:val="single" w:color="auto" w:sz="4" w:space="0"/>
            </w:tcBorders>
            <w:vAlign w:val="center"/>
          </w:tcPr>
          <w:p w14:paraId="1DE27A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25431032">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防水满足要求，站点无漏水；</w:t>
            </w:r>
          </w:p>
          <w:p w14:paraId="729E1315">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防雷满足要求，有年度防雷检测报告；</w:t>
            </w:r>
          </w:p>
          <w:p w14:paraId="64FA86FE">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仪器用电满足要求；</w:t>
            </w:r>
          </w:p>
          <w:p w14:paraId="3E2463FF">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灭火器符合要求；</w:t>
            </w:r>
          </w:p>
          <w:p w14:paraId="6E904ABE">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空调运行正常，滤芯及时清理（每季度）；</w:t>
            </w:r>
          </w:p>
          <w:p w14:paraId="1E569F20">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监控系统正常运行，智慧环保平台能查看现场监控；</w:t>
            </w:r>
          </w:p>
          <w:p w14:paraId="2152DD2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BE53872">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FD63F8C">
            <w:pPr>
              <w:jc w:val="left"/>
              <w:rPr>
                <w:rFonts w:hint="eastAsia" w:ascii="宋体" w:hAnsi="宋体" w:eastAsia="宋体" w:cs="宋体"/>
                <w:color w:val="auto"/>
                <w:sz w:val="21"/>
                <w:szCs w:val="21"/>
                <w:highlight w:val="none"/>
              </w:rPr>
            </w:pPr>
          </w:p>
        </w:tc>
      </w:tr>
      <w:tr w14:paraId="2E03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19DF37FA">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2.采样系统维护效果（10分）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AE573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气态物</w:t>
            </w:r>
            <w:r>
              <w:rPr>
                <w:rFonts w:hint="eastAsia" w:ascii="宋体" w:hAnsi="宋体" w:eastAsia="宋体" w:cs="宋体"/>
                <w:color w:val="auto"/>
                <w:spacing w:val="-6"/>
                <w:sz w:val="21"/>
                <w:szCs w:val="21"/>
                <w:highlight w:val="none"/>
              </w:rPr>
              <w:t>采样总管和采样支管材质是否满足要求</w:t>
            </w:r>
          </w:p>
        </w:tc>
        <w:tc>
          <w:tcPr>
            <w:tcW w:w="851" w:type="dxa"/>
            <w:tcBorders>
              <w:top w:val="single" w:color="auto" w:sz="4" w:space="0"/>
              <w:left w:val="single" w:color="auto" w:sz="4" w:space="0"/>
              <w:bottom w:val="single" w:color="auto" w:sz="4" w:space="0"/>
              <w:right w:val="single" w:color="auto" w:sz="4" w:space="0"/>
            </w:tcBorders>
            <w:vAlign w:val="center"/>
          </w:tcPr>
          <w:p w14:paraId="60C8FE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2F71A439">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采样总管材质</w:t>
            </w:r>
            <w:r>
              <w:rPr>
                <w:rFonts w:hint="eastAsia" w:ascii="宋体" w:hAnsi="宋体" w:eastAsia="宋体" w:cs="宋体"/>
                <w:color w:val="auto"/>
                <w:spacing w:val="-6"/>
                <w:sz w:val="21"/>
                <w:szCs w:val="21"/>
                <w:highlight w:val="none"/>
              </w:rPr>
              <w:t>选用聚四氟乙烯或硼硅酸盐玻璃材料</w:t>
            </w:r>
            <w:r>
              <w:rPr>
                <w:rFonts w:hint="eastAsia" w:ascii="宋体" w:hAnsi="宋体" w:eastAsia="宋体" w:cs="宋体"/>
                <w:color w:val="auto"/>
                <w:sz w:val="21"/>
                <w:szCs w:val="21"/>
                <w:highlight w:val="none"/>
              </w:rPr>
              <w:t>；</w:t>
            </w:r>
          </w:p>
          <w:p w14:paraId="32E069B6">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采样支管材质选用聚四氟乙烯材料</w:t>
            </w:r>
            <w:r>
              <w:rPr>
                <w:rFonts w:hint="eastAsia" w:ascii="宋体" w:hAnsi="宋体" w:eastAsia="宋体" w:cs="宋体"/>
                <w:color w:val="auto"/>
                <w:sz w:val="21"/>
                <w:szCs w:val="21"/>
                <w:highlight w:val="none"/>
              </w:rPr>
              <w:t>；</w:t>
            </w:r>
          </w:p>
          <w:p w14:paraId="16275435">
            <w:pPr>
              <w:ind w:left="330"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备注：任一项不满足扣除1分，扣分上限为单项分值。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4C34347">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B5432F7">
            <w:pPr>
              <w:ind w:left="330" w:hanging="315" w:hangingChars="150"/>
              <w:jc w:val="left"/>
              <w:rPr>
                <w:rFonts w:hint="eastAsia" w:ascii="宋体" w:hAnsi="宋体" w:eastAsia="宋体" w:cs="宋体"/>
                <w:color w:val="auto"/>
                <w:sz w:val="21"/>
                <w:szCs w:val="21"/>
                <w:highlight w:val="none"/>
              </w:rPr>
            </w:pPr>
          </w:p>
        </w:tc>
      </w:tr>
      <w:tr w14:paraId="4B6C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0015486">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769E53C">
            <w:pPr>
              <w:numPr>
                <w:ilvl w:val="0"/>
                <w:numId w:val="6"/>
              </w:num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851" w:type="dxa"/>
            <w:tcBorders>
              <w:top w:val="single" w:color="auto" w:sz="4" w:space="0"/>
              <w:left w:val="single" w:color="auto" w:sz="4" w:space="0"/>
              <w:bottom w:val="single" w:color="auto" w:sz="4" w:space="0"/>
              <w:right w:val="single" w:color="auto" w:sz="4" w:space="0"/>
            </w:tcBorders>
            <w:vAlign w:val="center"/>
          </w:tcPr>
          <w:p w14:paraId="5438C82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104909DC">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颗粒物切割头无明显积灰/积水/障碍物，颗粒物采样管定期维护；</w:t>
            </w:r>
          </w:p>
          <w:p w14:paraId="6FF8E0FB">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采样总管、支管无明显积灰/积水/障碍物； </w:t>
            </w:r>
          </w:p>
          <w:p w14:paraId="76480D16">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采样风机正常工作；</w:t>
            </w:r>
          </w:p>
          <w:p w14:paraId="275A8BEF">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1F1BD81E">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D862A3C">
            <w:pPr>
              <w:spacing w:line="280" w:lineRule="exact"/>
              <w:jc w:val="left"/>
              <w:rPr>
                <w:rFonts w:hint="eastAsia" w:ascii="宋体" w:hAnsi="宋体" w:eastAsia="宋体" w:cs="宋体"/>
                <w:color w:val="auto"/>
                <w:sz w:val="21"/>
                <w:szCs w:val="21"/>
                <w:highlight w:val="none"/>
              </w:rPr>
            </w:pPr>
          </w:p>
        </w:tc>
      </w:tr>
      <w:tr w14:paraId="5A70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1792567">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51362BF">
            <w:pPr>
              <w:numPr>
                <w:ilvl w:val="0"/>
                <w:numId w:val="6"/>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采样总管、支管安装是否符合要求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258ED9FD">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45613F0B">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避免被空调直吹，是否采取措施避免影响；</w:t>
            </w:r>
          </w:p>
          <w:p w14:paraId="3F79E9C4">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采样管路连接规范；</w:t>
            </w:r>
          </w:p>
          <w:p w14:paraId="1C5FAED6">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气态污染物采样总管竖直安装，采样支管插入采样总管的中心；</w:t>
            </w:r>
          </w:p>
          <w:p w14:paraId="7A57D3D5">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备注：任一项不满足要求的扣1分，扣分上限为单项分值。 </w:t>
            </w:r>
          </w:p>
        </w:tc>
        <w:tc>
          <w:tcPr>
            <w:tcW w:w="2212" w:type="dxa"/>
            <w:tcBorders>
              <w:top w:val="single" w:color="auto" w:sz="4" w:space="0"/>
              <w:left w:val="single" w:color="auto" w:sz="4" w:space="0"/>
              <w:bottom w:val="single" w:color="auto" w:sz="4" w:space="0"/>
              <w:right w:val="single" w:color="auto" w:sz="4" w:space="0"/>
            </w:tcBorders>
            <w:vAlign w:val="center"/>
          </w:tcPr>
          <w:p w14:paraId="33866CB7">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19705F73">
            <w:pPr>
              <w:spacing w:line="280" w:lineRule="exact"/>
              <w:jc w:val="left"/>
              <w:rPr>
                <w:rFonts w:hint="eastAsia" w:ascii="宋体" w:hAnsi="宋体" w:eastAsia="宋体" w:cs="宋体"/>
                <w:color w:val="auto"/>
                <w:sz w:val="21"/>
                <w:szCs w:val="21"/>
                <w:highlight w:val="none"/>
              </w:rPr>
            </w:pPr>
          </w:p>
        </w:tc>
      </w:tr>
      <w:tr w14:paraId="4276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0ABFF38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3.仪器日常维护效果（15分）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CEFF99C">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851" w:type="dxa"/>
            <w:tcBorders>
              <w:top w:val="single" w:color="auto" w:sz="4" w:space="0"/>
              <w:left w:val="single" w:color="auto" w:sz="4" w:space="0"/>
              <w:bottom w:val="single" w:color="auto" w:sz="4" w:space="0"/>
              <w:right w:val="single" w:color="auto" w:sz="4" w:space="0"/>
            </w:tcBorders>
            <w:vAlign w:val="center"/>
          </w:tcPr>
          <w:p w14:paraId="0CB5FBC3">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6339EB07">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仪器工作状态不正常，扣3分；</w:t>
            </w:r>
          </w:p>
          <w:p w14:paraId="0D2DADFD">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每存在一条报警信息扣1分。</w:t>
            </w:r>
          </w:p>
          <w:p w14:paraId="0190FB91">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8E93C19">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9FF71F5">
            <w:pPr>
              <w:spacing w:line="280" w:lineRule="exact"/>
              <w:jc w:val="left"/>
              <w:rPr>
                <w:rFonts w:hint="eastAsia" w:ascii="宋体" w:hAnsi="宋体" w:eastAsia="宋体" w:cs="宋体"/>
                <w:color w:val="auto"/>
                <w:sz w:val="21"/>
                <w:szCs w:val="21"/>
                <w:highlight w:val="none"/>
              </w:rPr>
            </w:pPr>
          </w:p>
        </w:tc>
      </w:tr>
      <w:tr w14:paraId="2598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627000A5">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D4BD4B2">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851" w:type="dxa"/>
            <w:tcBorders>
              <w:top w:val="single" w:color="auto" w:sz="4" w:space="0"/>
              <w:left w:val="single" w:color="auto" w:sz="4" w:space="0"/>
              <w:bottom w:val="single" w:color="auto" w:sz="4" w:space="0"/>
              <w:right w:val="single" w:color="auto" w:sz="4" w:space="0"/>
            </w:tcBorders>
            <w:vAlign w:val="center"/>
          </w:tcPr>
          <w:p w14:paraId="319D5AE4">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6F29C9FF">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颗粒物采样管加热装置不能正常工作；或参数设置不当，扣2分；</w:t>
            </w:r>
          </w:p>
          <w:p w14:paraId="58C84E2F">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气态污染物采样总管未配备加热装置；或加热温度小于30℃、大于50℃，扣2分；</w:t>
            </w:r>
          </w:p>
          <w:p w14:paraId="10FD528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4DC53209">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852A499">
            <w:pPr>
              <w:jc w:val="left"/>
              <w:rPr>
                <w:rFonts w:hint="eastAsia" w:ascii="宋体" w:hAnsi="宋体" w:eastAsia="宋体" w:cs="宋体"/>
                <w:color w:val="auto"/>
                <w:sz w:val="21"/>
                <w:szCs w:val="21"/>
                <w:highlight w:val="none"/>
              </w:rPr>
            </w:pPr>
          </w:p>
        </w:tc>
      </w:tr>
      <w:tr w14:paraId="23A5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6F5B27C5">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B109869">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臭氧仪器过滤膜、臭氧剔除器是否及时更换，散热风扇是否及时清洗</w:t>
            </w:r>
          </w:p>
        </w:tc>
        <w:tc>
          <w:tcPr>
            <w:tcW w:w="851" w:type="dxa"/>
            <w:tcBorders>
              <w:top w:val="single" w:color="auto" w:sz="4" w:space="0"/>
              <w:left w:val="single" w:color="auto" w:sz="4" w:space="0"/>
              <w:bottom w:val="single" w:color="auto" w:sz="4" w:space="0"/>
              <w:right w:val="single" w:color="auto" w:sz="4" w:space="0"/>
            </w:tcBorders>
            <w:vAlign w:val="center"/>
          </w:tcPr>
          <w:p w14:paraId="68FD0445">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66377720">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查看滤膜更换记录，仪器滤膜保证及时更换（每周）；</w:t>
            </w:r>
          </w:p>
          <w:p w14:paraId="09B9056D">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臭氧剔除器及时更换（每年）；</w:t>
            </w:r>
          </w:p>
          <w:p w14:paraId="391D7653">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仪器散热风扇工作正常；</w:t>
            </w:r>
          </w:p>
          <w:p w14:paraId="6759F6C1">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散热风扇过滤网无缺失，及时清理；</w:t>
            </w:r>
          </w:p>
          <w:p w14:paraId="691FB2A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9164B0E">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0826BCD">
            <w:pPr>
              <w:spacing w:line="280" w:lineRule="exact"/>
              <w:jc w:val="left"/>
              <w:rPr>
                <w:rFonts w:hint="eastAsia" w:ascii="宋体" w:hAnsi="宋体" w:eastAsia="宋体" w:cs="宋体"/>
                <w:color w:val="auto"/>
                <w:sz w:val="21"/>
                <w:szCs w:val="21"/>
                <w:highlight w:val="none"/>
              </w:rPr>
            </w:pPr>
          </w:p>
        </w:tc>
      </w:tr>
      <w:tr w14:paraId="3B56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9098354">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04AB3262">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采样纸带、O型圈、采样泵等相关耗材及时更换</w:t>
            </w:r>
          </w:p>
        </w:tc>
        <w:tc>
          <w:tcPr>
            <w:tcW w:w="851" w:type="dxa"/>
            <w:tcBorders>
              <w:top w:val="single" w:color="auto" w:sz="4" w:space="0"/>
              <w:left w:val="single" w:color="auto" w:sz="4" w:space="0"/>
              <w:bottom w:val="single" w:color="auto" w:sz="4" w:space="0"/>
              <w:right w:val="single" w:color="auto" w:sz="4" w:space="0"/>
            </w:tcBorders>
            <w:vAlign w:val="center"/>
          </w:tcPr>
          <w:p w14:paraId="1E0A60E2">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02D66A26">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及时更换纸带；</w:t>
            </w:r>
          </w:p>
          <w:p w14:paraId="5126645E">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及时更换O型圈；</w:t>
            </w:r>
          </w:p>
          <w:p w14:paraId="0A6AF450">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及时更换采样泵相关耗材；</w:t>
            </w:r>
          </w:p>
          <w:p w14:paraId="60D07E06">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备注：任一项不满足要求的扣4分，扣分上限为单项分值。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7AF682F">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5673D9D">
            <w:pPr>
              <w:spacing w:line="280" w:lineRule="exact"/>
              <w:jc w:val="left"/>
              <w:rPr>
                <w:rFonts w:hint="eastAsia" w:ascii="宋体" w:hAnsi="宋体" w:eastAsia="宋体" w:cs="宋体"/>
                <w:color w:val="auto"/>
                <w:sz w:val="21"/>
                <w:szCs w:val="21"/>
                <w:highlight w:val="none"/>
              </w:rPr>
            </w:pPr>
          </w:p>
        </w:tc>
      </w:tr>
      <w:tr w14:paraId="19706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4"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4E1D47A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1EBD6464">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（50分）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D05C7AA">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动态校准仪质量流量控制器（MFC）（每季度）</w:t>
            </w:r>
          </w:p>
          <w:p w14:paraId="2163CBF2">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零气MFC流量：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F3C89DD">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2C425B3B">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多点MFC流量（年）</w:t>
            </w:r>
          </w:p>
          <w:p w14:paraId="56915A10">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零气：斜率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135869D">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tc>
        <w:tc>
          <w:tcPr>
            <w:tcW w:w="851" w:type="dxa"/>
            <w:tcBorders>
              <w:top w:val="single" w:color="auto" w:sz="4" w:space="0"/>
              <w:left w:val="single" w:color="auto" w:sz="4" w:space="0"/>
              <w:bottom w:val="single" w:color="auto" w:sz="4" w:space="0"/>
              <w:right w:val="single" w:color="auto" w:sz="4" w:space="0"/>
            </w:tcBorders>
            <w:vAlign w:val="center"/>
          </w:tcPr>
          <w:p w14:paraId="14756C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1F755A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采样流量误差超出±2%的，扣5分；</w:t>
            </w:r>
          </w:p>
          <w:p w14:paraId="644272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7C2C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0AAC5A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79BA39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2B05B2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5EFB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09943E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14EB8244">
                  <w:pPr>
                    <w:rPr>
                      <w:rFonts w:hint="eastAsia" w:ascii="宋体" w:hAnsi="宋体" w:eastAsia="宋体" w:cs="宋体"/>
                      <w:color w:val="auto"/>
                      <w:sz w:val="21"/>
                      <w:szCs w:val="21"/>
                      <w:highlight w:val="none"/>
                    </w:rPr>
                  </w:pPr>
                </w:p>
              </w:tc>
              <w:tc>
                <w:tcPr>
                  <w:tcW w:w="1818" w:type="dxa"/>
                </w:tcPr>
                <w:p w14:paraId="2AFD8064">
                  <w:pPr>
                    <w:rPr>
                      <w:rFonts w:hint="eastAsia" w:ascii="宋体" w:hAnsi="宋体" w:eastAsia="宋体" w:cs="宋体"/>
                      <w:color w:val="auto"/>
                      <w:sz w:val="21"/>
                      <w:szCs w:val="21"/>
                      <w:highlight w:val="none"/>
                    </w:rPr>
                  </w:pPr>
                </w:p>
              </w:tc>
            </w:tr>
            <w:tr w14:paraId="1D7F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425793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11BFAAF0">
                  <w:pPr>
                    <w:rPr>
                      <w:rFonts w:hint="eastAsia" w:ascii="宋体" w:hAnsi="宋体" w:eastAsia="宋体" w:cs="宋体"/>
                      <w:color w:val="auto"/>
                      <w:sz w:val="21"/>
                      <w:szCs w:val="21"/>
                      <w:highlight w:val="none"/>
                    </w:rPr>
                  </w:pPr>
                </w:p>
              </w:tc>
              <w:tc>
                <w:tcPr>
                  <w:tcW w:w="1818" w:type="dxa"/>
                </w:tcPr>
                <w:p w14:paraId="17AED3D4">
                  <w:pPr>
                    <w:rPr>
                      <w:rFonts w:hint="eastAsia" w:ascii="宋体" w:hAnsi="宋体" w:eastAsia="宋体" w:cs="宋体"/>
                      <w:color w:val="auto"/>
                      <w:sz w:val="21"/>
                      <w:szCs w:val="21"/>
                      <w:highlight w:val="none"/>
                    </w:rPr>
                  </w:pPr>
                </w:p>
              </w:tc>
            </w:tr>
            <w:tr w14:paraId="379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85B56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043343BA">
                  <w:pPr>
                    <w:rPr>
                      <w:rFonts w:hint="eastAsia" w:ascii="宋体" w:hAnsi="宋体" w:eastAsia="宋体" w:cs="宋体"/>
                      <w:color w:val="auto"/>
                      <w:sz w:val="21"/>
                      <w:szCs w:val="21"/>
                      <w:highlight w:val="none"/>
                    </w:rPr>
                  </w:pPr>
                </w:p>
              </w:tc>
              <w:tc>
                <w:tcPr>
                  <w:tcW w:w="1818" w:type="dxa"/>
                </w:tcPr>
                <w:p w14:paraId="5474A3A2">
                  <w:pPr>
                    <w:rPr>
                      <w:rFonts w:hint="eastAsia" w:ascii="宋体" w:hAnsi="宋体" w:eastAsia="宋体" w:cs="宋体"/>
                      <w:color w:val="auto"/>
                      <w:sz w:val="21"/>
                      <w:szCs w:val="21"/>
                      <w:highlight w:val="none"/>
                    </w:rPr>
                  </w:pPr>
                </w:p>
              </w:tc>
            </w:tr>
            <w:tr w14:paraId="3BFE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0E23D8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347D7E0A">
                  <w:pPr>
                    <w:rPr>
                      <w:rFonts w:hint="eastAsia" w:ascii="宋体" w:hAnsi="宋体" w:eastAsia="宋体" w:cs="宋体"/>
                      <w:color w:val="auto"/>
                      <w:sz w:val="21"/>
                      <w:szCs w:val="21"/>
                      <w:highlight w:val="none"/>
                    </w:rPr>
                  </w:pPr>
                </w:p>
              </w:tc>
              <w:tc>
                <w:tcPr>
                  <w:tcW w:w="1818" w:type="dxa"/>
                </w:tcPr>
                <w:p w14:paraId="3BDE5884">
                  <w:pPr>
                    <w:rPr>
                      <w:rFonts w:hint="eastAsia" w:ascii="宋体" w:hAnsi="宋体" w:eastAsia="宋体" w:cs="宋体"/>
                      <w:color w:val="auto"/>
                      <w:sz w:val="21"/>
                      <w:szCs w:val="21"/>
                      <w:highlight w:val="none"/>
                    </w:rPr>
                  </w:pPr>
                </w:p>
              </w:tc>
            </w:tr>
            <w:tr w14:paraId="7420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37420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09269C56">
                  <w:pPr>
                    <w:rPr>
                      <w:rFonts w:hint="eastAsia" w:ascii="宋体" w:hAnsi="宋体" w:eastAsia="宋体" w:cs="宋体"/>
                      <w:color w:val="auto"/>
                      <w:sz w:val="21"/>
                      <w:szCs w:val="21"/>
                      <w:highlight w:val="none"/>
                    </w:rPr>
                  </w:pPr>
                </w:p>
              </w:tc>
              <w:tc>
                <w:tcPr>
                  <w:tcW w:w="1818" w:type="dxa"/>
                </w:tcPr>
                <w:p w14:paraId="0E3A3EB6">
                  <w:pPr>
                    <w:rPr>
                      <w:rFonts w:hint="eastAsia" w:ascii="宋体" w:hAnsi="宋体" w:eastAsia="宋体" w:cs="宋体"/>
                      <w:color w:val="auto"/>
                      <w:sz w:val="21"/>
                      <w:szCs w:val="21"/>
                      <w:highlight w:val="none"/>
                    </w:rPr>
                  </w:pPr>
                </w:p>
              </w:tc>
            </w:tr>
            <w:tr w14:paraId="34F9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FC304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66872B67">
                  <w:pPr>
                    <w:rPr>
                      <w:rFonts w:hint="eastAsia" w:ascii="宋体" w:hAnsi="宋体" w:eastAsia="宋体" w:cs="宋体"/>
                      <w:color w:val="auto"/>
                      <w:sz w:val="21"/>
                      <w:szCs w:val="21"/>
                      <w:highlight w:val="none"/>
                    </w:rPr>
                  </w:pPr>
                </w:p>
              </w:tc>
              <w:tc>
                <w:tcPr>
                  <w:tcW w:w="1818" w:type="dxa"/>
                </w:tcPr>
                <w:p w14:paraId="2CB9C06E">
                  <w:pPr>
                    <w:rPr>
                      <w:rFonts w:hint="eastAsia" w:ascii="宋体" w:hAnsi="宋体" w:eastAsia="宋体" w:cs="宋体"/>
                      <w:color w:val="auto"/>
                      <w:sz w:val="21"/>
                      <w:szCs w:val="21"/>
                      <w:highlight w:val="none"/>
                    </w:rPr>
                  </w:pPr>
                </w:p>
              </w:tc>
            </w:tr>
          </w:tbl>
          <w:p w14:paraId="7724DD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tc>
        <w:tc>
          <w:tcPr>
            <w:tcW w:w="2212" w:type="dxa"/>
            <w:tcBorders>
              <w:top w:val="single" w:color="auto" w:sz="4" w:space="0"/>
              <w:left w:val="single" w:color="auto" w:sz="4" w:space="0"/>
              <w:bottom w:val="single" w:color="auto" w:sz="4" w:space="0"/>
              <w:right w:val="single" w:color="auto" w:sz="4" w:space="0"/>
            </w:tcBorders>
          </w:tcPr>
          <w:p w14:paraId="3BD07F55">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零气MFC</w:t>
            </w:r>
          </w:p>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4F40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70CDD1E">
                  <w:pPr>
                    <w:jc w:val="center"/>
                    <w:rPr>
                      <w:rFonts w:hint="eastAsia" w:ascii="宋体" w:hAnsi="宋体" w:eastAsia="宋体" w:cs="宋体"/>
                      <w:color w:val="auto"/>
                      <w:sz w:val="21"/>
                      <w:szCs w:val="21"/>
                      <w:highlight w:val="none"/>
                    </w:rPr>
                  </w:pPr>
                </w:p>
              </w:tc>
              <w:tc>
                <w:tcPr>
                  <w:tcW w:w="813" w:type="dxa"/>
                  <w:vAlign w:val="center"/>
                </w:tcPr>
                <w:p w14:paraId="40FB9CC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1BE865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29DA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7AFD2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6CD51F5E">
                  <w:pPr>
                    <w:jc w:val="center"/>
                    <w:rPr>
                      <w:rFonts w:hint="eastAsia" w:ascii="宋体" w:hAnsi="宋体" w:eastAsia="宋体" w:cs="宋体"/>
                      <w:color w:val="auto"/>
                      <w:sz w:val="21"/>
                      <w:szCs w:val="21"/>
                      <w:highlight w:val="none"/>
                    </w:rPr>
                  </w:pPr>
                </w:p>
              </w:tc>
              <w:tc>
                <w:tcPr>
                  <w:tcW w:w="813" w:type="dxa"/>
                  <w:vAlign w:val="center"/>
                </w:tcPr>
                <w:p w14:paraId="539AF72C">
                  <w:pPr>
                    <w:jc w:val="center"/>
                    <w:rPr>
                      <w:rFonts w:hint="eastAsia" w:ascii="宋体" w:hAnsi="宋体" w:eastAsia="宋体" w:cs="宋体"/>
                      <w:color w:val="auto"/>
                      <w:sz w:val="21"/>
                      <w:szCs w:val="21"/>
                      <w:highlight w:val="none"/>
                    </w:rPr>
                  </w:pPr>
                </w:p>
              </w:tc>
            </w:tr>
            <w:tr w14:paraId="697A6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E9176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0CA43A09">
                  <w:pPr>
                    <w:jc w:val="center"/>
                    <w:rPr>
                      <w:rFonts w:hint="eastAsia" w:ascii="宋体" w:hAnsi="宋体" w:eastAsia="宋体" w:cs="宋体"/>
                      <w:color w:val="auto"/>
                      <w:sz w:val="21"/>
                      <w:szCs w:val="21"/>
                      <w:highlight w:val="none"/>
                    </w:rPr>
                  </w:pPr>
                </w:p>
              </w:tc>
              <w:tc>
                <w:tcPr>
                  <w:tcW w:w="813" w:type="dxa"/>
                  <w:vAlign w:val="center"/>
                </w:tcPr>
                <w:p w14:paraId="4FB97A1F">
                  <w:pPr>
                    <w:jc w:val="center"/>
                    <w:rPr>
                      <w:rFonts w:hint="eastAsia" w:ascii="宋体" w:hAnsi="宋体" w:eastAsia="宋体" w:cs="宋体"/>
                      <w:color w:val="auto"/>
                      <w:sz w:val="21"/>
                      <w:szCs w:val="21"/>
                      <w:highlight w:val="none"/>
                    </w:rPr>
                  </w:pPr>
                </w:p>
              </w:tc>
            </w:tr>
            <w:tr w14:paraId="7E0E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955D3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0C8821DF">
                  <w:pPr>
                    <w:jc w:val="center"/>
                    <w:rPr>
                      <w:rFonts w:hint="eastAsia" w:ascii="宋体" w:hAnsi="宋体" w:eastAsia="宋体" w:cs="宋体"/>
                      <w:color w:val="auto"/>
                      <w:sz w:val="21"/>
                      <w:szCs w:val="21"/>
                      <w:highlight w:val="none"/>
                    </w:rPr>
                  </w:pPr>
                </w:p>
              </w:tc>
              <w:tc>
                <w:tcPr>
                  <w:tcW w:w="813" w:type="dxa"/>
                  <w:vAlign w:val="center"/>
                </w:tcPr>
                <w:p w14:paraId="0F178C1F">
                  <w:pPr>
                    <w:jc w:val="center"/>
                    <w:rPr>
                      <w:rFonts w:hint="eastAsia" w:ascii="宋体" w:hAnsi="宋体" w:eastAsia="宋体" w:cs="宋体"/>
                      <w:color w:val="auto"/>
                      <w:sz w:val="21"/>
                      <w:szCs w:val="21"/>
                      <w:highlight w:val="none"/>
                    </w:rPr>
                  </w:pPr>
                </w:p>
              </w:tc>
            </w:tr>
          </w:tbl>
          <w:p w14:paraId="312A026E">
            <w:pPr>
              <w:rPr>
                <w:rFonts w:hint="eastAsia" w:ascii="宋体" w:hAnsi="宋体" w:eastAsia="宋体" w:cs="宋体"/>
                <w:vanish/>
                <w:color w:val="auto"/>
                <w:sz w:val="21"/>
                <w:szCs w:val="21"/>
                <w:highlight w:val="none"/>
              </w:rPr>
            </w:pPr>
          </w:p>
          <w:tbl>
            <w:tblPr>
              <w:tblStyle w:val="7"/>
              <w:tblpPr w:leftFromText="180" w:rightFromText="180" w:vertAnchor="text" w:horzAnchor="page" w:tblpX="129" w:tblpY="412"/>
              <w:tblOverlap w:val="never"/>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7A44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4FD93B9">
                  <w:pPr>
                    <w:jc w:val="center"/>
                    <w:rPr>
                      <w:rFonts w:hint="eastAsia" w:ascii="宋体" w:hAnsi="宋体" w:eastAsia="宋体" w:cs="宋体"/>
                      <w:color w:val="auto"/>
                      <w:sz w:val="21"/>
                      <w:szCs w:val="21"/>
                      <w:highlight w:val="none"/>
                    </w:rPr>
                  </w:pPr>
                </w:p>
              </w:tc>
              <w:tc>
                <w:tcPr>
                  <w:tcW w:w="813" w:type="dxa"/>
                  <w:vAlign w:val="center"/>
                </w:tcPr>
                <w:p w14:paraId="200F5E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2D1E2A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7B7E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7A84E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4765DD29">
                  <w:pPr>
                    <w:jc w:val="center"/>
                    <w:rPr>
                      <w:rFonts w:hint="eastAsia" w:ascii="宋体" w:hAnsi="宋体" w:eastAsia="宋体" w:cs="宋体"/>
                      <w:color w:val="auto"/>
                      <w:sz w:val="21"/>
                      <w:szCs w:val="21"/>
                      <w:highlight w:val="none"/>
                    </w:rPr>
                  </w:pPr>
                </w:p>
              </w:tc>
              <w:tc>
                <w:tcPr>
                  <w:tcW w:w="813" w:type="dxa"/>
                  <w:vAlign w:val="center"/>
                </w:tcPr>
                <w:p w14:paraId="34FB18BF">
                  <w:pPr>
                    <w:jc w:val="center"/>
                    <w:rPr>
                      <w:rFonts w:hint="eastAsia" w:ascii="宋体" w:hAnsi="宋体" w:eastAsia="宋体" w:cs="宋体"/>
                      <w:color w:val="auto"/>
                      <w:sz w:val="21"/>
                      <w:szCs w:val="21"/>
                      <w:highlight w:val="none"/>
                    </w:rPr>
                  </w:pPr>
                </w:p>
              </w:tc>
            </w:tr>
            <w:tr w14:paraId="4040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278C3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02CB8B88">
                  <w:pPr>
                    <w:jc w:val="center"/>
                    <w:rPr>
                      <w:rFonts w:hint="eastAsia" w:ascii="宋体" w:hAnsi="宋体" w:eastAsia="宋体" w:cs="宋体"/>
                      <w:color w:val="auto"/>
                      <w:sz w:val="21"/>
                      <w:szCs w:val="21"/>
                      <w:highlight w:val="none"/>
                    </w:rPr>
                  </w:pPr>
                </w:p>
              </w:tc>
              <w:tc>
                <w:tcPr>
                  <w:tcW w:w="813" w:type="dxa"/>
                  <w:vAlign w:val="center"/>
                </w:tcPr>
                <w:p w14:paraId="1786E663">
                  <w:pPr>
                    <w:jc w:val="center"/>
                    <w:rPr>
                      <w:rFonts w:hint="eastAsia" w:ascii="宋体" w:hAnsi="宋体" w:eastAsia="宋体" w:cs="宋体"/>
                      <w:color w:val="auto"/>
                      <w:sz w:val="21"/>
                      <w:szCs w:val="21"/>
                      <w:highlight w:val="none"/>
                    </w:rPr>
                  </w:pPr>
                </w:p>
              </w:tc>
            </w:tr>
            <w:tr w14:paraId="78F6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79DB8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581223C">
                  <w:pPr>
                    <w:jc w:val="center"/>
                    <w:rPr>
                      <w:rFonts w:hint="eastAsia" w:ascii="宋体" w:hAnsi="宋体" w:eastAsia="宋体" w:cs="宋体"/>
                      <w:color w:val="auto"/>
                      <w:sz w:val="21"/>
                      <w:szCs w:val="21"/>
                      <w:highlight w:val="none"/>
                    </w:rPr>
                  </w:pPr>
                </w:p>
              </w:tc>
              <w:tc>
                <w:tcPr>
                  <w:tcW w:w="813" w:type="dxa"/>
                  <w:vAlign w:val="center"/>
                </w:tcPr>
                <w:p w14:paraId="6944F87F">
                  <w:pPr>
                    <w:jc w:val="center"/>
                    <w:rPr>
                      <w:rFonts w:hint="eastAsia" w:ascii="宋体" w:hAnsi="宋体" w:eastAsia="宋体" w:cs="宋体"/>
                      <w:color w:val="auto"/>
                      <w:sz w:val="21"/>
                      <w:szCs w:val="21"/>
                      <w:highlight w:val="none"/>
                    </w:rPr>
                  </w:pPr>
                </w:p>
              </w:tc>
            </w:tr>
          </w:tbl>
          <w:p w14:paraId="7BF95DD8">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标气MFC</w:t>
            </w:r>
          </w:p>
        </w:tc>
        <w:tc>
          <w:tcPr>
            <w:tcW w:w="623" w:type="dxa"/>
            <w:tcBorders>
              <w:top w:val="single" w:color="auto" w:sz="4" w:space="0"/>
              <w:left w:val="single" w:color="auto" w:sz="4" w:space="0"/>
              <w:bottom w:val="single" w:color="auto" w:sz="4" w:space="0"/>
              <w:right w:val="single" w:color="auto" w:sz="4" w:space="0"/>
            </w:tcBorders>
            <w:vAlign w:val="center"/>
          </w:tcPr>
          <w:p w14:paraId="23B59A88">
            <w:pPr>
              <w:rPr>
                <w:rFonts w:hint="eastAsia" w:ascii="宋体" w:hAnsi="宋体" w:eastAsia="宋体" w:cs="宋体"/>
                <w:color w:val="auto"/>
                <w:sz w:val="21"/>
                <w:szCs w:val="21"/>
                <w:highlight w:val="none"/>
              </w:rPr>
            </w:pPr>
          </w:p>
        </w:tc>
      </w:tr>
      <w:tr w14:paraId="68C8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left w:val="single" w:color="auto" w:sz="4" w:space="0"/>
              <w:right w:val="single" w:color="auto" w:sz="4" w:space="0"/>
            </w:tcBorders>
            <w:vAlign w:val="center"/>
          </w:tcPr>
          <w:p w14:paraId="1731A4D0">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7AD8E6BC">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气态污染物</w:t>
            </w:r>
          </w:p>
        </w:tc>
        <w:tc>
          <w:tcPr>
            <w:tcW w:w="4793" w:type="dxa"/>
            <w:tcBorders>
              <w:top w:val="single" w:color="auto" w:sz="4" w:space="0"/>
              <w:left w:val="single" w:color="auto" w:sz="4" w:space="0"/>
              <w:bottom w:val="single" w:color="auto" w:sz="4" w:space="0"/>
              <w:right w:val="single" w:color="auto" w:sz="4" w:space="0"/>
            </w:tcBorders>
            <w:vAlign w:val="center"/>
          </w:tcPr>
          <w:p w14:paraId="78DE975E">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O</w:t>
            </w:r>
            <w:r>
              <w:rPr>
                <w:rFonts w:hint="eastAsia" w:ascii="宋体" w:hAnsi="宋体" w:eastAsia="宋体" w:cs="宋体"/>
                <w:bCs/>
                <w:color w:val="auto"/>
                <w:sz w:val="21"/>
                <w:szCs w:val="21"/>
                <w:highlight w:val="none"/>
                <w:vertAlign w:val="subscript"/>
              </w:rPr>
              <w:t>3</w:t>
            </w:r>
            <w:r>
              <w:rPr>
                <w:rFonts w:hint="eastAsia" w:ascii="宋体" w:hAnsi="宋体" w:eastAsia="宋体" w:cs="宋体"/>
                <w:bCs/>
                <w:color w:val="auto"/>
                <w:sz w:val="21"/>
                <w:szCs w:val="21"/>
                <w:highlight w:val="none"/>
              </w:rPr>
              <w:t>或NOX部分（二选一）</w:t>
            </w:r>
          </w:p>
          <w:p w14:paraId="20E22EFC">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2794057">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2EB5B33">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51A0B355">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7D072045">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10AB2FCE">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1AC3B768">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2032E014">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4B41E989">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573CEC89">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398E8BD3">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68ADA2BA">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D8F4931">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 钼炉转化效率（</w:t>
            </w:r>
            <w:r>
              <w:rPr>
                <w:rFonts w:hint="eastAsia" w:ascii="宋体" w:hAnsi="宋体" w:eastAsia="宋体" w:cs="宋体"/>
                <w:bCs/>
                <w:color w:val="auto"/>
                <w:sz w:val="21"/>
                <w:szCs w:val="21"/>
                <w:highlight w:val="none"/>
              </w:rPr>
              <w:t>每年)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6DC513B">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备注：E、F、G、H、I项根据运维节点抽一项进行检查考核。I项仅在抽取NOX时进行考核。</w:t>
            </w:r>
          </w:p>
        </w:tc>
        <w:tc>
          <w:tcPr>
            <w:tcW w:w="851" w:type="dxa"/>
            <w:tcBorders>
              <w:top w:val="single" w:color="auto" w:sz="4" w:space="0"/>
              <w:left w:val="single" w:color="auto" w:sz="4" w:space="0"/>
              <w:bottom w:val="single" w:color="auto" w:sz="4" w:space="0"/>
              <w:right w:val="single" w:color="auto" w:sz="4" w:space="0"/>
            </w:tcBorders>
            <w:vAlign w:val="center"/>
          </w:tcPr>
          <w:p w14:paraId="542266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0D016939">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4663D2FC">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仪器零点超出±10ppb，扣5分；</w:t>
            </w:r>
          </w:p>
          <w:p w14:paraId="0DF92700">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标气浓度误差超出±5%的扣5分；</w:t>
            </w:r>
          </w:p>
          <w:p w14:paraId="2254276D">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508945C1">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3AF78F36">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74050C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要求：0.95≤斜率≤1.05，截距＜±5ppb，相关系数＞0.999</w:t>
            </w:r>
          </w:p>
          <w:p w14:paraId="0030AAE6">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26DAB9CF">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150A3DA2">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钼炉转化效率＜96%，扣5分（仅适用于考核NOX）备注：以上扣分上限为单项分值。</w:t>
            </w:r>
          </w:p>
          <w:p w14:paraId="5BEEFC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35B8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2D3BD5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63A8B4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285E05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136B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7569FD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0A15AEF6">
                  <w:pPr>
                    <w:rPr>
                      <w:rFonts w:hint="eastAsia" w:ascii="宋体" w:hAnsi="宋体" w:eastAsia="宋体" w:cs="宋体"/>
                      <w:color w:val="auto"/>
                      <w:sz w:val="21"/>
                      <w:szCs w:val="21"/>
                      <w:highlight w:val="none"/>
                    </w:rPr>
                  </w:pPr>
                </w:p>
              </w:tc>
              <w:tc>
                <w:tcPr>
                  <w:tcW w:w="1818" w:type="dxa"/>
                </w:tcPr>
                <w:p w14:paraId="79BA588B">
                  <w:pPr>
                    <w:rPr>
                      <w:rFonts w:hint="eastAsia" w:ascii="宋体" w:hAnsi="宋体" w:eastAsia="宋体" w:cs="宋体"/>
                      <w:color w:val="auto"/>
                      <w:sz w:val="21"/>
                      <w:szCs w:val="21"/>
                      <w:highlight w:val="none"/>
                    </w:rPr>
                  </w:pPr>
                </w:p>
              </w:tc>
            </w:tr>
            <w:tr w14:paraId="3632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00137F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3F594830">
                  <w:pPr>
                    <w:rPr>
                      <w:rFonts w:hint="eastAsia" w:ascii="宋体" w:hAnsi="宋体" w:eastAsia="宋体" w:cs="宋体"/>
                      <w:color w:val="auto"/>
                      <w:sz w:val="21"/>
                      <w:szCs w:val="21"/>
                      <w:highlight w:val="none"/>
                    </w:rPr>
                  </w:pPr>
                </w:p>
              </w:tc>
              <w:tc>
                <w:tcPr>
                  <w:tcW w:w="1818" w:type="dxa"/>
                </w:tcPr>
                <w:p w14:paraId="013D117E">
                  <w:pPr>
                    <w:rPr>
                      <w:rFonts w:hint="eastAsia" w:ascii="宋体" w:hAnsi="宋体" w:eastAsia="宋体" w:cs="宋体"/>
                      <w:color w:val="auto"/>
                      <w:sz w:val="21"/>
                      <w:szCs w:val="21"/>
                      <w:highlight w:val="none"/>
                    </w:rPr>
                  </w:pPr>
                </w:p>
              </w:tc>
            </w:tr>
            <w:tr w14:paraId="2661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A351C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3ED75D32">
                  <w:pPr>
                    <w:rPr>
                      <w:rFonts w:hint="eastAsia" w:ascii="宋体" w:hAnsi="宋体" w:eastAsia="宋体" w:cs="宋体"/>
                      <w:color w:val="auto"/>
                      <w:sz w:val="21"/>
                      <w:szCs w:val="21"/>
                      <w:highlight w:val="none"/>
                    </w:rPr>
                  </w:pPr>
                </w:p>
              </w:tc>
              <w:tc>
                <w:tcPr>
                  <w:tcW w:w="1818" w:type="dxa"/>
                </w:tcPr>
                <w:p w14:paraId="03CCAEC6">
                  <w:pPr>
                    <w:rPr>
                      <w:rFonts w:hint="eastAsia" w:ascii="宋体" w:hAnsi="宋体" w:eastAsia="宋体" w:cs="宋体"/>
                      <w:color w:val="auto"/>
                      <w:sz w:val="21"/>
                      <w:szCs w:val="21"/>
                      <w:highlight w:val="none"/>
                    </w:rPr>
                  </w:pPr>
                </w:p>
              </w:tc>
            </w:tr>
            <w:tr w14:paraId="74AA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67288D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1AF61165">
                  <w:pPr>
                    <w:rPr>
                      <w:rFonts w:hint="eastAsia" w:ascii="宋体" w:hAnsi="宋体" w:eastAsia="宋体" w:cs="宋体"/>
                      <w:color w:val="auto"/>
                      <w:sz w:val="21"/>
                      <w:szCs w:val="21"/>
                      <w:highlight w:val="none"/>
                    </w:rPr>
                  </w:pPr>
                </w:p>
              </w:tc>
              <w:tc>
                <w:tcPr>
                  <w:tcW w:w="1818" w:type="dxa"/>
                </w:tcPr>
                <w:p w14:paraId="22D79037">
                  <w:pPr>
                    <w:rPr>
                      <w:rFonts w:hint="eastAsia" w:ascii="宋体" w:hAnsi="宋体" w:eastAsia="宋体" w:cs="宋体"/>
                      <w:color w:val="auto"/>
                      <w:sz w:val="21"/>
                      <w:szCs w:val="21"/>
                      <w:highlight w:val="none"/>
                    </w:rPr>
                  </w:pPr>
                </w:p>
              </w:tc>
            </w:tr>
            <w:tr w14:paraId="4608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0D7D2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61256FDD">
                  <w:pPr>
                    <w:rPr>
                      <w:rFonts w:hint="eastAsia" w:ascii="宋体" w:hAnsi="宋体" w:eastAsia="宋体" w:cs="宋体"/>
                      <w:color w:val="auto"/>
                      <w:sz w:val="21"/>
                      <w:szCs w:val="21"/>
                      <w:highlight w:val="none"/>
                    </w:rPr>
                  </w:pPr>
                </w:p>
              </w:tc>
              <w:tc>
                <w:tcPr>
                  <w:tcW w:w="1818" w:type="dxa"/>
                </w:tcPr>
                <w:p w14:paraId="16AC16C7">
                  <w:pPr>
                    <w:rPr>
                      <w:rFonts w:hint="eastAsia" w:ascii="宋体" w:hAnsi="宋体" w:eastAsia="宋体" w:cs="宋体"/>
                      <w:color w:val="auto"/>
                      <w:sz w:val="21"/>
                      <w:szCs w:val="21"/>
                      <w:highlight w:val="none"/>
                    </w:rPr>
                  </w:pPr>
                </w:p>
              </w:tc>
            </w:tr>
            <w:tr w14:paraId="580C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5215A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0A12B719">
                  <w:pPr>
                    <w:rPr>
                      <w:rFonts w:hint="eastAsia" w:ascii="宋体" w:hAnsi="宋体" w:eastAsia="宋体" w:cs="宋体"/>
                      <w:color w:val="auto"/>
                      <w:sz w:val="21"/>
                      <w:szCs w:val="21"/>
                      <w:highlight w:val="none"/>
                    </w:rPr>
                  </w:pPr>
                </w:p>
              </w:tc>
              <w:tc>
                <w:tcPr>
                  <w:tcW w:w="1818" w:type="dxa"/>
                </w:tcPr>
                <w:p w14:paraId="1E710955">
                  <w:pPr>
                    <w:rPr>
                      <w:rFonts w:hint="eastAsia" w:ascii="宋体" w:hAnsi="宋体" w:eastAsia="宋体" w:cs="宋体"/>
                      <w:color w:val="auto"/>
                      <w:sz w:val="21"/>
                      <w:szCs w:val="21"/>
                      <w:highlight w:val="none"/>
                    </w:rPr>
                  </w:pPr>
                </w:p>
              </w:tc>
            </w:tr>
          </w:tbl>
          <w:p w14:paraId="09071157">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3FE2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4B463D6">
                  <w:pPr>
                    <w:jc w:val="center"/>
                    <w:rPr>
                      <w:rFonts w:hint="eastAsia" w:ascii="宋体" w:hAnsi="宋体" w:eastAsia="宋体" w:cs="宋体"/>
                      <w:color w:val="auto"/>
                      <w:sz w:val="21"/>
                      <w:szCs w:val="21"/>
                      <w:highlight w:val="none"/>
                    </w:rPr>
                  </w:pPr>
                </w:p>
              </w:tc>
              <w:tc>
                <w:tcPr>
                  <w:tcW w:w="813" w:type="dxa"/>
                  <w:vAlign w:val="center"/>
                </w:tcPr>
                <w:p w14:paraId="55DC91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48E158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25ED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8177D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7AB5A4CA">
                  <w:pPr>
                    <w:jc w:val="center"/>
                    <w:rPr>
                      <w:rFonts w:hint="eastAsia" w:ascii="宋体" w:hAnsi="宋体" w:eastAsia="宋体" w:cs="宋体"/>
                      <w:color w:val="auto"/>
                      <w:sz w:val="21"/>
                      <w:szCs w:val="21"/>
                      <w:highlight w:val="none"/>
                    </w:rPr>
                  </w:pPr>
                </w:p>
              </w:tc>
              <w:tc>
                <w:tcPr>
                  <w:tcW w:w="813" w:type="dxa"/>
                  <w:vAlign w:val="center"/>
                </w:tcPr>
                <w:p w14:paraId="673AC9DB">
                  <w:pPr>
                    <w:jc w:val="center"/>
                    <w:rPr>
                      <w:rFonts w:hint="eastAsia" w:ascii="宋体" w:hAnsi="宋体" w:eastAsia="宋体" w:cs="宋体"/>
                      <w:color w:val="auto"/>
                      <w:sz w:val="21"/>
                      <w:szCs w:val="21"/>
                      <w:highlight w:val="none"/>
                    </w:rPr>
                  </w:pPr>
                </w:p>
              </w:tc>
            </w:tr>
            <w:tr w14:paraId="2142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D759A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0335C720">
                  <w:pPr>
                    <w:jc w:val="center"/>
                    <w:rPr>
                      <w:rFonts w:hint="eastAsia" w:ascii="宋体" w:hAnsi="宋体" w:eastAsia="宋体" w:cs="宋体"/>
                      <w:color w:val="auto"/>
                      <w:sz w:val="21"/>
                      <w:szCs w:val="21"/>
                      <w:highlight w:val="none"/>
                    </w:rPr>
                  </w:pPr>
                </w:p>
              </w:tc>
              <w:tc>
                <w:tcPr>
                  <w:tcW w:w="813" w:type="dxa"/>
                  <w:vAlign w:val="center"/>
                </w:tcPr>
                <w:p w14:paraId="53DF8061">
                  <w:pPr>
                    <w:jc w:val="center"/>
                    <w:rPr>
                      <w:rFonts w:hint="eastAsia" w:ascii="宋体" w:hAnsi="宋体" w:eastAsia="宋体" w:cs="宋体"/>
                      <w:color w:val="auto"/>
                      <w:sz w:val="21"/>
                      <w:szCs w:val="21"/>
                      <w:highlight w:val="none"/>
                    </w:rPr>
                  </w:pPr>
                </w:p>
              </w:tc>
            </w:tr>
            <w:tr w14:paraId="2092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B9873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0E40967">
                  <w:pPr>
                    <w:jc w:val="center"/>
                    <w:rPr>
                      <w:rFonts w:hint="eastAsia" w:ascii="宋体" w:hAnsi="宋体" w:eastAsia="宋体" w:cs="宋体"/>
                      <w:color w:val="auto"/>
                      <w:sz w:val="21"/>
                      <w:szCs w:val="21"/>
                      <w:highlight w:val="none"/>
                    </w:rPr>
                  </w:pPr>
                </w:p>
              </w:tc>
              <w:tc>
                <w:tcPr>
                  <w:tcW w:w="813" w:type="dxa"/>
                  <w:vAlign w:val="center"/>
                </w:tcPr>
                <w:p w14:paraId="0958A11D">
                  <w:pPr>
                    <w:jc w:val="center"/>
                    <w:rPr>
                      <w:rFonts w:hint="eastAsia" w:ascii="宋体" w:hAnsi="宋体" w:eastAsia="宋体" w:cs="宋体"/>
                      <w:color w:val="auto"/>
                      <w:sz w:val="21"/>
                      <w:szCs w:val="21"/>
                      <w:highlight w:val="none"/>
                    </w:rPr>
                  </w:pPr>
                </w:p>
              </w:tc>
            </w:tr>
          </w:tbl>
          <w:p w14:paraId="7F80B9DC">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06C31A0">
            <w:pPr>
              <w:rPr>
                <w:rFonts w:hint="eastAsia" w:ascii="宋体" w:hAnsi="宋体" w:eastAsia="宋体" w:cs="宋体"/>
                <w:color w:val="auto"/>
                <w:sz w:val="21"/>
                <w:szCs w:val="21"/>
                <w:highlight w:val="none"/>
              </w:rPr>
            </w:pPr>
          </w:p>
        </w:tc>
      </w:tr>
      <w:tr w14:paraId="4395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8" w:hRule="atLeast"/>
          <w:jc w:val="center"/>
        </w:trPr>
        <w:tc>
          <w:tcPr>
            <w:tcW w:w="1242" w:type="dxa"/>
            <w:vMerge w:val="continue"/>
            <w:tcBorders>
              <w:left w:val="single" w:color="auto" w:sz="4" w:space="0"/>
              <w:right w:val="single" w:color="auto" w:sz="4" w:space="0"/>
            </w:tcBorders>
            <w:vAlign w:val="center"/>
          </w:tcPr>
          <w:p w14:paraId="0B9855FE">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02058EB5">
            <w:pPr>
              <w:jc w:val="left"/>
              <w:rPr>
                <w:rFonts w:hint="eastAsia" w:ascii="宋体" w:hAnsi="宋体" w:eastAsia="宋体" w:cs="宋体"/>
                <w:bCs/>
                <w:color w:val="auto"/>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3A5D8123">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bCs/>
                <w:color w:val="auto"/>
                <w:sz w:val="21"/>
                <w:szCs w:val="21"/>
                <w:highlight w:val="none"/>
              </w:rPr>
              <w:t>或CO部分（二选一）</w:t>
            </w:r>
          </w:p>
          <w:p w14:paraId="03EE24A4">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CEB4AEF">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521C02E">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15542598">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0F102258">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74B34653">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5743975C">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06BF679">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6A00036B">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2AF0ED84">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317A7AE1">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BD7A994">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7E46042">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备注：E、F、G、H项根据运维节点抽一项进行检查考核。</w:t>
            </w:r>
          </w:p>
        </w:tc>
        <w:tc>
          <w:tcPr>
            <w:tcW w:w="851" w:type="dxa"/>
            <w:tcBorders>
              <w:top w:val="single" w:color="auto" w:sz="4" w:space="0"/>
              <w:left w:val="single" w:color="auto" w:sz="4" w:space="0"/>
              <w:bottom w:val="single" w:color="auto" w:sz="4" w:space="0"/>
              <w:right w:val="single" w:color="auto" w:sz="4" w:space="0"/>
            </w:tcBorders>
            <w:vAlign w:val="center"/>
          </w:tcPr>
          <w:p w14:paraId="2B0D64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2104317C">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1CCB8969">
            <w:pPr>
              <w:numPr>
                <w:ilvl w:val="0"/>
                <w:numId w:val="19"/>
              </w:num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仪器零点超出±10ppb</w:t>
            </w:r>
            <w:r>
              <w:rPr>
                <w:rFonts w:hint="eastAsia" w:ascii="宋体" w:hAnsi="宋体" w:eastAsia="宋体" w:cs="宋体"/>
                <w:bCs/>
                <w:color w:val="auto"/>
                <w:sz w:val="21"/>
                <w:szCs w:val="21"/>
                <w:highlight w:val="none"/>
              </w:rPr>
              <w:t>或CO</w:t>
            </w:r>
            <w:r>
              <w:rPr>
                <w:rFonts w:hint="eastAsia" w:ascii="宋体" w:hAnsi="宋体" w:eastAsia="宋体" w:cs="宋体"/>
                <w:color w:val="auto"/>
                <w:sz w:val="21"/>
                <w:szCs w:val="21"/>
                <w:highlight w:val="none"/>
              </w:rPr>
              <w:t>仪器零点超出±1ppm，扣5分；</w:t>
            </w:r>
          </w:p>
          <w:p w14:paraId="1CC40F01">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 5分；</w:t>
            </w:r>
          </w:p>
          <w:p w14:paraId="4E2033B1">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0DDCB5EF">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693597D7">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51F874FF">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—0.95≤斜率≤1.05，截距＜±5ppb，相关系数＞0.999</w:t>
            </w:r>
          </w:p>
          <w:p w14:paraId="3DF73E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CO—0.95≤斜率≤1.05，截距＜±0.5ppm，相关系数＞0.999</w:t>
            </w:r>
          </w:p>
          <w:p w14:paraId="4B062598">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08D85AA8">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383293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p w14:paraId="13E23F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073E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1EEEEE0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28A5A2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061E45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119A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0FADCA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4D6FC86D">
                  <w:pPr>
                    <w:rPr>
                      <w:rFonts w:hint="eastAsia" w:ascii="宋体" w:hAnsi="宋体" w:eastAsia="宋体" w:cs="宋体"/>
                      <w:color w:val="auto"/>
                      <w:sz w:val="21"/>
                      <w:szCs w:val="21"/>
                      <w:highlight w:val="none"/>
                    </w:rPr>
                  </w:pPr>
                </w:p>
              </w:tc>
              <w:tc>
                <w:tcPr>
                  <w:tcW w:w="1818" w:type="dxa"/>
                </w:tcPr>
                <w:p w14:paraId="4D2A797A">
                  <w:pPr>
                    <w:rPr>
                      <w:rFonts w:hint="eastAsia" w:ascii="宋体" w:hAnsi="宋体" w:eastAsia="宋体" w:cs="宋体"/>
                      <w:color w:val="auto"/>
                      <w:sz w:val="21"/>
                      <w:szCs w:val="21"/>
                      <w:highlight w:val="none"/>
                    </w:rPr>
                  </w:pPr>
                </w:p>
              </w:tc>
            </w:tr>
            <w:tr w14:paraId="3D21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0FECA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08033647">
                  <w:pPr>
                    <w:rPr>
                      <w:rFonts w:hint="eastAsia" w:ascii="宋体" w:hAnsi="宋体" w:eastAsia="宋体" w:cs="宋体"/>
                      <w:color w:val="auto"/>
                      <w:sz w:val="21"/>
                      <w:szCs w:val="21"/>
                      <w:highlight w:val="none"/>
                    </w:rPr>
                  </w:pPr>
                </w:p>
              </w:tc>
              <w:tc>
                <w:tcPr>
                  <w:tcW w:w="1818" w:type="dxa"/>
                </w:tcPr>
                <w:p w14:paraId="634A499E">
                  <w:pPr>
                    <w:rPr>
                      <w:rFonts w:hint="eastAsia" w:ascii="宋体" w:hAnsi="宋体" w:eastAsia="宋体" w:cs="宋体"/>
                      <w:color w:val="auto"/>
                      <w:sz w:val="21"/>
                      <w:szCs w:val="21"/>
                      <w:highlight w:val="none"/>
                    </w:rPr>
                  </w:pPr>
                </w:p>
              </w:tc>
            </w:tr>
            <w:tr w14:paraId="4215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62BE4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21A170D2">
                  <w:pPr>
                    <w:rPr>
                      <w:rFonts w:hint="eastAsia" w:ascii="宋体" w:hAnsi="宋体" w:eastAsia="宋体" w:cs="宋体"/>
                      <w:color w:val="auto"/>
                      <w:sz w:val="21"/>
                      <w:szCs w:val="21"/>
                      <w:highlight w:val="none"/>
                    </w:rPr>
                  </w:pPr>
                </w:p>
              </w:tc>
              <w:tc>
                <w:tcPr>
                  <w:tcW w:w="1818" w:type="dxa"/>
                </w:tcPr>
                <w:p w14:paraId="40AE3458">
                  <w:pPr>
                    <w:rPr>
                      <w:rFonts w:hint="eastAsia" w:ascii="宋体" w:hAnsi="宋体" w:eastAsia="宋体" w:cs="宋体"/>
                      <w:color w:val="auto"/>
                      <w:sz w:val="21"/>
                      <w:szCs w:val="21"/>
                      <w:highlight w:val="none"/>
                    </w:rPr>
                  </w:pPr>
                </w:p>
              </w:tc>
            </w:tr>
            <w:tr w14:paraId="2D11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44C008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3B9C1E2F">
                  <w:pPr>
                    <w:rPr>
                      <w:rFonts w:hint="eastAsia" w:ascii="宋体" w:hAnsi="宋体" w:eastAsia="宋体" w:cs="宋体"/>
                      <w:color w:val="auto"/>
                      <w:sz w:val="21"/>
                      <w:szCs w:val="21"/>
                      <w:highlight w:val="none"/>
                    </w:rPr>
                  </w:pPr>
                </w:p>
              </w:tc>
              <w:tc>
                <w:tcPr>
                  <w:tcW w:w="1818" w:type="dxa"/>
                </w:tcPr>
                <w:p w14:paraId="6E0E178B">
                  <w:pPr>
                    <w:rPr>
                      <w:rFonts w:hint="eastAsia" w:ascii="宋体" w:hAnsi="宋体" w:eastAsia="宋体" w:cs="宋体"/>
                      <w:color w:val="auto"/>
                      <w:sz w:val="21"/>
                      <w:szCs w:val="21"/>
                      <w:highlight w:val="none"/>
                    </w:rPr>
                  </w:pPr>
                </w:p>
              </w:tc>
            </w:tr>
            <w:tr w14:paraId="25F9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06FE1B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77560DBC">
                  <w:pPr>
                    <w:rPr>
                      <w:rFonts w:hint="eastAsia" w:ascii="宋体" w:hAnsi="宋体" w:eastAsia="宋体" w:cs="宋体"/>
                      <w:color w:val="auto"/>
                      <w:sz w:val="21"/>
                      <w:szCs w:val="21"/>
                      <w:highlight w:val="none"/>
                    </w:rPr>
                  </w:pPr>
                </w:p>
              </w:tc>
              <w:tc>
                <w:tcPr>
                  <w:tcW w:w="1818" w:type="dxa"/>
                </w:tcPr>
                <w:p w14:paraId="554F96FA">
                  <w:pPr>
                    <w:rPr>
                      <w:rFonts w:hint="eastAsia" w:ascii="宋体" w:hAnsi="宋体" w:eastAsia="宋体" w:cs="宋体"/>
                      <w:color w:val="auto"/>
                      <w:sz w:val="21"/>
                      <w:szCs w:val="21"/>
                      <w:highlight w:val="none"/>
                    </w:rPr>
                  </w:pPr>
                </w:p>
              </w:tc>
            </w:tr>
            <w:tr w14:paraId="0F21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464C0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155CF5F0">
                  <w:pPr>
                    <w:rPr>
                      <w:rFonts w:hint="eastAsia" w:ascii="宋体" w:hAnsi="宋体" w:eastAsia="宋体" w:cs="宋体"/>
                      <w:color w:val="auto"/>
                      <w:sz w:val="21"/>
                      <w:szCs w:val="21"/>
                      <w:highlight w:val="none"/>
                    </w:rPr>
                  </w:pPr>
                </w:p>
              </w:tc>
              <w:tc>
                <w:tcPr>
                  <w:tcW w:w="1818" w:type="dxa"/>
                </w:tcPr>
                <w:p w14:paraId="5C7C15B6">
                  <w:pPr>
                    <w:rPr>
                      <w:rFonts w:hint="eastAsia" w:ascii="宋体" w:hAnsi="宋体" w:eastAsia="宋体" w:cs="宋体"/>
                      <w:color w:val="auto"/>
                      <w:sz w:val="21"/>
                      <w:szCs w:val="21"/>
                      <w:highlight w:val="none"/>
                    </w:rPr>
                  </w:pPr>
                </w:p>
              </w:tc>
            </w:tr>
          </w:tbl>
          <w:p w14:paraId="157A92DE">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C2F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6259F99">
                  <w:pPr>
                    <w:jc w:val="center"/>
                    <w:rPr>
                      <w:rFonts w:hint="eastAsia" w:ascii="宋体" w:hAnsi="宋体" w:eastAsia="宋体" w:cs="宋体"/>
                      <w:color w:val="auto"/>
                      <w:sz w:val="21"/>
                      <w:szCs w:val="21"/>
                      <w:highlight w:val="none"/>
                    </w:rPr>
                  </w:pPr>
                </w:p>
              </w:tc>
              <w:tc>
                <w:tcPr>
                  <w:tcW w:w="813" w:type="dxa"/>
                  <w:vAlign w:val="center"/>
                </w:tcPr>
                <w:p w14:paraId="160BB3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08D7A9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75FE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29851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56AB08F8">
                  <w:pPr>
                    <w:jc w:val="center"/>
                    <w:rPr>
                      <w:rFonts w:hint="eastAsia" w:ascii="宋体" w:hAnsi="宋体" w:eastAsia="宋体" w:cs="宋体"/>
                      <w:color w:val="auto"/>
                      <w:sz w:val="21"/>
                      <w:szCs w:val="21"/>
                      <w:highlight w:val="none"/>
                    </w:rPr>
                  </w:pPr>
                </w:p>
              </w:tc>
              <w:tc>
                <w:tcPr>
                  <w:tcW w:w="813" w:type="dxa"/>
                  <w:vAlign w:val="center"/>
                </w:tcPr>
                <w:p w14:paraId="02BB081E">
                  <w:pPr>
                    <w:jc w:val="center"/>
                    <w:rPr>
                      <w:rFonts w:hint="eastAsia" w:ascii="宋体" w:hAnsi="宋体" w:eastAsia="宋体" w:cs="宋体"/>
                      <w:color w:val="auto"/>
                      <w:sz w:val="21"/>
                      <w:szCs w:val="21"/>
                      <w:highlight w:val="none"/>
                    </w:rPr>
                  </w:pPr>
                </w:p>
              </w:tc>
            </w:tr>
            <w:tr w14:paraId="71D2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8F0B4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7000CB69">
                  <w:pPr>
                    <w:jc w:val="center"/>
                    <w:rPr>
                      <w:rFonts w:hint="eastAsia" w:ascii="宋体" w:hAnsi="宋体" w:eastAsia="宋体" w:cs="宋体"/>
                      <w:color w:val="auto"/>
                      <w:sz w:val="21"/>
                      <w:szCs w:val="21"/>
                      <w:highlight w:val="none"/>
                    </w:rPr>
                  </w:pPr>
                </w:p>
              </w:tc>
              <w:tc>
                <w:tcPr>
                  <w:tcW w:w="813" w:type="dxa"/>
                  <w:vAlign w:val="center"/>
                </w:tcPr>
                <w:p w14:paraId="588C0DB4">
                  <w:pPr>
                    <w:jc w:val="center"/>
                    <w:rPr>
                      <w:rFonts w:hint="eastAsia" w:ascii="宋体" w:hAnsi="宋体" w:eastAsia="宋体" w:cs="宋体"/>
                      <w:color w:val="auto"/>
                      <w:sz w:val="21"/>
                      <w:szCs w:val="21"/>
                      <w:highlight w:val="none"/>
                    </w:rPr>
                  </w:pPr>
                </w:p>
              </w:tc>
            </w:tr>
            <w:tr w14:paraId="18ED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AC6D7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AD0AE5F">
                  <w:pPr>
                    <w:jc w:val="center"/>
                    <w:rPr>
                      <w:rFonts w:hint="eastAsia" w:ascii="宋体" w:hAnsi="宋体" w:eastAsia="宋体" w:cs="宋体"/>
                      <w:color w:val="auto"/>
                      <w:sz w:val="21"/>
                      <w:szCs w:val="21"/>
                      <w:highlight w:val="none"/>
                    </w:rPr>
                  </w:pPr>
                </w:p>
              </w:tc>
              <w:tc>
                <w:tcPr>
                  <w:tcW w:w="813" w:type="dxa"/>
                  <w:vAlign w:val="center"/>
                </w:tcPr>
                <w:p w14:paraId="5B4196CF">
                  <w:pPr>
                    <w:jc w:val="center"/>
                    <w:rPr>
                      <w:rFonts w:hint="eastAsia" w:ascii="宋体" w:hAnsi="宋体" w:eastAsia="宋体" w:cs="宋体"/>
                      <w:color w:val="auto"/>
                      <w:sz w:val="21"/>
                      <w:szCs w:val="21"/>
                      <w:highlight w:val="none"/>
                    </w:rPr>
                  </w:pPr>
                </w:p>
              </w:tc>
            </w:tr>
          </w:tbl>
          <w:p w14:paraId="29648025">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405EB2F">
            <w:pPr>
              <w:rPr>
                <w:rFonts w:hint="eastAsia" w:ascii="宋体" w:hAnsi="宋体" w:eastAsia="宋体" w:cs="宋体"/>
                <w:color w:val="auto"/>
                <w:sz w:val="21"/>
                <w:szCs w:val="21"/>
                <w:highlight w:val="none"/>
              </w:rPr>
            </w:pPr>
          </w:p>
        </w:tc>
      </w:tr>
      <w:tr w14:paraId="29BC7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jc w:val="center"/>
        </w:trPr>
        <w:tc>
          <w:tcPr>
            <w:tcW w:w="1242" w:type="dxa"/>
            <w:vMerge w:val="continue"/>
            <w:tcBorders>
              <w:left w:val="single" w:color="auto" w:sz="4" w:space="0"/>
              <w:right w:val="single" w:color="auto" w:sz="4" w:space="0"/>
            </w:tcBorders>
            <w:vAlign w:val="center"/>
          </w:tcPr>
          <w:p w14:paraId="79E92E2F">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03DA66C1">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w:t>
            </w:r>
          </w:p>
        </w:tc>
        <w:tc>
          <w:tcPr>
            <w:tcW w:w="4793" w:type="dxa"/>
            <w:tcBorders>
              <w:top w:val="single" w:color="auto" w:sz="4" w:space="0"/>
              <w:left w:val="single" w:color="auto" w:sz="4" w:space="0"/>
              <w:bottom w:val="single" w:color="auto" w:sz="4" w:space="0"/>
              <w:right w:val="single" w:color="auto" w:sz="4" w:space="0"/>
            </w:tcBorders>
            <w:vAlign w:val="center"/>
          </w:tcPr>
          <w:p w14:paraId="467C41AF">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32FC6DA6">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4F6C3202">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12B4356A">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A1EB88F">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692BC8E">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7D993F16">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44557BF8">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2AB3E925">
            <w:pPr>
              <w:numPr>
                <w:ilvl w:val="0"/>
                <w:numId w:val="20"/>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441F0AB1">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4A72AFDD">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10设定</w:t>
            </w:r>
            <w:r>
              <w:rPr>
                <w:rFonts w:hint="eastAsia" w:ascii="宋体" w:hAnsi="宋体" w:eastAsia="宋体" w:cs="宋体"/>
                <w:color w:val="auto"/>
                <w:spacing w:val="-4"/>
                <w:sz w:val="21"/>
                <w:szCs w:val="21"/>
                <w:highlight w:val="none"/>
              </w:rPr>
              <w:t>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的，扣5分；</w:t>
            </w:r>
          </w:p>
          <w:p w14:paraId="1700CB83">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7B992DF0">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2115050B">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49FA74B4">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7AB8B6E4">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360E47D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53C4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A133866">
                  <w:pPr>
                    <w:jc w:val="center"/>
                    <w:rPr>
                      <w:rFonts w:hint="eastAsia" w:ascii="宋体" w:hAnsi="宋体" w:eastAsia="宋体" w:cs="宋体"/>
                      <w:color w:val="auto"/>
                      <w:sz w:val="21"/>
                      <w:szCs w:val="21"/>
                      <w:highlight w:val="none"/>
                    </w:rPr>
                  </w:pPr>
                </w:p>
              </w:tc>
              <w:tc>
                <w:tcPr>
                  <w:tcW w:w="813" w:type="dxa"/>
                  <w:vAlign w:val="center"/>
                </w:tcPr>
                <w:p w14:paraId="69276D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1DD381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34EC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36CF6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1C096B34">
                  <w:pPr>
                    <w:jc w:val="center"/>
                    <w:rPr>
                      <w:rFonts w:hint="eastAsia" w:ascii="宋体" w:hAnsi="宋体" w:eastAsia="宋体" w:cs="宋体"/>
                      <w:color w:val="auto"/>
                      <w:sz w:val="21"/>
                      <w:szCs w:val="21"/>
                      <w:highlight w:val="none"/>
                    </w:rPr>
                  </w:pPr>
                </w:p>
              </w:tc>
              <w:tc>
                <w:tcPr>
                  <w:tcW w:w="813" w:type="dxa"/>
                  <w:vAlign w:val="center"/>
                </w:tcPr>
                <w:p w14:paraId="57274847">
                  <w:pPr>
                    <w:jc w:val="center"/>
                    <w:rPr>
                      <w:rFonts w:hint="eastAsia" w:ascii="宋体" w:hAnsi="宋体" w:eastAsia="宋体" w:cs="宋体"/>
                      <w:color w:val="auto"/>
                      <w:sz w:val="21"/>
                      <w:szCs w:val="21"/>
                      <w:highlight w:val="none"/>
                    </w:rPr>
                  </w:pPr>
                </w:p>
              </w:tc>
            </w:tr>
            <w:tr w14:paraId="27FD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405D19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B6EA121">
                  <w:pPr>
                    <w:jc w:val="center"/>
                    <w:rPr>
                      <w:rFonts w:hint="eastAsia" w:ascii="宋体" w:hAnsi="宋体" w:eastAsia="宋体" w:cs="宋体"/>
                      <w:color w:val="auto"/>
                      <w:sz w:val="21"/>
                      <w:szCs w:val="21"/>
                      <w:highlight w:val="none"/>
                    </w:rPr>
                  </w:pPr>
                </w:p>
              </w:tc>
              <w:tc>
                <w:tcPr>
                  <w:tcW w:w="813" w:type="dxa"/>
                  <w:vAlign w:val="center"/>
                </w:tcPr>
                <w:p w14:paraId="72D99CED">
                  <w:pPr>
                    <w:jc w:val="center"/>
                    <w:rPr>
                      <w:rFonts w:hint="eastAsia" w:ascii="宋体" w:hAnsi="宋体" w:eastAsia="宋体" w:cs="宋体"/>
                      <w:color w:val="auto"/>
                      <w:sz w:val="21"/>
                      <w:szCs w:val="21"/>
                      <w:highlight w:val="none"/>
                    </w:rPr>
                  </w:pPr>
                </w:p>
              </w:tc>
            </w:tr>
            <w:tr w14:paraId="2304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F1BCC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097B8FF7">
                  <w:pPr>
                    <w:jc w:val="center"/>
                    <w:rPr>
                      <w:rFonts w:hint="eastAsia" w:ascii="宋体" w:hAnsi="宋体" w:eastAsia="宋体" w:cs="宋体"/>
                      <w:color w:val="auto"/>
                      <w:sz w:val="21"/>
                      <w:szCs w:val="21"/>
                      <w:highlight w:val="none"/>
                    </w:rPr>
                  </w:pPr>
                </w:p>
              </w:tc>
              <w:tc>
                <w:tcPr>
                  <w:tcW w:w="813" w:type="dxa"/>
                  <w:vAlign w:val="center"/>
                </w:tcPr>
                <w:p w14:paraId="50FC1D18">
                  <w:pPr>
                    <w:jc w:val="center"/>
                    <w:rPr>
                      <w:rFonts w:hint="eastAsia" w:ascii="宋体" w:hAnsi="宋体" w:eastAsia="宋体" w:cs="宋体"/>
                      <w:color w:val="auto"/>
                      <w:sz w:val="21"/>
                      <w:szCs w:val="21"/>
                      <w:highlight w:val="none"/>
                    </w:rPr>
                  </w:pPr>
                </w:p>
              </w:tc>
            </w:tr>
          </w:tbl>
          <w:p w14:paraId="28C73F53">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1B6708DC">
            <w:pPr>
              <w:rPr>
                <w:rFonts w:hint="eastAsia" w:ascii="宋体" w:hAnsi="宋体" w:eastAsia="宋体" w:cs="宋体"/>
                <w:color w:val="auto"/>
                <w:sz w:val="21"/>
                <w:szCs w:val="21"/>
                <w:highlight w:val="none"/>
              </w:rPr>
            </w:pPr>
          </w:p>
        </w:tc>
      </w:tr>
      <w:tr w14:paraId="6B13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3" w:hRule="atLeast"/>
          <w:jc w:val="center"/>
        </w:trPr>
        <w:tc>
          <w:tcPr>
            <w:tcW w:w="1242" w:type="dxa"/>
            <w:vMerge w:val="continue"/>
            <w:tcBorders>
              <w:left w:val="single" w:color="auto" w:sz="4" w:space="0"/>
              <w:right w:val="single" w:color="auto" w:sz="4" w:space="0"/>
            </w:tcBorders>
            <w:vAlign w:val="center"/>
          </w:tcPr>
          <w:p w14:paraId="7FB8828D">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3D264333">
            <w:pPr>
              <w:jc w:val="left"/>
              <w:rPr>
                <w:rFonts w:hint="eastAsia" w:ascii="宋体" w:hAnsi="宋体" w:eastAsia="宋体" w:cs="宋体"/>
                <w:color w:val="auto"/>
                <w:spacing w:val="-4"/>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6509E239">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w:t>
            </w:r>
          </w:p>
          <w:p w14:paraId="4E6D54E0">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19FA03FE">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A85DA87">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8978EFC">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0BEC9F2F">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0F695978">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67A08AA4">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1B0F17DF">
            <w:pPr>
              <w:numPr>
                <w:ilvl w:val="0"/>
                <w:numId w:val="22"/>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3631281F">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600A622B">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pacing w:val="-4"/>
                <w:sz w:val="21"/>
                <w:szCs w:val="21"/>
                <w:highlight w:val="none"/>
              </w:rPr>
              <w:t>2.5设定流量与实测流量相对误差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 5分；</w:t>
            </w:r>
          </w:p>
          <w:p w14:paraId="20546714">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43F28EEF">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49EE1EA9">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30A83DE3">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1B359ED0">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495CD98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C07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DA113E1">
                  <w:pPr>
                    <w:jc w:val="center"/>
                    <w:rPr>
                      <w:rFonts w:hint="eastAsia" w:ascii="宋体" w:hAnsi="宋体" w:eastAsia="宋体" w:cs="宋体"/>
                      <w:color w:val="auto"/>
                      <w:sz w:val="21"/>
                      <w:szCs w:val="21"/>
                      <w:highlight w:val="none"/>
                    </w:rPr>
                  </w:pPr>
                </w:p>
              </w:tc>
              <w:tc>
                <w:tcPr>
                  <w:tcW w:w="813" w:type="dxa"/>
                  <w:vAlign w:val="center"/>
                </w:tcPr>
                <w:p w14:paraId="4224DD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426A2B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1DE27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0031C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7F025974">
                  <w:pPr>
                    <w:jc w:val="center"/>
                    <w:rPr>
                      <w:rFonts w:hint="eastAsia" w:ascii="宋体" w:hAnsi="宋体" w:eastAsia="宋体" w:cs="宋体"/>
                      <w:color w:val="auto"/>
                      <w:sz w:val="21"/>
                      <w:szCs w:val="21"/>
                      <w:highlight w:val="none"/>
                    </w:rPr>
                  </w:pPr>
                </w:p>
              </w:tc>
              <w:tc>
                <w:tcPr>
                  <w:tcW w:w="813" w:type="dxa"/>
                  <w:vAlign w:val="center"/>
                </w:tcPr>
                <w:p w14:paraId="51216204">
                  <w:pPr>
                    <w:jc w:val="center"/>
                    <w:rPr>
                      <w:rFonts w:hint="eastAsia" w:ascii="宋体" w:hAnsi="宋体" w:eastAsia="宋体" w:cs="宋体"/>
                      <w:color w:val="auto"/>
                      <w:sz w:val="21"/>
                      <w:szCs w:val="21"/>
                      <w:highlight w:val="none"/>
                    </w:rPr>
                  </w:pPr>
                </w:p>
              </w:tc>
            </w:tr>
            <w:tr w14:paraId="41B5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5A408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2224E5A">
                  <w:pPr>
                    <w:jc w:val="center"/>
                    <w:rPr>
                      <w:rFonts w:hint="eastAsia" w:ascii="宋体" w:hAnsi="宋体" w:eastAsia="宋体" w:cs="宋体"/>
                      <w:color w:val="auto"/>
                      <w:sz w:val="21"/>
                      <w:szCs w:val="21"/>
                      <w:highlight w:val="none"/>
                    </w:rPr>
                  </w:pPr>
                </w:p>
              </w:tc>
              <w:tc>
                <w:tcPr>
                  <w:tcW w:w="813" w:type="dxa"/>
                  <w:vAlign w:val="center"/>
                </w:tcPr>
                <w:p w14:paraId="5119968B">
                  <w:pPr>
                    <w:jc w:val="center"/>
                    <w:rPr>
                      <w:rFonts w:hint="eastAsia" w:ascii="宋体" w:hAnsi="宋体" w:eastAsia="宋体" w:cs="宋体"/>
                      <w:color w:val="auto"/>
                      <w:sz w:val="21"/>
                      <w:szCs w:val="21"/>
                      <w:highlight w:val="none"/>
                    </w:rPr>
                  </w:pPr>
                </w:p>
              </w:tc>
            </w:tr>
            <w:tr w14:paraId="342D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C13D1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1C4278F9">
                  <w:pPr>
                    <w:jc w:val="center"/>
                    <w:rPr>
                      <w:rFonts w:hint="eastAsia" w:ascii="宋体" w:hAnsi="宋体" w:eastAsia="宋体" w:cs="宋体"/>
                      <w:color w:val="auto"/>
                      <w:sz w:val="21"/>
                      <w:szCs w:val="21"/>
                      <w:highlight w:val="none"/>
                    </w:rPr>
                  </w:pPr>
                </w:p>
              </w:tc>
              <w:tc>
                <w:tcPr>
                  <w:tcW w:w="813" w:type="dxa"/>
                  <w:vAlign w:val="center"/>
                </w:tcPr>
                <w:p w14:paraId="5204950B">
                  <w:pPr>
                    <w:jc w:val="center"/>
                    <w:rPr>
                      <w:rFonts w:hint="eastAsia" w:ascii="宋体" w:hAnsi="宋体" w:eastAsia="宋体" w:cs="宋体"/>
                      <w:color w:val="auto"/>
                      <w:sz w:val="21"/>
                      <w:szCs w:val="21"/>
                      <w:highlight w:val="none"/>
                    </w:rPr>
                  </w:pPr>
                </w:p>
              </w:tc>
            </w:tr>
          </w:tbl>
          <w:p w14:paraId="182ACF59">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90E50BA">
            <w:pPr>
              <w:rPr>
                <w:rFonts w:hint="eastAsia" w:ascii="宋体" w:hAnsi="宋体" w:eastAsia="宋体" w:cs="宋体"/>
                <w:color w:val="auto"/>
                <w:sz w:val="21"/>
                <w:szCs w:val="21"/>
                <w:highlight w:val="none"/>
              </w:rPr>
            </w:pPr>
          </w:p>
        </w:tc>
      </w:tr>
      <w:tr w14:paraId="4F86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AF1D4E2">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266A4C3">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745247E3">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0CE7ADCC">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p w14:paraId="3893E6D1">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标气NO有效期限：</w:t>
            </w:r>
          </w:p>
          <w:p w14:paraId="5E720DA5">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标气CO有效期限：</w:t>
            </w:r>
          </w:p>
          <w:p w14:paraId="69A99041">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标气SO</w:t>
            </w:r>
            <w:r>
              <w:rPr>
                <w:rFonts w:hint="eastAsia" w:ascii="宋体" w:hAnsi="宋体" w:eastAsia="宋体" w:cs="宋体"/>
                <w:color w:val="auto"/>
                <w:spacing w:val="-4"/>
                <w:sz w:val="21"/>
                <w:szCs w:val="21"/>
                <w:highlight w:val="none"/>
                <w:vertAlign w:val="subscript"/>
              </w:rPr>
              <w:t>2</w:t>
            </w:r>
            <w:r>
              <w:rPr>
                <w:rFonts w:hint="eastAsia" w:ascii="宋体" w:hAnsi="宋体" w:eastAsia="宋体" w:cs="宋体"/>
                <w:color w:val="auto"/>
                <w:spacing w:val="-4"/>
                <w:sz w:val="21"/>
                <w:szCs w:val="21"/>
                <w:highlight w:val="none"/>
              </w:rPr>
              <w:t>有效期限：</w:t>
            </w:r>
          </w:p>
        </w:tc>
        <w:tc>
          <w:tcPr>
            <w:tcW w:w="851" w:type="dxa"/>
            <w:tcBorders>
              <w:top w:val="single" w:color="auto" w:sz="4" w:space="0"/>
              <w:left w:val="single" w:color="auto" w:sz="4" w:space="0"/>
              <w:bottom w:val="single" w:color="auto" w:sz="4" w:space="0"/>
              <w:right w:val="single" w:color="auto" w:sz="4" w:space="0"/>
            </w:tcBorders>
            <w:vAlign w:val="center"/>
          </w:tcPr>
          <w:p w14:paraId="11961EB8">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3B56EB9A">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用于校准的设备（流量计、温度计、大气压计）是否每年通过国家计量检定；</w:t>
            </w:r>
          </w:p>
          <w:p w14:paraId="09431F4A">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标准气体是否在有效期内使用；</w:t>
            </w:r>
          </w:p>
          <w:p w14:paraId="15B065A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备注：A—F项任一项不合格扣2分，扣分上限为单项分值。</w:t>
            </w:r>
          </w:p>
        </w:tc>
        <w:tc>
          <w:tcPr>
            <w:tcW w:w="2212" w:type="dxa"/>
            <w:tcBorders>
              <w:top w:val="single" w:color="auto" w:sz="4" w:space="0"/>
              <w:left w:val="single" w:color="auto" w:sz="4" w:space="0"/>
              <w:bottom w:val="single" w:color="auto" w:sz="4" w:space="0"/>
              <w:right w:val="single" w:color="auto" w:sz="4" w:space="0"/>
            </w:tcBorders>
          </w:tcPr>
          <w:p w14:paraId="1B61BC7E">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8E74754">
            <w:pPr>
              <w:jc w:val="left"/>
              <w:rPr>
                <w:rFonts w:hint="eastAsia" w:ascii="宋体" w:hAnsi="宋体" w:eastAsia="宋体" w:cs="宋体"/>
                <w:color w:val="auto"/>
                <w:sz w:val="21"/>
                <w:szCs w:val="21"/>
                <w:highlight w:val="none"/>
              </w:rPr>
            </w:pPr>
          </w:p>
        </w:tc>
      </w:tr>
      <w:tr w14:paraId="2AE5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099B701A">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F3496DE">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能否正常采集数据并上传智慧环保平台并发布数据</w:t>
            </w:r>
          </w:p>
        </w:tc>
        <w:tc>
          <w:tcPr>
            <w:tcW w:w="851" w:type="dxa"/>
            <w:tcBorders>
              <w:top w:val="single" w:color="auto" w:sz="4" w:space="0"/>
              <w:left w:val="single" w:color="auto" w:sz="4" w:space="0"/>
              <w:bottom w:val="single" w:color="auto" w:sz="4" w:space="0"/>
              <w:right w:val="single" w:color="auto" w:sz="4" w:space="0"/>
            </w:tcBorders>
            <w:vAlign w:val="center"/>
          </w:tcPr>
          <w:p w14:paraId="1AB9A4FF">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4F8E55E4">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212" w:type="dxa"/>
            <w:tcBorders>
              <w:top w:val="single" w:color="auto" w:sz="4" w:space="0"/>
              <w:left w:val="single" w:color="auto" w:sz="4" w:space="0"/>
              <w:bottom w:val="single" w:color="auto" w:sz="4" w:space="0"/>
              <w:right w:val="single" w:color="auto" w:sz="4" w:space="0"/>
            </w:tcBorders>
            <w:vAlign w:val="center"/>
          </w:tcPr>
          <w:p w14:paraId="01EB74D3">
            <w:pPr>
              <w:jc w:val="center"/>
              <w:rPr>
                <w:rFonts w:hint="eastAsia" w:ascii="宋体" w:hAnsi="宋体" w:eastAsia="宋体" w:cs="宋体"/>
                <w:bCs/>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2F0E94B">
            <w:pPr>
              <w:jc w:val="left"/>
              <w:rPr>
                <w:rFonts w:hint="eastAsia" w:ascii="宋体" w:hAnsi="宋体" w:eastAsia="宋体" w:cs="宋体"/>
                <w:bCs/>
                <w:color w:val="auto"/>
                <w:sz w:val="21"/>
                <w:szCs w:val="21"/>
                <w:highlight w:val="none"/>
              </w:rPr>
            </w:pPr>
          </w:p>
        </w:tc>
      </w:tr>
      <w:tr w14:paraId="6470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37A9308">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运维人员要求</w:t>
            </w:r>
          </w:p>
          <w:p w14:paraId="053D47E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BF3BE55">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tc>
        <w:tc>
          <w:tcPr>
            <w:tcW w:w="851" w:type="dxa"/>
            <w:tcBorders>
              <w:top w:val="single" w:color="auto" w:sz="4" w:space="0"/>
              <w:left w:val="single" w:color="auto" w:sz="4" w:space="0"/>
              <w:bottom w:val="single" w:color="auto" w:sz="4" w:space="0"/>
              <w:right w:val="single" w:color="auto" w:sz="4" w:space="0"/>
            </w:tcBorders>
            <w:vAlign w:val="center"/>
          </w:tcPr>
          <w:p w14:paraId="10A8A742">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439E961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运维人员未持有上岗证扣2分。</w:t>
            </w:r>
          </w:p>
        </w:tc>
        <w:tc>
          <w:tcPr>
            <w:tcW w:w="2212" w:type="dxa"/>
            <w:tcBorders>
              <w:top w:val="single" w:color="auto" w:sz="4" w:space="0"/>
              <w:left w:val="single" w:color="auto" w:sz="4" w:space="0"/>
              <w:bottom w:val="single" w:color="auto" w:sz="4" w:space="0"/>
              <w:right w:val="single" w:color="auto" w:sz="4" w:space="0"/>
            </w:tcBorders>
            <w:vAlign w:val="center"/>
          </w:tcPr>
          <w:p w14:paraId="3B652065">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B35D643">
            <w:pPr>
              <w:jc w:val="left"/>
              <w:rPr>
                <w:rFonts w:hint="eastAsia" w:ascii="宋体" w:hAnsi="宋体" w:eastAsia="宋体" w:cs="宋体"/>
                <w:color w:val="auto"/>
                <w:sz w:val="21"/>
                <w:szCs w:val="21"/>
                <w:highlight w:val="none"/>
              </w:rPr>
            </w:pPr>
          </w:p>
        </w:tc>
      </w:tr>
      <w:tr w14:paraId="4841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70B4139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7.档案记录与运维工作完成情况（10分）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FA2F682">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2AE63EFC">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851" w:type="dxa"/>
            <w:tcBorders>
              <w:top w:val="single" w:color="auto" w:sz="4" w:space="0"/>
              <w:left w:val="single" w:color="auto" w:sz="4" w:space="0"/>
              <w:bottom w:val="single" w:color="auto" w:sz="4" w:space="0"/>
              <w:right w:val="single" w:color="auto" w:sz="4" w:space="0"/>
            </w:tcBorders>
            <w:vAlign w:val="center"/>
          </w:tcPr>
          <w:p w14:paraId="54C9175F">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44B7BF1F">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现场填写档案记录规范齐全，若发现一项存在问题扣5分；</w:t>
            </w:r>
          </w:p>
          <w:p w14:paraId="010C9D15">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302C42E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3EBED8A1">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3CC8835">
            <w:pPr>
              <w:jc w:val="left"/>
              <w:rPr>
                <w:rFonts w:hint="eastAsia" w:ascii="宋体" w:hAnsi="宋体" w:eastAsia="宋体" w:cs="宋体"/>
                <w:color w:val="auto"/>
                <w:sz w:val="21"/>
                <w:szCs w:val="21"/>
                <w:highlight w:val="none"/>
              </w:rPr>
            </w:pPr>
          </w:p>
        </w:tc>
      </w:tr>
      <w:tr w14:paraId="3AC9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0995F017">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61979B42">
            <w:pPr>
              <w:jc w:val="left"/>
              <w:rPr>
                <w:rFonts w:hint="eastAsia" w:ascii="宋体" w:hAnsi="宋体" w:eastAsia="宋体" w:cs="宋体"/>
                <w:bCs/>
                <w:color w:val="auto"/>
                <w:sz w:val="21"/>
                <w:szCs w:val="21"/>
                <w:highlight w:val="none"/>
              </w:rPr>
            </w:pPr>
          </w:p>
        </w:tc>
      </w:tr>
    </w:tbl>
    <w:p w14:paraId="36D1A0C5">
      <w:pPr>
        <w:rPr>
          <w:rFonts w:hint="eastAsia" w:ascii="宋体" w:hAnsi="宋体" w:eastAsia="宋体" w:cs="宋体"/>
          <w:b/>
          <w:color w:val="auto"/>
          <w:sz w:val="22"/>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699A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3C63D95A">
            <w:pPr>
              <w:jc w:val="center"/>
              <w:rPr>
                <w:rFonts w:hint="eastAsia" w:ascii="宋体" w:hAnsi="宋体" w:eastAsia="宋体" w:cs="宋体"/>
                <w:color w:val="auto"/>
                <w:sz w:val="22"/>
                <w:highlight w:val="none"/>
              </w:rPr>
            </w:pPr>
            <w:r>
              <w:rPr>
                <w:rFonts w:hint="eastAsia" w:ascii="宋体" w:hAnsi="宋体" w:eastAsia="宋体" w:cs="宋体"/>
                <w:b/>
                <w:color w:val="auto"/>
                <w:sz w:val="22"/>
                <w:highlight w:val="none"/>
              </w:rPr>
              <w:t>其它需要特别记录的问题</w:t>
            </w:r>
          </w:p>
        </w:tc>
      </w:tr>
      <w:tr w14:paraId="52EC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jc w:val="center"/>
        </w:trPr>
        <w:tc>
          <w:tcPr>
            <w:tcW w:w="1901" w:type="dxa"/>
            <w:tcBorders>
              <w:top w:val="single" w:color="auto" w:sz="4" w:space="0"/>
              <w:left w:val="single" w:color="auto" w:sz="4" w:space="0"/>
              <w:right w:val="single" w:color="auto" w:sz="4" w:space="0"/>
            </w:tcBorders>
            <w:vAlign w:val="center"/>
          </w:tcPr>
          <w:p w14:paraId="17449CE7">
            <w:pPr>
              <w:jc w:val="center"/>
              <w:rPr>
                <w:rFonts w:hint="eastAsia" w:ascii="宋体" w:hAnsi="宋体" w:eastAsia="宋体" w:cs="宋体"/>
                <w:color w:val="auto"/>
                <w:sz w:val="22"/>
                <w:highlight w:val="none"/>
              </w:rPr>
            </w:pPr>
            <w:r>
              <w:rPr>
                <w:rFonts w:hint="eastAsia" w:ascii="宋体" w:hAnsi="宋体" w:eastAsia="宋体" w:cs="宋体"/>
                <w:b/>
                <w:color w:val="auto"/>
                <w:sz w:val="22"/>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2FA45E02">
            <w:pPr>
              <w:rPr>
                <w:rFonts w:hint="eastAsia" w:ascii="宋体" w:hAnsi="宋体" w:eastAsia="宋体" w:cs="宋体"/>
                <w:color w:val="auto"/>
                <w:sz w:val="22"/>
                <w:highlight w:val="none"/>
              </w:rPr>
            </w:pPr>
          </w:p>
        </w:tc>
      </w:tr>
    </w:tbl>
    <w:p w14:paraId="79EFE2F6">
      <w:pPr>
        <w:spacing w:line="360" w:lineRule="auto"/>
        <w:ind w:right="440"/>
        <w:jc w:val="center"/>
        <w:rPr>
          <w:rFonts w:hint="eastAsia" w:ascii="宋体" w:hAnsi="宋体" w:eastAsia="宋体" w:cs="宋体"/>
          <w:b/>
          <w:color w:val="auto"/>
          <w:sz w:val="22"/>
          <w:highlight w:val="none"/>
        </w:rPr>
      </w:pPr>
    </w:p>
    <w:p w14:paraId="5F1ED05A">
      <w:pPr>
        <w:spacing w:line="360" w:lineRule="auto"/>
        <w:ind w:right="440"/>
        <w:jc w:val="left"/>
        <w:rPr>
          <w:rFonts w:hint="eastAsia" w:ascii="宋体" w:hAnsi="宋体" w:eastAsia="宋体" w:cs="宋体"/>
          <w:b/>
          <w:color w:val="auto"/>
          <w:sz w:val="22"/>
          <w:highlight w:val="none"/>
        </w:rPr>
      </w:pPr>
    </w:p>
    <w:p w14:paraId="7C2DE210">
      <w:pPr>
        <w:spacing w:line="360" w:lineRule="auto"/>
        <w:ind w:right="44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检查单位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检查人员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13B70CD8">
      <w:pPr>
        <w:jc w:val="left"/>
        <w:rPr>
          <w:rFonts w:hint="eastAsia" w:ascii="宋体" w:hAnsi="宋体" w:eastAsia="宋体" w:cs="宋体"/>
          <w:color w:val="auto"/>
          <w:sz w:val="24"/>
          <w:szCs w:val="24"/>
          <w:highlight w:val="none"/>
        </w:rPr>
        <w:sectPr>
          <w:headerReference r:id="rId4" w:type="default"/>
          <w:footerReference r:id="rId5" w:type="default"/>
          <w:pgSz w:w="16840" w:h="11907" w:orient="landscape"/>
          <w:pgMar w:top="1247" w:right="1247" w:bottom="1247" w:left="1213" w:header="851" w:footer="680" w:gutter="0"/>
          <w:pgNumType w:fmt="decimal"/>
          <w:cols w:space="720" w:num="1"/>
          <w:docGrid w:linePitch="312" w:charSpace="0"/>
        </w:sectPr>
      </w:pPr>
      <w:r>
        <w:rPr>
          <w:rFonts w:hint="eastAsia" w:ascii="宋体" w:hAnsi="宋体" w:eastAsia="宋体" w:cs="宋体"/>
          <w:b/>
          <w:color w:val="auto"/>
          <w:sz w:val="24"/>
          <w:szCs w:val="24"/>
          <w:highlight w:val="none"/>
        </w:rPr>
        <w:t>运维单位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运维人员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2AB683FD">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（3）运维费核算方法：</w:t>
      </w:r>
    </w:p>
    <w:p w14:paraId="51AF1AC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考核总分低于70分的，不予支付该站点当期运维费；考核得分95（含）分以上的，支付该站点全额运维费；考核得分在70（含）-95分的，该站点当期运维费=（实际考核总分/100）×单站点当期全额运维费。</w:t>
      </w:r>
    </w:p>
    <w:p w14:paraId="0D45A95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若当月因客观因素导致站点某项或某几项监测参数有效监测天数不满足《环境空气质量标准》（GB 3095-2026）及相关技术规范要求的，运维单位可于次月5日前提交证明文件，经职能部门审批同意后，则该站点当期运维费=（该站点当期全额运维费÷该站点当期自然运维天数）×该站点各监测参数当期最小有效监测天数。</w:t>
      </w:r>
    </w:p>
    <w:p w14:paraId="091365E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6.2 其他规定</w:t>
      </w:r>
    </w:p>
    <w:p w14:paraId="2B62D3B1">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在月考核中出现10%站点未达到数据有效性要求的，给予警告；连续2次考核出现10%站点未达到，或者单次考核20%以上站点未达到数据有效性要求的，终止运维合同。同一站点连续两个月未达到数据有效性要求的，扣除该站点一个季度运维费；连续3个月未达到数据有效性要求的，扣除该站点半年年运维费。</w:t>
      </w:r>
    </w:p>
    <w:p w14:paraId="2770AC3E">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运维单位须在每季度考核周期结束后10个工作日内，将上一周期的绩效自核算结果及核算相关文件、资料提交至采购人。运维单位有下列情形之一的，将扣除相应站点当月运维费：</w:t>
      </w:r>
    </w:p>
    <w:p w14:paraId="28B724C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（1）迟报、漏报或不报审核数据的；</w:t>
      </w:r>
    </w:p>
    <w:p w14:paraId="7DD6F4B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（2）拖延、阻碍、拒绝质量控制监督检查的；</w:t>
      </w:r>
    </w:p>
    <w:p w14:paraId="4F4621ED">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（3）发现采样、分析、数据采集和传输等过程人为干扰，未按要求及时报告采购人的；</w:t>
      </w:r>
    </w:p>
    <w:p w14:paraId="49188DB5">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（4）因工作疏漏，未发现采样、分析、数据采集和传输等过程人为干扰的；</w:t>
      </w:r>
    </w:p>
    <w:p w14:paraId="4183459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（5）其他不履行规定职责的情形。</w:t>
      </w:r>
    </w:p>
    <w:p w14:paraId="1C6F4F0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在质量控制监督检查中，发现运维单位未达到</w:t>
      </w: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运维质控要求时，根据对数据质量造成的影响程度，扣减相应站点当季度10%～100%的运维经费；如未及时整改，加倍扣款。</w:t>
      </w:r>
    </w:p>
    <w:p w14:paraId="2EC307E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en-US" w:eastAsia="zh-CN"/>
        </w:rPr>
        <w:t>采购人</w:t>
      </w:r>
      <w:r>
        <w:rPr>
          <w:rFonts w:hint="eastAsia" w:ascii="宋体" w:hAnsi="宋体" w:eastAsia="宋体" w:cs="宋体"/>
          <w:b w:val="0"/>
          <w:bCs w:val="0"/>
          <w:color w:val="auto"/>
          <w:sz w:val="24"/>
          <w:szCs w:val="24"/>
          <w:highlight w:val="none"/>
          <w:lang w:val="zh-CN" w:eastAsia="zh-CN"/>
        </w:rPr>
        <w:t>有权根据相关规定对扣除的运维费进行重新支配，用于开展其他与空气站运维管理相关的工作。</w:t>
      </w:r>
    </w:p>
    <w:p w14:paraId="76B0DBC1">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bookmarkEnd w:id="1"/>
    <w:p w14:paraId="75115502">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sectPr>
          <w:headerReference r:id="rId6" w:type="default"/>
          <w:footerReference r:id="rId7" w:type="default"/>
          <w:pgSz w:w="11905" w:h="16838"/>
          <w:pgMar w:top="1247" w:right="1247" w:bottom="1213" w:left="1247" w:header="851" w:footer="680" w:gutter="0"/>
          <w:pgNumType w:fmt="decimal"/>
          <w:cols w:space="0" w:num="1"/>
          <w:rtlGutter w:val="0"/>
          <w:docGrid w:linePitch="312" w:charSpace="0"/>
        </w:sectPr>
      </w:pPr>
    </w:p>
    <w:p w14:paraId="65E9DC74">
      <w:pPr>
        <w:pStyle w:val="11"/>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2.西安市重点区域环境空气颗粒物监测站运维服务</w:t>
      </w:r>
    </w:p>
    <w:p w14:paraId="31D3D36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（一）项目内容</w:t>
      </w:r>
    </w:p>
    <w:p w14:paraId="43948EB1">
      <w:pPr>
        <w:spacing w:line="360" w:lineRule="auto"/>
        <w:ind w:firstLine="480" w:firstLineChars="200"/>
        <w:rPr>
          <w:rFonts w:hint="eastAsia" w:ascii="宋体" w:hAnsi="宋体" w:eastAsia="宋体" w:cs="宋体"/>
          <w:b w:val="0"/>
          <w:bCs w:val="0"/>
          <w:color w:val="auto"/>
          <w:sz w:val="24"/>
          <w:szCs w:val="24"/>
          <w:highlight w:val="none"/>
          <w:lang w:val="zh-CN" w:eastAsia="en-US"/>
        </w:rPr>
      </w:pPr>
      <w:r>
        <w:rPr>
          <w:rFonts w:hint="eastAsia" w:ascii="宋体" w:hAnsi="宋体" w:eastAsia="宋体" w:cs="宋体"/>
          <w:b w:val="0"/>
          <w:bCs w:val="0"/>
          <w:color w:val="auto"/>
          <w:sz w:val="24"/>
          <w:szCs w:val="24"/>
          <w:highlight w:val="none"/>
          <w:lang w:val="zh-CN" w:eastAsia="zh-CN"/>
        </w:rPr>
        <w:t>西安市重点区域环境空气颗粒物监测站，运维服务内容为西安市建成的68套颗粒物监测系统。运维服务内容包含所有站点监测分析仪器及数据采集与传输设备、辅助设备、用电及网络保障、视频监控、护栏等辅助基础设施的日常维护、质量控制、故障维修、年度检修、预防性维护等工作，确保颗粒物监测仪器设备稳定运行并与智慧环保软件平台联网正常；颗粒物监测仪器10座（次）挪机、安装、调试、数据比对服务。接受采购人质控检查和考核。</w:t>
      </w:r>
      <w:bookmarkStart w:id="2" w:name="_Toc55201345"/>
    </w:p>
    <w:tbl>
      <w:tblPr>
        <w:tblStyle w:val="7"/>
        <w:tblW w:w="10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650"/>
        <w:gridCol w:w="1295"/>
        <w:gridCol w:w="1585"/>
        <w:gridCol w:w="5030"/>
      </w:tblGrid>
      <w:tr w14:paraId="01AC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10120" w:type="dxa"/>
            <w:gridSpan w:val="5"/>
            <w:tcBorders>
              <w:top w:val="single" w:color="auto" w:sz="4" w:space="0"/>
              <w:left w:val="nil"/>
              <w:bottom w:val="nil"/>
              <w:right w:val="nil"/>
            </w:tcBorders>
            <w:vAlign w:val="center"/>
          </w:tcPr>
          <w:p w14:paraId="306506F1">
            <w:pPr>
              <w:spacing w:line="360" w:lineRule="auto"/>
              <w:jc w:val="center"/>
              <w:rPr>
                <w:rFonts w:hint="eastAsia" w:ascii="宋体" w:hAnsi="宋体" w:eastAsia="宋体" w:cs="宋体"/>
                <w:b/>
                <w:color w:val="auto"/>
                <w:sz w:val="21"/>
                <w:szCs w:val="21"/>
                <w:highlight w:val="none"/>
                <w:lang w:bidi="en-US"/>
              </w:rPr>
            </w:pPr>
            <w:r>
              <w:rPr>
                <w:rFonts w:hint="eastAsia" w:ascii="宋体" w:hAnsi="宋体" w:eastAsia="宋体" w:cs="宋体"/>
                <w:b/>
                <w:color w:val="auto"/>
                <w:sz w:val="21"/>
                <w:szCs w:val="21"/>
                <w:highlight w:val="none"/>
                <w:lang w:eastAsia="en-US" w:bidi="en-US"/>
              </w:rPr>
              <w:t>68</w:t>
            </w:r>
            <w:r>
              <w:rPr>
                <w:rFonts w:hint="eastAsia" w:ascii="宋体" w:hAnsi="宋体" w:eastAsia="宋体" w:cs="宋体"/>
                <w:b/>
                <w:color w:val="auto"/>
                <w:sz w:val="21"/>
                <w:szCs w:val="21"/>
                <w:highlight w:val="none"/>
                <w:lang w:val="zh-CN" w:eastAsia="en-US" w:bidi="en-US"/>
              </w:rPr>
              <w:t>套设备清单</w:t>
            </w:r>
            <w:r>
              <w:rPr>
                <w:rFonts w:hint="eastAsia" w:ascii="宋体" w:hAnsi="宋体" w:eastAsia="宋体" w:cs="宋体"/>
                <w:b/>
                <w:color w:val="auto"/>
                <w:sz w:val="21"/>
                <w:szCs w:val="21"/>
                <w:highlight w:val="none"/>
                <w:lang w:bidi="en-US"/>
              </w:rPr>
              <w:t>登记表</w:t>
            </w:r>
          </w:p>
        </w:tc>
      </w:tr>
      <w:tr w14:paraId="70562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3593D">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序号</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9F3B5">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站点编号</w:t>
            </w:r>
          </w:p>
        </w:tc>
        <w:tc>
          <w:tcPr>
            <w:tcW w:w="12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E8DE4">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路段</w:t>
            </w:r>
          </w:p>
        </w:tc>
        <w:tc>
          <w:tcPr>
            <w:tcW w:w="15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A27F">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区县</w:t>
            </w:r>
          </w:p>
        </w:tc>
        <w:tc>
          <w:tcPr>
            <w:tcW w:w="50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920">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站点位置</w:t>
            </w:r>
          </w:p>
        </w:tc>
      </w:tr>
      <w:tr w14:paraId="780E7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jc w:val="center"/>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B3DE">
            <w:pPr>
              <w:spacing w:line="360" w:lineRule="auto"/>
              <w:jc w:val="center"/>
              <w:rPr>
                <w:rFonts w:hint="eastAsia" w:ascii="宋体" w:hAnsi="宋体" w:eastAsia="宋体" w:cs="宋体"/>
                <w:color w:val="auto"/>
                <w:sz w:val="21"/>
                <w:szCs w:val="21"/>
                <w:highlight w:val="none"/>
                <w:lang w:eastAsia="en-US" w:bidi="en-US"/>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538C">
            <w:pPr>
              <w:spacing w:line="360" w:lineRule="auto"/>
              <w:jc w:val="center"/>
              <w:rPr>
                <w:rFonts w:hint="eastAsia" w:ascii="宋体" w:hAnsi="宋体" w:eastAsia="宋体" w:cs="宋体"/>
                <w:color w:val="auto"/>
                <w:sz w:val="21"/>
                <w:szCs w:val="21"/>
                <w:highlight w:val="none"/>
                <w:lang w:eastAsia="en-US" w:bidi="en-US"/>
              </w:rPr>
            </w:pPr>
          </w:p>
        </w:tc>
        <w:tc>
          <w:tcPr>
            <w:tcW w:w="12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C694">
            <w:pPr>
              <w:spacing w:line="360" w:lineRule="auto"/>
              <w:jc w:val="center"/>
              <w:rPr>
                <w:rFonts w:hint="eastAsia" w:ascii="宋体" w:hAnsi="宋体" w:eastAsia="宋体" w:cs="宋体"/>
                <w:color w:val="auto"/>
                <w:sz w:val="21"/>
                <w:szCs w:val="21"/>
                <w:highlight w:val="none"/>
                <w:lang w:eastAsia="en-US" w:bidi="en-US"/>
              </w:rPr>
            </w:pPr>
          </w:p>
        </w:tc>
        <w:tc>
          <w:tcPr>
            <w:tcW w:w="15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F262A">
            <w:pPr>
              <w:spacing w:line="360" w:lineRule="auto"/>
              <w:jc w:val="center"/>
              <w:rPr>
                <w:rFonts w:hint="eastAsia" w:ascii="宋体" w:hAnsi="宋体" w:eastAsia="宋体" w:cs="宋体"/>
                <w:color w:val="auto"/>
                <w:sz w:val="21"/>
                <w:szCs w:val="21"/>
                <w:highlight w:val="none"/>
                <w:lang w:eastAsia="en-US" w:bidi="en-US"/>
              </w:rPr>
            </w:pPr>
          </w:p>
        </w:tc>
        <w:tc>
          <w:tcPr>
            <w:tcW w:w="50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470E">
            <w:pPr>
              <w:spacing w:line="360" w:lineRule="auto"/>
              <w:jc w:val="center"/>
              <w:rPr>
                <w:rFonts w:hint="eastAsia" w:ascii="宋体" w:hAnsi="宋体" w:eastAsia="宋体" w:cs="宋体"/>
                <w:color w:val="auto"/>
                <w:sz w:val="21"/>
                <w:szCs w:val="21"/>
                <w:highlight w:val="none"/>
                <w:lang w:eastAsia="en-US" w:bidi="en-US"/>
              </w:rPr>
            </w:pPr>
          </w:p>
        </w:tc>
      </w:tr>
      <w:tr w14:paraId="7E0F8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39E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92B7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610100703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199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咸宁路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1F9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AD4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咸宁东路与浐河东路十字西北角</w:t>
            </w:r>
          </w:p>
        </w:tc>
      </w:tr>
      <w:tr w14:paraId="39C62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9708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7D39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D7E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咸宁路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478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2CF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咸宁西路与兴庆西路十字向东100米路北</w:t>
            </w:r>
          </w:p>
        </w:tc>
      </w:tr>
      <w:tr w14:paraId="70246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3C5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BE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ADF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长乐东路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8A4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017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长乐东路灞桥区松林家园</w:t>
            </w:r>
          </w:p>
        </w:tc>
      </w:tr>
      <w:tr w14:paraId="58F90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821F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AFEF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396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华清路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E1A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8010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华清西路与二环东路西南角</w:t>
            </w:r>
          </w:p>
        </w:tc>
      </w:tr>
      <w:tr w14:paraId="043EA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E6C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27E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20F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华清路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E29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57F1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西安供电分局城东分局站</w:t>
            </w:r>
          </w:p>
        </w:tc>
      </w:tr>
      <w:tr w14:paraId="5E879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B8A1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1A2F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B6D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6484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D48C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108国道临潼区新丰工业园（带屏幕）</w:t>
            </w:r>
          </w:p>
        </w:tc>
      </w:tr>
      <w:tr w14:paraId="7EBB1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738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565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537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B99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8D4B">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 xml:space="preserve"> 108国道－闫新路向西400米路南</w:t>
            </w:r>
          </w:p>
        </w:tc>
      </w:tr>
      <w:tr w14:paraId="6C514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2DF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23DF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EA4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110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319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108国道临潼区气象局</w:t>
            </w:r>
          </w:p>
        </w:tc>
      </w:tr>
      <w:tr w14:paraId="2291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7E15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09E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205D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81F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0B0F">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108国道临潼区-108国道-凤凰大道-延长加油站</w:t>
            </w:r>
          </w:p>
        </w:tc>
      </w:tr>
      <w:tr w14:paraId="19638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D21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FF98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B07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BC8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03F5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108国道临潼区-东城国际铝材门窗</w:t>
            </w:r>
          </w:p>
        </w:tc>
      </w:tr>
      <w:tr w14:paraId="71AA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114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763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9C8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F0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079A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108国道灞桥区官厅佳苑</w:t>
            </w:r>
          </w:p>
        </w:tc>
      </w:tr>
      <w:tr w14:paraId="7A0D3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E38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8BE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A46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世博大道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731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242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浐灞国际港世博大道东振业泊岸西门公厕旁</w:t>
            </w:r>
          </w:p>
        </w:tc>
      </w:tr>
      <w:tr w14:paraId="28654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9B8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9A9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0A76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浐河东路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D8BA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344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浐河东路与云淙巷丁字口东北角</w:t>
            </w:r>
          </w:p>
        </w:tc>
      </w:tr>
      <w:tr w14:paraId="20CDB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A2A5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AF6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5E44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东三环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965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3A2C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东三环-世博中路十字东北角加油站附近</w:t>
            </w:r>
          </w:p>
        </w:tc>
      </w:tr>
      <w:tr w14:paraId="3E10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5F3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9640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4251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东三环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E03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5BC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东三环-通塬路十字西北角加油站附近</w:t>
            </w:r>
          </w:p>
        </w:tc>
      </w:tr>
      <w:tr w14:paraId="04F60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55E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0EF1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10A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东二环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310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B58B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二环东路-互助路丁字口立交转盘下</w:t>
            </w:r>
          </w:p>
        </w:tc>
      </w:tr>
      <w:tr w14:paraId="057D6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9EA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E8F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610100539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6B2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太华北路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7C1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B8F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太华北路未央区奇星御园</w:t>
            </w:r>
          </w:p>
        </w:tc>
      </w:tr>
      <w:tr w14:paraId="16F76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759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AED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EFA3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北辰大道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6BE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B1A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未央区北辰路-浐灞一路（麦德龙商场）</w:t>
            </w:r>
          </w:p>
        </w:tc>
      </w:tr>
      <w:tr w14:paraId="0253C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7C2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215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9584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北辰大道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3A5F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206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未央区北辰路与启源一路十字东北角</w:t>
            </w:r>
          </w:p>
        </w:tc>
      </w:tr>
      <w:tr w14:paraId="73627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0734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5CA9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EDB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朱宏路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7C1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B8E7B">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北二环与朱宏路西北角150米公厕旁</w:t>
            </w:r>
          </w:p>
        </w:tc>
      </w:tr>
      <w:tr w14:paraId="68BC4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37D5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ED4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19B8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朱宏路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E098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02B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未央区-朱宏路-北三环西北角中国石油加油站</w:t>
            </w:r>
          </w:p>
        </w:tc>
      </w:tr>
      <w:tr w14:paraId="5E4F7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F94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622C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AB9B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1E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CFAE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秦汉大道临潼区下朱村村委会</w:t>
            </w:r>
          </w:p>
        </w:tc>
      </w:tr>
      <w:tr w14:paraId="39A3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6CA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816B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D0B6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B2E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908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欧亚大道与元朔大道十字东南角</w:t>
            </w:r>
          </w:p>
        </w:tc>
      </w:tr>
      <w:tr w14:paraId="0EF13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DB4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D55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AEFC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98AC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临潼区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104F">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秦汉大道贾村村委会门口</w:t>
            </w:r>
          </w:p>
        </w:tc>
      </w:tr>
      <w:tr w14:paraId="71CD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337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5D5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2AEB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秦汉大道</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19F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B260">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秦汉大道保税区地铁站西北角</w:t>
            </w:r>
          </w:p>
        </w:tc>
      </w:tr>
      <w:tr w14:paraId="381AD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77F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5DB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9B5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5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22A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西太路与纬三十二路十字南100米路西</w:t>
            </w:r>
          </w:p>
        </w:tc>
      </w:tr>
      <w:tr w14:paraId="5489B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95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CCEE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8C7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港务西路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73C2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5B6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浐灞国际港务区地铁站B1出口向南400米</w:t>
            </w:r>
          </w:p>
        </w:tc>
      </w:tr>
      <w:tr w14:paraId="08C1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B15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CD0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B2C5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635F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961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西太路与翠北路十字向南100米路东</w:t>
            </w:r>
          </w:p>
        </w:tc>
      </w:tr>
      <w:tr w14:paraId="79197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B8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46A7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610100549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30B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港务西路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078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浐灞国际港</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649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浐灞国际港港务西路-港兴三路</w:t>
            </w:r>
          </w:p>
        </w:tc>
      </w:tr>
      <w:tr w14:paraId="54E66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1D3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663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610100520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072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52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193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西太路与灵和路十字东北角路北</w:t>
            </w:r>
          </w:p>
        </w:tc>
      </w:tr>
      <w:tr w14:paraId="64FA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0C6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63B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3F3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西太路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6B1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4594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西太路庆镇村村口（带屏幕）</w:t>
            </w:r>
          </w:p>
        </w:tc>
      </w:tr>
      <w:tr w14:paraId="20238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998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2C1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CA2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太白南路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80E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509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太白南路与电子四路东南方向60米</w:t>
            </w:r>
          </w:p>
        </w:tc>
      </w:tr>
      <w:tr w14:paraId="7474C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A2A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1D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E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草滩八路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E8E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8D5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草滩八路-尚林路（带屏幕）</w:t>
            </w:r>
          </w:p>
        </w:tc>
      </w:tr>
      <w:tr w14:paraId="7359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1D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A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6C4B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16E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F1D0">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环山路东石村公交站公厕旁路南（带屏幕）</w:t>
            </w:r>
          </w:p>
        </w:tc>
      </w:tr>
      <w:tr w14:paraId="3215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B5F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475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386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草堂八路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84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C8B6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草滩八路-尚稷路向南300米路东</w:t>
            </w:r>
          </w:p>
        </w:tc>
      </w:tr>
      <w:tr w14:paraId="501F7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3359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F57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61F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32C2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099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环山路秦岭生态文化园</w:t>
            </w:r>
          </w:p>
        </w:tc>
      </w:tr>
      <w:tr w14:paraId="6AED8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1550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1D24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60FD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草滩六路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09A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4DAA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草滩六路-尚稷路向西200米路北（西安博爱学校）</w:t>
            </w:r>
          </w:p>
        </w:tc>
      </w:tr>
      <w:tr w14:paraId="7F02F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3DF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047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86D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8EB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6ED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环山路中国石油西安长安团结加油站</w:t>
            </w:r>
          </w:p>
        </w:tc>
      </w:tr>
      <w:tr w14:paraId="6D8BE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2ADF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313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DD9A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草滩六路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EF4C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595E">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草滩六路-尚林路丁字口</w:t>
            </w:r>
          </w:p>
        </w:tc>
      </w:tr>
      <w:tr w14:paraId="7B1DD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5EA1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1A8A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D336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5D4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1745">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环山路南五台壳牌加油站</w:t>
            </w:r>
          </w:p>
        </w:tc>
      </w:tr>
      <w:tr w14:paraId="6413B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06A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D7C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77AE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草滩五路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2AF1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FBA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草滩五路-尚稷路十字西北角</w:t>
            </w:r>
          </w:p>
        </w:tc>
      </w:tr>
      <w:tr w14:paraId="0DED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2B7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8EE4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14F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560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3092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环山路王莽街道长安区农家乐示范村</w:t>
            </w:r>
          </w:p>
        </w:tc>
      </w:tr>
      <w:tr w14:paraId="73B3A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96F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723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8EC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草滩四路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D92D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9BC5">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草滩四路-尚苑路（带屏幕）</w:t>
            </w:r>
          </w:p>
        </w:tc>
      </w:tr>
      <w:tr w14:paraId="7481C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7365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CB1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AA7C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C3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A124D">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环山路太乙驿(M智慧房车太乙官露营地西南)</w:t>
            </w:r>
          </w:p>
        </w:tc>
      </w:tr>
      <w:tr w14:paraId="53B3A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87A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F8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04CE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北三环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350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9AAC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北三环与明光路十字向西300米路北</w:t>
            </w:r>
          </w:p>
        </w:tc>
      </w:tr>
      <w:tr w14:paraId="4B3D0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C8F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927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BC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韦鸣路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68A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航天基地</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E7D3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韦鸣路昆仑石油韦鸣路加油站</w:t>
            </w:r>
          </w:p>
        </w:tc>
      </w:tr>
      <w:tr w14:paraId="21EA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BC6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13D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E9F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北二环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E69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E4F8">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二环北路西段与锦宏路十字</w:t>
            </w:r>
          </w:p>
        </w:tc>
      </w:tr>
      <w:tr w14:paraId="1831D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A73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F7C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610100510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0D7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雁引路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2D0F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CA4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雁引路昆仑石油引镇加油站</w:t>
            </w:r>
          </w:p>
        </w:tc>
      </w:tr>
      <w:tr w14:paraId="0248B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BBC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7651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701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雁引路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7667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99E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雁引路中国石化云龙加油站</w:t>
            </w:r>
          </w:p>
        </w:tc>
      </w:tr>
      <w:tr w14:paraId="32BE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E92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A65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4FBC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昆明路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A55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296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昆明路石桥立交地铁站A口向西300米路北绿化带内</w:t>
            </w:r>
          </w:p>
        </w:tc>
      </w:tr>
      <w:tr w14:paraId="1DC6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FFFE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B0D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610100559</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614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昆明路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BE05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1142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昆明路－团结南路向西250米路中间绿化带</w:t>
            </w:r>
          </w:p>
        </w:tc>
      </w:tr>
      <w:tr w14:paraId="42931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B1D8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B203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3C6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雁引路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335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航天基地</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C9A70">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雁引路中国石油西安长安大兆加油站</w:t>
            </w:r>
          </w:p>
        </w:tc>
      </w:tr>
      <w:tr w14:paraId="5FB18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60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23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0817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F2E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13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长鸣路公交首末站</w:t>
            </w:r>
          </w:p>
        </w:tc>
      </w:tr>
      <w:tr w14:paraId="2F7EB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CEF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276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610100560</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633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昆明路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EC17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50FF">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昆明路－西三环立交桥西北角</w:t>
            </w:r>
          </w:p>
        </w:tc>
      </w:tr>
      <w:tr w14:paraId="2AB28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2DE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066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FBA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2BA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5016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长鸣路秦赵村村口</w:t>
            </w:r>
          </w:p>
        </w:tc>
      </w:tr>
      <w:tr w14:paraId="39B11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D3A1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D98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0BD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299F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F078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西沣路－环山路北500米路西</w:t>
            </w:r>
          </w:p>
        </w:tc>
      </w:tr>
      <w:tr w14:paraId="41952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CD8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CF9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4E3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富鱼路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252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CDD7">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富鱼路与铁路高架桥向西200米路北工地门口</w:t>
            </w:r>
          </w:p>
        </w:tc>
      </w:tr>
      <w:tr w14:paraId="1F0C1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310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1E6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BE2E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818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553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西沣路跃进村村口向北250米路东</w:t>
            </w:r>
          </w:p>
        </w:tc>
      </w:tr>
      <w:tr w14:paraId="562CB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DA0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0B4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8579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富鱼路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C84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5DE7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富鱼路与富源三路十字向东40米处绿化带内</w:t>
            </w:r>
          </w:p>
        </w:tc>
      </w:tr>
      <w:tr w14:paraId="474C0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AE2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A51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B55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33E8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57E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西沣路洨河桥北450米路西，加油站对面</w:t>
            </w:r>
          </w:p>
        </w:tc>
      </w:tr>
      <w:tr w14:paraId="48215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7E6E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B31E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610100563</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9D3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富鱼路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186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8099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富鱼路西安外事学院北教学区门口</w:t>
            </w:r>
          </w:p>
        </w:tc>
      </w:tr>
      <w:tr w14:paraId="40D4A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D19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926C">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610100502</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60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BFB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A15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西沣路与香积大街丁字口向北100米路西</w:t>
            </w:r>
          </w:p>
        </w:tc>
      </w:tr>
      <w:tr w14:paraId="39065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EA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967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610100564</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F0379">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F6CF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E584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大庆路与汉城路十字向东150米中间绿化带内</w:t>
            </w:r>
          </w:p>
        </w:tc>
      </w:tr>
      <w:tr w14:paraId="233C9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443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3E3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610100565</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D7A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F52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7E0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大庆路天朗城市公园</w:t>
            </w:r>
          </w:p>
        </w:tc>
      </w:tr>
      <w:tr w14:paraId="432D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B24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35C5">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610100501</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A01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西沣路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221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2066">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西沣路云龙酒店向南130米路西</w:t>
            </w:r>
          </w:p>
        </w:tc>
      </w:tr>
      <w:tr w14:paraId="21D3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B56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784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610100566</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2606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阿房一路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033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158B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阿房一路与富源一路向东100米</w:t>
            </w:r>
          </w:p>
        </w:tc>
      </w:tr>
      <w:tr w14:paraId="50B59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29F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E64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610100567</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D3B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阿房一路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CC2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西咸新区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DC9D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阿房一路海伦春天小区门口</w:t>
            </w:r>
          </w:p>
        </w:tc>
      </w:tr>
      <w:tr w14:paraId="167E0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BB8C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E0C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610100568</w:t>
            </w:r>
          </w:p>
        </w:tc>
        <w:tc>
          <w:tcPr>
            <w:tcW w:w="12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B55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西二环路</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365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5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ECC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西二环路-西安高架快速干道立交桥十字东南角</w:t>
            </w:r>
          </w:p>
        </w:tc>
      </w:tr>
    </w:tbl>
    <w:p w14:paraId="10B186DC">
      <w:pPr>
        <w:spacing w:line="360" w:lineRule="auto"/>
        <w:ind w:firstLine="482" w:firstLineChars="200"/>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注：根据</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val="zh-CN" w:eastAsia="zh-CN"/>
        </w:rPr>
        <w:t>的任务需求安排，可调整部分设备用于比对监测。</w:t>
      </w:r>
    </w:p>
    <w:p w14:paraId="34BCC88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（二）运维工作目标</w:t>
      </w:r>
    </w:p>
    <w:bookmarkEnd w:id="2"/>
    <w:p w14:paraId="61466AC2">
      <w:pPr>
        <w:spacing w:line="360" w:lineRule="auto"/>
        <w:ind w:firstLine="480" w:firstLineChars="200"/>
        <w:rPr>
          <w:rFonts w:hint="eastAsia" w:ascii="宋体" w:hAnsi="宋体" w:eastAsia="宋体" w:cs="宋体"/>
          <w:b w:val="0"/>
          <w:bCs w:val="0"/>
          <w:color w:val="auto"/>
          <w:sz w:val="24"/>
          <w:szCs w:val="24"/>
          <w:highlight w:val="none"/>
          <w:lang w:val="zh-CN" w:eastAsia="zh-CN"/>
        </w:rPr>
      </w:pPr>
      <w:bookmarkStart w:id="3" w:name="_Toc405479910"/>
      <w:r>
        <w:rPr>
          <w:rFonts w:hint="eastAsia" w:ascii="宋体" w:hAnsi="宋体" w:eastAsia="宋体" w:cs="宋体"/>
          <w:b w:val="0"/>
          <w:bCs w:val="0"/>
          <w:color w:val="auto"/>
          <w:sz w:val="24"/>
          <w:szCs w:val="24"/>
          <w:highlight w:val="none"/>
          <w:lang w:val="zh-CN" w:eastAsia="zh-CN"/>
        </w:rPr>
        <w:t>运行维护工作应按照安全生产有关规定，建立安全生产制度，切实消除安全隐患；运行维护工作必须确保提供及时、准确、有效的监测数据，站点运行质量应达到以下指标：</w:t>
      </w:r>
    </w:p>
    <w:p w14:paraId="07716437">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zh-CN" w:eastAsia="zh-CN"/>
        </w:rPr>
        <w:t>中规定的污染物浓度数据有效性最低要求；</w:t>
      </w:r>
    </w:p>
    <w:p w14:paraId="4959C173">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（2）数据有效采集率达到90%（以小时值计）以上；</w:t>
      </w:r>
    </w:p>
    <w:p w14:paraId="16D291EB">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（3）数据质控合格率达到80%（以小时值计）以上；</w:t>
      </w:r>
    </w:p>
    <w:p w14:paraId="66042A36">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（4）运维任务完成率100%；</w:t>
      </w:r>
    </w:p>
    <w:p w14:paraId="321934A0">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（5）异常情况处理率100%；</w:t>
      </w:r>
      <w:bookmarkStart w:id="4" w:name="_Toc55201346"/>
    </w:p>
    <w:p w14:paraId="6C29007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（三）运维工作内容</w:t>
      </w:r>
      <w:bookmarkEnd w:id="3"/>
      <w:bookmarkEnd w:id="4"/>
      <w:bookmarkStart w:id="5" w:name="OLE_LINK12"/>
    </w:p>
    <w:p w14:paraId="49246EAA">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运维过程中主要完成以下工作：</w:t>
      </w:r>
    </w:p>
    <w:p w14:paraId="1F865465">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（1）站点的日常运行维护，仪器备件耗材更换；</w:t>
      </w:r>
    </w:p>
    <w:p w14:paraId="06958E3A">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（2）站点设备的维护保养及维修；</w:t>
      </w:r>
    </w:p>
    <w:p w14:paraId="4A01E77E">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（3）当仪器出现故障不能及时修复时，应在48小时之内使用备机开展监测；</w:t>
      </w:r>
    </w:p>
    <w:p w14:paraId="5E575342">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（4）站点的内部质控措施； </w:t>
      </w:r>
    </w:p>
    <w:p w14:paraId="3B9F47DB">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（5）站点通讯及数据采集系统的维护及维修，保障颗粒物监测系统与西安市智慧环保指挥平台通讯正常；</w:t>
      </w:r>
    </w:p>
    <w:p w14:paraId="3CFF37BB">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（6）站点相关辅助设施的维护、保养、维修；</w:t>
      </w:r>
    </w:p>
    <w:p w14:paraId="1CAC7CE3">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（7）运维电费和通讯费用由运维单位承担；</w:t>
      </w:r>
    </w:p>
    <w:bookmarkEnd w:id="5"/>
    <w:p w14:paraId="15E25FED">
      <w:pPr>
        <w:pStyle w:val="11"/>
        <w:spacing w:line="360" w:lineRule="auto"/>
        <w:ind w:firstLine="480"/>
        <w:rPr>
          <w:rFonts w:hint="eastAsia" w:ascii="宋体" w:hAnsi="宋体" w:eastAsia="宋体" w:cs="宋体"/>
          <w:b w:val="0"/>
          <w:bCs w:val="0"/>
          <w:color w:val="auto"/>
          <w:sz w:val="24"/>
          <w:szCs w:val="24"/>
          <w:highlight w:val="none"/>
          <w:lang w:val="en-US" w:eastAsia="zh-CN"/>
        </w:rPr>
      </w:pPr>
      <w:bookmarkStart w:id="6" w:name="_Toc405479911"/>
      <w:r>
        <w:rPr>
          <w:rFonts w:hint="eastAsia" w:ascii="宋体" w:hAnsi="宋体" w:eastAsia="宋体" w:cs="宋体"/>
          <w:b w:val="0"/>
          <w:bCs w:val="0"/>
          <w:color w:val="auto"/>
          <w:sz w:val="24"/>
          <w:szCs w:val="24"/>
          <w:highlight w:val="none"/>
          <w:lang w:val="en-US" w:eastAsia="zh-CN"/>
        </w:rPr>
        <w:t>（8）运维过程中所产生的备机及耗材费用由运维单位承担；</w:t>
      </w:r>
    </w:p>
    <w:p w14:paraId="64B0C4E5">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（9）运维单位在运维期内须无条件配合采购人组织的相关设备补充、系统升级工作，并保障监测数据的完整性、准确性；</w:t>
      </w:r>
    </w:p>
    <w:p w14:paraId="589E0374">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委托运行维护及管理的全部资产（包括全部产权和建筑物、设备及配套设施）属采购人所有。未经采购人同意，运维单位不得以任何方式对各类财产进行出售、抵押或转移；同时，在委托运行及管理期间，运维单位有责任保证上述全部资产的完整、安全并处于良好状态，避免出现被盗、人为破坏等原因造成的资产损失。出现站点资产丢失、损坏等情况，一切责任由运维单位承担，并尽快恢复运行，所发生的费用全部由运维单位承担；</w:t>
      </w:r>
    </w:p>
    <w:p w14:paraId="0987AF2D">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（11）运维单位须为所有参与本项目运维的人员购买能覆盖此次运维周期的人身意外保险，制定并执行运维相关的安全措施，确保不发生意外，若发生运维安全事故，全部责任由运维单位承担。</w:t>
      </w:r>
    </w:p>
    <w:p w14:paraId="1FCA9FBD">
      <w:pPr>
        <w:pStyle w:val="11"/>
        <w:spacing w:line="360" w:lineRule="auto"/>
        <w:ind w:firstLine="480"/>
        <w:rPr>
          <w:rFonts w:hint="eastAsia" w:ascii="宋体" w:hAnsi="宋体" w:eastAsia="宋体" w:cs="宋体"/>
          <w:b/>
          <w:bCs/>
          <w:color w:val="auto"/>
          <w:sz w:val="24"/>
          <w:szCs w:val="24"/>
          <w:highlight w:val="none"/>
          <w:lang w:val="en-US" w:eastAsia="zh-CN"/>
        </w:rPr>
      </w:pPr>
      <w:bookmarkStart w:id="7" w:name="_Toc55201347"/>
      <w:r>
        <w:rPr>
          <w:rFonts w:hint="eastAsia" w:ascii="宋体" w:hAnsi="宋体" w:eastAsia="宋体" w:cs="宋体"/>
          <w:b/>
          <w:bCs/>
          <w:color w:val="auto"/>
          <w:sz w:val="24"/>
          <w:szCs w:val="24"/>
          <w:highlight w:val="none"/>
          <w:lang w:val="en-US" w:eastAsia="zh-CN"/>
        </w:rPr>
        <w:t>（四）运维工作具体要求</w:t>
      </w:r>
      <w:bookmarkEnd w:id="6"/>
      <w:bookmarkEnd w:id="7"/>
    </w:p>
    <w:p w14:paraId="5562544D">
      <w:pPr>
        <w:adjustRightInd w:val="0"/>
        <w:spacing w:line="360" w:lineRule="auto"/>
        <w:ind w:firstLine="480" w:firstLineChars="200"/>
        <w:textAlignment w:val="baseline"/>
        <w:rPr>
          <w:rFonts w:hint="eastAsia" w:ascii="宋体" w:hAnsi="宋体" w:eastAsia="宋体" w:cs="宋体"/>
          <w:color w:val="auto"/>
          <w:szCs w:val="24"/>
          <w:highlight w:val="none"/>
        </w:rPr>
      </w:pPr>
      <w:r>
        <w:rPr>
          <w:rFonts w:hint="eastAsia" w:ascii="宋体" w:hAnsi="宋体" w:eastAsia="宋体" w:cs="宋体"/>
          <w:b w:val="0"/>
          <w:bCs w:val="0"/>
          <w:color w:val="auto"/>
          <w:sz w:val="24"/>
          <w:szCs w:val="24"/>
          <w:highlight w:val="none"/>
          <w:lang w:val="en-US" w:eastAsia="zh-CN"/>
        </w:rPr>
        <w:t>运维单位应遵守关于站点管理的各项规定，严格按照国家相关标准要求开展运维工作。</w:t>
      </w:r>
    </w:p>
    <w:p w14:paraId="53213F01">
      <w:pPr>
        <w:pStyle w:val="11"/>
        <w:spacing w:line="360" w:lineRule="auto"/>
        <w:ind w:firstLine="480"/>
        <w:rPr>
          <w:rFonts w:hint="eastAsia" w:ascii="宋体" w:hAnsi="宋体" w:eastAsia="宋体" w:cs="宋体"/>
          <w:b/>
          <w:bCs/>
          <w:color w:val="auto"/>
          <w:sz w:val="24"/>
          <w:szCs w:val="24"/>
          <w:highlight w:val="none"/>
          <w:lang w:val="en-US" w:eastAsia="zh-CN"/>
        </w:rPr>
      </w:pPr>
      <w:bookmarkStart w:id="8" w:name="_Toc403547824"/>
      <w:bookmarkStart w:id="9" w:name="_Toc405479912"/>
      <w:bookmarkStart w:id="10" w:name="_Toc403547771"/>
      <w:r>
        <w:rPr>
          <w:rFonts w:hint="eastAsia" w:ascii="宋体" w:hAnsi="宋体" w:eastAsia="宋体" w:cs="宋体"/>
          <w:b/>
          <w:bCs/>
          <w:color w:val="auto"/>
          <w:sz w:val="24"/>
          <w:szCs w:val="24"/>
          <w:highlight w:val="none"/>
          <w:lang w:val="en-US" w:eastAsia="zh-CN"/>
        </w:rPr>
        <w:t>4.1一般维护要求</w:t>
      </w:r>
      <w:bookmarkEnd w:id="8"/>
      <w:bookmarkEnd w:id="9"/>
      <w:bookmarkEnd w:id="10"/>
    </w:p>
    <w:p w14:paraId="170F9FF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bookmarkStart w:id="11" w:name="_Toc405479913"/>
      <w:bookmarkStart w:id="12" w:name="_Toc403547825"/>
      <w:bookmarkStart w:id="13" w:name="_Toc403547772"/>
      <w:r>
        <w:rPr>
          <w:rFonts w:hint="eastAsia" w:ascii="宋体" w:hAnsi="宋体" w:eastAsia="宋体" w:cs="宋体"/>
          <w:b w:val="0"/>
          <w:bCs w:val="0"/>
          <w:color w:val="auto"/>
          <w:sz w:val="24"/>
          <w:szCs w:val="24"/>
          <w:highlight w:val="none"/>
          <w:lang w:val="en-US" w:eastAsia="zh-CN"/>
        </w:rPr>
        <w:t>（1）保持站点内部环境清洁，布置整齐，各仪器设备干净清洁，设备标识清楚；</w:t>
      </w:r>
    </w:p>
    <w:p w14:paraId="517B79F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（2）检查供电、网络通讯、气象设备、噪声设备、视频监控设备、显示屏的情况，保证系统的正常运行；</w:t>
      </w:r>
    </w:p>
    <w:p w14:paraId="1FB32E2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（3）保证空调正常工作，仪器运行温度保持在25℃左右，站房内温度日波动范围小于3℃，相对湿度保持在80%RH以下； </w:t>
      </w:r>
    </w:p>
    <w:p w14:paraId="6C31937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（4）指派专人维护，设备固定牢固，人走关门，非工作人员未经许可不得入内；</w:t>
      </w:r>
    </w:p>
    <w:p w14:paraId="2D9F36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（5）每次维护后做好系统运行维护记录，所有记录表格参照国家站标准填写；</w:t>
      </w:r>
    </w:p>
    <w:p w14:paraId="313F46D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（6）进行维护时，应规范操作，注意安全，防止意外发生；</w:t>
      </w:r>
    </w:p>
    <w:p w14:paraId="44C935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（7）挪点拆除、安装时，应按流程规范施工，保证土建、用电、人员安全，以及植被破坏赔偿，绿化恢复，确保站点各设备实施稳定运行。</w:t>
      </w:r>
    </w:p>
    <w:p w14:paraId="785B9C9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（8）配合采购人其他交办监测任务。</w:t>
      </w:r>
    </w:p>
    <w:p w14:paraId="6EFD484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4.1.1 每日维护要求</w:t>
      </w:r>
    </w:p>
    <w:p w14:paraId="50EAC9F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每日对站点运行情况进行远程诊断和运行管理，包括：</w:t>
      </w:r>
    </w:p>
    <w:p w14:paraId="7248873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（1）判断系统数据采集与传输情况；</w:t>
      </w:r>
    </w:p>
    <w:p w14:paraId="11C6E11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（2）每日对噪声测试设备进行一次电校准；</w:t>
      </w:r>
    </w:p>
    <w:p w14:paraId="4121105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（3）每日检查数据是否及时上传至数据平台并正常发布，发现数据断网及时恢复；</w:t>
      </w:r>
    </w:p>
    <w:p w14:paraId="7205E18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（4）根据数据分析结果、设备状态参数和仪器故障报警信号，判断仪器运行情况和现场状况； </w:t>
      </w:r>
    </w:p>
    <w:p w14:paraId="5460CBE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（5）发生重污染天气等特殊情况后，应在4小时内开展相应运维工作；</w:t>
      </w:r>
    </w:p>
    <w:p w14:paraId="7AF0E85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发现监测数据异常，应立即通知采购人，在每日6时～23时出现的异常，应在4小时内解决；在每日23时～次日6时出现的异常，应在次日10时前解决（通信线路，电力线路故障除外，但应及时与相关部门联系解决）；</w:t>
      </w:r>
    </w:p>
    <w:p w14:paraId="0378688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4.1.2每周工作要求</w:t>
      </w:r>
    </w:p>
    <w:p w14:paraId="36A5C33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每周至少巡查站点1次，并做好巡查记录，巡检时需要完成的工作包括：</w:t>
      </w:r>
    </w:p>
    <w:p w14:paraId="66B64D3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（1）查看站点设备是否齐备，有无丢失和损坏；检查接地线路是否可靠，排风排气装置工作是否正常；</w:t>
      </w:r>
    </w:p>
    <w:p w14:paraId="642C654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（2）检查采样和排气管路是否有漏气和堵塞现象，各监测仪器采样流量是否正常；</w:t>
      </w:r>
    </w:p>
    <w:p w14:paraId="4FC35D6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（3）检查各监测仪器运行状况和工作参数，判断是否正常，如有异常情况及时处理，保证仪器运行正常；</w:t>
      </w:r>
    </w:p>
    <w:p w14:paraId="1BF6A4E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（4）检查颗粒物检测仪动态加热装置及采样总管加热装置是否工作正常；</w:t>
      </w:r>
    </w:p>
    <w:p w14:paraId="7502D8D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（5）检查外部环境是否正常，有没有对测定结果或运行环境存在明显影响的污染源；</w:t>
      </w:r>
    </w:p>
    <w:p w14:paraId="28DE75C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（6）检查电路系统和通讯系统，保证系统供电正常，电压稳定；</w:t>
      </w:r>
    </w:p>
    <w:p w14:paraId="5BB531A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（7）检查站点通讯系统，保证与数据平台的连接正常，数据传输正常；确保无远程控制软件；</w:t>
      </w:r>
    </w:p>
    <w:p w14:paraId="48130D9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（8）对仪器显示数据、时间与数据采集仪之间的一致性进行检查和校准；</w:t>
      </w:r>
    </w:p>
    <w:p w14:paraId="0C18531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（9）应及时清除站点附近的杂草和积水，当周围树木生长超过规范规定时，应及时剪除对采样有影响的树枝；</w:t>
      </w:r>
    </w:p>
    <w:p w14:paraId="16508A6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（10）应经常检查机柜是否有漏雨现象，发现渗漏情况及时进行密封，机柜外围设备是否有损坏或被水淹，如遇到以上问题应及时处理，保证系统安全运行；</w:t>
      </w:r>
    </w:p>
    <w:p w14:paraId="7EC5C35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（11）检查站房的安全措施，做好防火防盗工作；</w:t>
      </w:r>
    </w:p>
    <w:p w14:paraId="35C55FC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（12）每周对颗粒物监测仪至少进行一次流量检查，流量误差超过±5%时应进行校准。同时对仪器的采样纸带进行检查，如纸带即将用尽及时进行更换；</w:t>
      </w:r>
    </w:p>
    <w:p w14:paraId="3FA3CED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（13）空气质量达到重度及以上时，应及时清洗采样管和切割器。在污染过程结束后清洗采样系统；</w:t>
      </w:r>
    </w:p>
    <w:p w14:paraId="7528BA1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（14）每周对机柜内外环境卫生进行检查，及时保洁；</w:t>
      </w:r>
    </w:p>
    <w:p w14:paraId="74CBBEF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（15）认真填写每周运行维护记录表。</w:t>
      </w:r>
    </w:p>
    <w:p w14:paraId="76DFA3A5">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4.1.3每月工作要求</w:t>
      </w:r>
    </w:p>
    <w:p w14:paraId="1B56A86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（1）清洗颗粒物检测仪采样头，检查β射线法颗粒物监测仪仪器喷嘴、压环、密封圈等部件；</w:t>
      </w:r>
    </w:p>
    <w:p w14:paraId="194BCA7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 检查颗粒物检测仪流量，超过国家相关规范要求时进行校准，检查仪器是否泄漏；</w:t>
      </w:r>
    </w:p>
    <w:p w14:paraId="110D453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（3）每月开展颗粒物标准膜测试，流量误差超过±2%时应进行校准；</w:t>
      </w:r>
    </w:p>
    <w:p w14:paraId="6F6F824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（4）每月对气象五参数、噪声测试设备进行一次校准；</w:t>
      </w:r>
    </w:p>
    <w:p w14:paraId="79BA507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（5）每月清洗一次空调过滤网；</w:t>
      </w:r>
    </w:p>
    <w:p w14:paraId="05285E5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（6）每月对数据和运维记录进行备份；</w:t>
      </w:r>
    </w:p>
    <w:p w14:paraId="0F07B3E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（7）认真填写每月运行维护记录表。</w:t>
      </w:r>
    </w:p>
    <w:p w14:paraId="5DEB9A76">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4.1.4每季度工作要求</w:t>
      </w:r>
    </w:p>
    <w:p w14:paraId="631006E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（1）每季度进行一次监测仪器的精密度审核。颗粒物监测仪的精密度审核采用标准流量计测定监测仪器的工作流量来确定；</w:t>
      </w:r>
    </w:p>
    <w:p w14:paraId="4ACB487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（2）检查校准颗粒物检测仪相对湿度、温度传感器和压力传感器；</w:t>
      </w:r>
    </w:p>
    <w:p w14:paraId="25A33C5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（3）认真填写季度运行维护记录表。</w:t>
      </w:r>
    </w:p>
    <w:p w14:paraId="3BF8387B">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4.1.5每半年工作要求</w:t>
      </w:r>
    </w:p>
    <w:p w14:paraId="32FD79A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（1）对机柜、风绳（等电位联结体）等外部组件进行除锈处理；</w:t>
      </w:r>
    </w:p>
    <w:p w14:paraId="24F737E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（2）认真填写每半年运行维护记录表。</w:t>
      </w:r>
    </w:p>
    <w:p w14:paraId="2535926F">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4.1.6每年工作要求</w:t>
      </w:r>
    </w:p>
    <w:p w14:paraId="0C0CB14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（1）对所有的仪器进行预防性维护，按说明书要求更换备件；</w:t>
      </w:r>
    </w:p>
    <w:p w14:paraId="6B3DE19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（2）更换所有泵组件；</w:t>
      </w:r>
    </w:p>
    <w:p w14:paraId="1331E7A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（3）认真填写每年运行维护记录表。</w:t>
      </w:r>
    </w:p>
    <w:p w14:paraId="3105EB39">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4.1.7日常运行维护记录</w:t>
      </w:r>
    </w:p>
    <w:p w14:paraId="218747E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应建立站点维护档案，将站点的运行过程和运行事件进行详细记录，并进行归档管理。日常运维中使用运行管理相关记录至少应包括：</w:t>
      </w:r>
    </w:p>
    <w:p w14:paraId="38BA5F0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（1）站点运行维护记录；</w:t>
      </w:r>
    </w:p>
    <w:p w14:paraId="7F247CE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（2）颗粒物监测仪校准检查记录；</w:t>
      </w:r>
    </w:p>
    <w:p w14:paraId="798B50B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（3）颗粒物监测系统仪器设备维修记录；</w:t>
      </w:r>
    </w:p>
    <w:p w14:paraId="5C65905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（4）颗粒物监测系统备品备件管理记录；</w:t>
      </w:r>
    </w:p>
    <w:p w14:paraId="2992A01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（5）站点主要消耗耗材使用记录；</w:t>
      </w:r>
    </w:p>
    <w:p w14:paraId="16B28FD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（6）标准物质使用记录；</w:t>
      </w:r>
    </w:p>
    <w:p w14:paraId="4A50680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（7）站点机柜内外环境检查记录；</w:t>
      </w:r>
    </w:p>
    <w:p w14:paraId="2050EDC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（8）颗粒物监测系统仪器资料保管清单；</w:t>
      </w:r>
    </w:p>
    <w:p w14:paraId="74BCB04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（9）挪点各设备拆除、安装管理记录；</w:t>
      </w:r>
    </w:p>
    <w:p w14:paraId="054DCE4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投标人须在投标文件中提供以上记录表格。</w:t>
      </w:r>
    </w:p>
    <w:p w14:paraId="20DCD23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4.1.8其他要求</w:t>
      </w:r>
    </w:p>
    <w:p w14:paraId="54019BC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（1）运维所使用耗材、备件要求为原厂耗材及备件；</w:t>
      </w:r>
    </w:p>
    <w:p w14:paraId="456EC69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（2）应及时制定每月工作计划，并严格按计划执行，若有变更及时通知采购单位；</w:t>
      </w:r>
    </w:p>
    <w:p w14:paraId="4263F03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运维单位需保证满足环保部门对仪器设备故障的响应时间的要求，当仪器设备每日6时～23时出现故障，应在1小时内响应，2小时内到达现场解决（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4B70E5C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（4）严禁擅自改变采样管路连接方式和更改仪器参数设置；</w:t>
      </w:r>
    </w:p>
    <w:p w14:paraId="38C76A9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（5）运维单位须每月5日前提交各站点上一月的运维记录纸质报表。</w:t>
      </w:r>
    </w:p>
    <w:p w14:paraId="5E01D63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  质量控制要求</w:t>
      </w:r>
      <w:bookmarkEnd w:id="11"/>
      <w:bookmarkEnd w:id="12"/>
      <w:bookmarkEnd w:id="13"/>
    </w:p>
    <w:p w14:paraId="39426B9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中标人需认真落实质量管理制度，做好相应记录。</w:t>
      </w:r>
    </w:p>
    <w:p w14:paraId="6365F2CE">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4.2.1量值溯源要求</w:t>
      </w:r>
    </w:p>
    <w:p w14:paraId="1B086C1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运维单位应将运维所使用的流量计、温度计、气压计、湿度计、风速风向仪等标准质控器具溯源到标准设备，由市级及以上计量部门出具鉴定报告。</w:t>
      </w:r>
    </w:p>
    <w:p w14:paraId="6E8257E2">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4.2.2日常质量控制要求</w:t>
      </w:r>
    </w:p>
    <w:p w14:paraId="3893E8D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监测仪在以下情况下需进行校准：</w:t>
      </w:r>
    </w:p>
    <w:p w14:paraId="35770B7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（1）挪点移动时；</w:t>
      </w:r>
    </w:p>
    <w:p w14:paraId="13D34E5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（2）工地现场比对时；</w:t>
      </w:r>
    </w:p>
    <w:p w14:paraId="682F7B9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（3）进行可能影响校准结果的维修或维护后；</w:t>
      </w:r>
    </w:p>
    <w:p w14:paraId="2234881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（4）监测仪暂停工作一段时间后；</w:t>
      </w:r>
    </w:p>
    <w:p w14:paraId="108332B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（5）有迹象表明监测仪器工作不正常或校准结果出现变化。</w:t>
      </w:r>
    </w:p>
    <w:p w14:paraId="294CCA51">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4.2.3质量检查</w:t>
      </w:r>
    </w:p>
    <w:p w14:paraId="665DE6B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运维单位必须接受采购人及其委托单位和人员的质量检查。</w:t>
      </w:r>
    </w:p>
    <w:p w14:paraId="14F8757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4.2.4</w:t>
      </w:r>
      <w:bookmarkStart w:id="14" w:name="_Toc403547773"/>
      <w:bookmarkStart w:id="15" w:name="_Toc403547826"/>
      <w:bookmarkStart w:id="16" w:name="_Toc405479914"/>
      <w:r>
        <w:rPr>
          <w:rFonts w:hint="eastAsia" w:ascii="宋体" w:hAnsi="宋体" w:eastAsia="宋体" w:cs="宋体"/>
          <w:b/>
          <w:bCs/>
          <w:color w:val="auto"/>
          <w:sz w:val="24"/>
          <w:szCs w:val="24"/>
          <w:highlight w:val="none"/>
          <w:lang w:val="en-US" w:eastAsia="zh-CN"/>
        </w:rPr>
        <w:t>质量控制资料整理</w:t>
      </w:r>
    </w:p>
    <w:p w14:paraId="5F11A00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各种技术与质量文件均保持现行有效，可根据管理需要进行调整或修订。以纸质表格的形式，将巡检记录、维修维护记录、日常检查等质量保证与质量控制记录按要求及时进行填写。</w:t>
      </w:r>
    </w:p>
    <w:p w14:paraId="04227D0D">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4.2.5质量控制资料提交</w:t>
      </w:r>
    </w:p>
    <w:p w14:paraId="2C256B4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运维单位须每月5日前将各站点上一月的质控记录的纸质表格提交至采购单位。</w:t>
      </w:r>
    </w:p>
    <w:p w14:paraId="0FAC1713">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 系统设备维修要求</w:t>
      </w:r>
      <w:bookmarkEnd w:id="14"/>
      <w:bookmarkEnd w:id="15"/>
      <w:bookmarkEnd w:id="16"/>
    </w:p>
    <w:p w14:paraId="0AA3BDB7">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4.3.1维修更换工作要求</w:t>
      </w:r>
    </w:p>
    <w:p w14:paraId="03439BF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运维单位负责系统所有设备和仪器的维护、维修和部件更换。</w:t>
      </w:r>
    </w:p>
    <w:p w14:paraId="1B733CEC">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4.3.2设备维修质量控制要求</w:t>
      </w:r>
    </w:p>
    <w:p w14:paraId="6A95E01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监测仪器修复后，当其监测性能受到影响时，采用关键参数检查、颗粒物流量测定、标准膜测试或手工比对等方法进行测试。</w:t>
      </w:r>
    </w:p>
    <w:p w14:paraId="0902C04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仪器大修后，颗粒物监测设备应开展手工比对测试，测试应严格按照《环境空气颗粒物（PM10和PM2.5）连续自动监测系统运行和质控技术规范》（HJ 817-2018）中准确度审核要求实施，并遵守《环境空气中PM10和PM2.5的测定 重量法》（HJ618－2011）和《环境空气质量手工监测技术规范》（HJ 194-2017）等相关规范要求，同时提交相应报告。</w:t>
      </w:r>
    </w:p>
    <w:p w14:paraId="00886498">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4.4人员、车辆、设备配备、挪点及技术标准要求</w:t>
      </w:r>
    </w:p>
    <w:p w14:paraId="0D89C6FA">
      <w:pPr>
        <w:pStyle w:val="11"/>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4.4.1人员配备要求</w:t>
      </w:r>
    </w:p>
    <w:p w14:paraId="4A2DF57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68套颗粒物自动监测设备分布于西安市多个重点区域和重点道路，运维单位应保证配备的运维技术人员数量与其负责日常维护的站点数量比值不低于1/9。本项目需安排1名项目负责人进行项目管理，另至少安排1名人员进行站点质控管理，配合采购人进行检查考核。</w:t>
      </w:r>
    </w:p>
    <w:p w14:paraId="4557030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运行维护单位投入本项目运维的全部专业技术人员须取得省级及以上相关部门颁发的空气站自动监测培训上岗证。</w:t>
      </w:r>
    </w:p>
    <w:p w14:paraId="118C4B6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4.4.2车辆配置要求</w:t>
      </w:r>
    </w:p>
    <w:p w14:paraId="10F2EBF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运维单位应保证配备的运维保障车辆数量不少于5辆，其中应包含：</w:t>
      </w:r>
    </w:p>
    <w:p w14:paraId="23820D2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运维巡检用车4辆：主要用于站点的日常巡查维护、备件耗材运输、工具运输；</w:t>
      </w:r>
    </w:p>
    <w:p w14:paraId="4953E70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应急用车1：主要用于各种计量器具、质控器具的检定运输，以及站点的应急故障处理和配合采购单位进行检查考核等。</w:t>
      </w:r>
    </w:p>
    <w:p w14:paraId="23545119">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4.4.3备机配置要求</w:t>
      </w:r>
    </w:p>
    <w:p w14:paraId="7ABAB35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（1）运维单位须配置不少于4台备机满足运维需求，包括颗粒物监测仪、气象单元、噪声单元、监控视频模块等，备机须使用同品牌型号设备。</w:t>
      </w:r>
    </w:p>
    <w:p w14:paraId="1A2B097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（2）运维单位需为本项目至少配备2台笔记本计算机，用于现场运维和质控工作。</w:t>
      </w:r>
    </w:p>
    <w:p w14:paraId="7D7E7B2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4.4.4备件配置需求</w:t>
      </w:r>
    </w:p>
    <w:p w14:paraId="7A0D618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运维单位应按不少于半年的使用量配置运维所需备件（原厂）。备件应做好出入库登记，在备件使用过程中，要遵循先备先用的原则。</w:t>
      </w:r>
    </w:p>
    <w:p w14:paraId="6E07B0A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本项目涉及备件包括但不限于以下内容：</w:t>
      </w:r>
    </w:p>
    <w:p w14:paraId="3A33D0A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（1）颗粒物监测仪器备件：计数器、流量控制器、流量电磁阀、温湿度传感器、颗粒物加热杆、采样泵、24V电源、开关电源、保险管等；</w:t>
      </w:r>
    </w:p>
    <w:p w14:paraId="073A756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（2）其他备品备件：LED显示屏、4g路由器、空调电机、空调主板、稳压器、温控仪、监控球机、电表、空开、电源适配器、插线板等。</w:t>
      </w:r>
    </w:p>
    <w:p w14:paraId="17E1352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4.4.5耗材配置要求</w:t>
      </w:r>
    </w:p>
    <w:p w14:paraId="42F2E5E4">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运维单位应按不少于半年的消耗量配置运维所需耗材（原厂）。耗材应做好出入库登记，在耗材使用过程中，要遵循先备先用的原则。</w:t>
      </w:r>
    </w:p>
    <w:p w14:paraId="1109C35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本项目涉及耗材包括但不限于以下内容：</w:t>
      </w:r>
    </w:p>
    <w:p w14:paraId="0F8FE7F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（1）PM10监测仪：纸带、O型密封圈、软管、泵维护包等；</w:t>
      </w:r>
    </w:p>
    <w:p w14:paraId="7B2899F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（2）其他耗材：中性透明玻璃胶、不锈钢除锈剂、酒精湿巾、黄油等。</w:t>
      </w:r>
    </w:p>
    <w:p w14:paraId="1A3366A4">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4.4.6校准设配置要求</w:t>
      </w:r>
    </w:p>
    <w:p w14:paraId="6FFCFEF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运维单位需配备必要的质量校准设备：</w:t>
      </w:r>
    </w:p>
    <w:p w14:paraId="2B33B43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（1）至少每9个站点配备1套流量计、1台一级压力计、1台一级温湿度计；</w:t>
      </w:r>
    </w:p>
    <w:p w14:paraId="4E62042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（2）至少每9个子站配备一套标准膜片（用于颗粒物监测仪标准膜标定检查校准）；</w:t>
      </w:r>
    </w:p>
    <w:p w14:paraId="09962A7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（3）运维单位应将运维所使用的流量计、温度计、气压计、湿度计、风速风向仪等标准质控器具溯源到标准设备，由市级及以上计量部门出具鉴定报告。</w:t>
      </w:r>
    </w:p>
    <w:p w14:paraId="77BEA4F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17" w:name="_Toc83659339"/>
      <w:bookmarkStart w:id="18" w:name="_Toc29897"/>
      <w:bookmarkStart w:id="19" w:name="_Toc13054234"/>
      <w:bookmarkStart w:id="20" w:name="_Toc6767_WPSOffice_Level2"/>
      <w:bookmarkStart w:id="21" w:name="_Toc88119996"/>
      <w:r>
        <w:rPr>
          <w:rFonts w:hint="eastAsia" w:ascii="宋体" w:hAnsi="宋体" w:eastAsia="宋体" w:cs="宋体"/>
          <w:b/>
          <w:bCs/>
          <w:color w:val="auto"/>
          <w:sz w:val="24"/>
          <w:szCs w:val="24"/>
          <w:highlight w:val="none"/>
          <w:lang w:val="en-US" w:eastAsia="zh-CN"/>
        </w:rPr>
        <w:t>4.4.7挪点设备拆除、安装、比对要求</w:t>
      </w:r>
    </w:p>
    <w:p w14:paraId="7CA5BFE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（1）拆除时，各设备按操作规范拆除、装箱、运输，完成旧站点垃圾清运、地面恢复等工作；</w:t>
      </w:r>
    </w:p>
    <w:p w14:paraId="7E7BF43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（2）安装时，按流程规范施工，保证土建、人员、电力供应需求和安全，以及植被破坏赔偿，绿化恢复等，确保站点各设备实施稳定运行；</w:t>
      </w:r>
    </w:p>
    <w:p w14:paraId="2DF74B7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（3）按要求对工地、重点区域或重点方向开展管控性监测作业，依技术规范进行现场数据比对及抽检工作；</w:t>
      </w:r>
    </w:p>
    <w:p w14:paraId="21726F2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（4）认真填写挪点情况记录统计表。</w:t>
      </w:r>
    </w:p>
    <w:p w14:paraId="49EC395B">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4.4.8空气质量连续监测（AQMS）技术服务遵循的标准及规范</w:t>
      </w:r>
      <w:bookmarkEnd w:id="17"/>
      <w:bookmarkEnd w:id="18"/>
      <w:bookmarkEnd w:id="19"/>
      <w:bookmarkEnd w:id="20"/>
      <w:bookmarkEnd w:id="21"/>
    </w:p>
    <w:p w14:paraId="76EB61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en-US" w:eastAsia="zh-CN"/>
        </w:rPr>
        <w:t>；</w:t>
      </w:r>
    </w:p>
    <w:p w14:paraId="36148C1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《环境监测质量管理技术导则》（HJ 630-2011）；</w:t>
      </w:r>
    </w:p>
    <w:p w14:paraId="184DBBF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《环境空气颗粒物（PM10和PM2.5）连续自动监测系统安装和验收技术规范》（HJ 655-2013）；</w:t>
      </w:r>
    </w:p>
    <w:p w14:paraId="3B731CC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《环境空气颗粒物（PM10和PM2.5）连续自动监测系统技术要求及检测方法》（HJ 653-2013）；</w:t>
      </w:r>
    </w:p>
    <w:p w14:paraId="4BF3756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《环境空气颗粒物（PM10和PM2.5）连续自动监测系统运行和质控技术规范》（HJ 817-2018）；</w:t>
      </w:r>
    </w:p>
    <w:p w14:paraId="3C35C1DA">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《环境空气质量手工监测技术规范》（HJ 194-2017）；</w:t>
      </w:r>
    </w:p>
    <w:p w14:paraId="4160AFD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《环境空气质量评价技术规范（试行）》（HJ 663-2013）；</w:t>
      </w:r>
    </w:p>
    <w:p w14:paraId="28B05F5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《环境空气质量指数（AQI）技术规定（试行）》（HJ 633-2012）；</w:t>
      </w:r>
    </w:p>
    <w:p w14:paraId="5C1FE0E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《环境空气PM10和PM2.5的测定 重量法》（HJ 618－2011）。</w:t>
      </w:r>
    </w:p>
    <w:p w14:paraId="2D4D8D26">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其他规范及要求：中华人民共和国环境保护行业标准中规定的涉及空气质量连续自动监测内容的要求；生态环境部印发《城市环境空气质量排名技术规定》；省、市级生态环境部门的管理要求和工作要求。</w:t>
      </w:r>
    </w:p>
    <w:p w14:paraId="41A4B8B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22" w:name="_Toc405479915"/>
      <w:bookmarkStart w:id="23" w:name="_Toc55201348"/>
      <w:r>
        <w:rPr>
          <w:rFonts w:hint="eastAsia" w:ascii="宋体" w:hAnsi="宋体" w:eastAsia="宋体" w:cs="宋体"/>
          <w:b/>
          <w:bCs/>
          <w:color w:val="auto"/>
          <w:sz w:val="24"/>
          <w:szCs w:val="24"/>
          <w:highlight w:val="none"/>
          <w:lang w:val="en-US" w:eastAsia="zh-CN"/>
        </w:rPr>
        <w:t>（五）站点交接</w:t>
      </w:r>
      <w:bookmarkEnd w:id="22"/>
      <w:r>
        <w:rPr>
          <w:rFonts w:hint="eastAsia" w:ascii="宋体" w:hAnsi="宋体" w:eastAsia="宋体" w:cs="宋体"/>
          <w:b/>
          <w:bCs/>
          <w:color w:val="auto"/>
          <w:sz w:val="24"/>
          <w:szCs w:val="24"/>
          <w:highlight w:val="none"/>
          <w:lang w:val="en-US" w:eastAsia="zh-CN"/>
        </w:rPr>
        <w:t>内容</w:t>
      </w:r>
      <w:bookmarkEnd w:id="23"/>
    </w:p>
    <w:p w14:paraId="7390455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5.1勘查安装现场</w:t>
      </w:r>
    </w:p>
    <w:p w14:paraId="4A9D8C9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所有设备安装现场进行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411F64E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5.2完善设备资料</w:t>
      </w:r>
    </w:p>
    <w:p w14:paraId="2DCD333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站点自动监测设备的现场资料，主要有：设备的中文说明书、维护手册、技术图纸、国家认证检测报告与合格证（复印件）、设备自带的软件备份、安装厂家的调试报告。</w:t>
      </w:r>
    </w:p>
    <w:p w14:paraId="4A29EFB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5.3设备检修调试</w:t>
      </w:r>
    </w:p>
    <w:p w14:paraId="2FD9ACC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根据国家相关标准，对已安装的自动监测设备进行调试，并对各个主要技术指标进行检测，检测结果必须符合国家相关标准要求。</w:t>
      </w:r>
    </w:p>
    <w:p w14:paraId="1853019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5.4调取运行数据</w:t>
      </w:r>
    </w:p>
    <w:p w14:paraId="10F25637">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运维单位在设备安装现场将调取设备运行前一个月连续的历史数据，分析并判断数据能否正确反映当地实际监测状况，从而判断设备是否工作正常。</w:t>
      </w:r>
    </w:p>
    <w:p w14:paraId="3D5160D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5.5接收运行设备</w:t>
      </w:r>
    </w:p>
    <w:p w14:paraId="574997DF">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运维单位在现场确认自动监测设备运行正常、测试结果符合要求，运维单位将正式接收自动监测设备。</w:t>
      </w:r>
    </w:p>
    <w:p w14:paraId="118A6CCC">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5.6建立设备档案</w:t>
      </w:r>
    </w:p>
    <w:p w14:paraId="6A264CF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根据勘察情况、设备测试数据和测试结果，运维单位将对每套自动监测设备建立一个单独的档案，将每次维护的表格都存在这个档案中。在运维移交时，将这些设备档案交给后续的运维单位。</w:t>
      </w:r>
      <w:bookmarkStart w:id="24" w:name="_Toc27350"/>
    </w:p>
    <w:bookmarkEnd w:id="24"/>
    <w:p w14:paraId="252951BB">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25" w:name="_Toc55201349"/>
      <w:bookmarkStart w:id="26" w:name="_Toc405479916"/>
      <w:r>
        <w:rPr>
          <w:rFonts w:hint="eastAsia" w:ascii="宋体" w:hAnsi="宋体" w:eastAsia="宋体" w:cs="宋体"/>
          <w:b/>
          <w:bCs/>
          <w:color w:val="auto"/>
          <w:sz w:val="24"/>
          <w:szCs w:val="24"/>
          <w:highlight w:val="none"/>
          <w:lang w:val="en-US" w:eastAsia="zh-CN"/>
        </w:rPr>
        <w:t>（留）监督考核要求</w:t>
      </w:r>
      <w:bookmarkEnd w:id="25"/>
      <w:bookmarkEnd w:id="26"/>
    </w:p>
    <w:p w14:paraId="2DD21B83">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每月对运维单位绩效考核一次，考核采取百分制、单站考核的方式，主要包括单个站点数据有效采集率、数据质控合格率（以下简称“两率”）以及运行维护的内容。</w:t>
      </w:r>
    </w:p>
    <w:p w14:paraId="55F797B0">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bookmarkStart w:id="27" w:name="_Toc20790"/>
      <w:bookmarkStart w:id="28" w:name="_Toc13054237"/>
      <w:bookmarkStart w:id="29" w:name="_Toc21388_WPSOffice_Level2"/>
      <w:r>
        <w:rPr>
          <w:rFonts w:hint="eastAsia" w:ascii="宋体" w:hAnsi="宋体" w:eastAsia="宋体" w:cs="宋体"/>
          <w:b/>
          <w:bCs/>
          <w:color w:val="auto"/>
          <w:sz w:val="24"/>
          <w:szCs w:val="24"/>
          <w:highlight w:val="none"/>
          <w:lang w:val="en-US" w:eastAsia="zh-CN"/>
        </w:rPr>
        <w:t>6.1 考核办法</w:t>
      </w:r>
      <w:bookmarkEnd w:id="27"/>
      <w:bookmarkEnd w:id="28"/>
      <w:bookmarkEnd w:id="29"/>
    </w:p>
    <w:p w14:paraId="27E868D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数据有效采集率指考核时段内各监测项目实际接收的小时值数量总和除以应获得的小时值数量总和。</w:t>
      </w:r>
    </w:p>
    <w:p w14:paraId="45407A4D">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数据质控合格率指考核时段内各监测项目实际获取的质控合格的小时值数量总和除以应获得的小时值数量总和。</w:t>
      </w:r>
    </w:p>
    <w:p w14:paraId="6B42695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每日各项目应获得小时值数量均按24个计，考核时段天数按考核时段内日历天数计。</w:t>
      </w:r>
    </w:p>
    <w:p w14:paraId="2BABF52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除固定点位监测设备外，参与市局等其他管理单位交办临时性监测任务（参与工地设备比对，驾校监测等）的站点，以实际监测数据计算。</w:t>
      </w:r>
    </w:p>
    <w:p w14:paraId="6DD97E24">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（1）数据有效性：</w:t>
      </w:r>
    </w:p>
    <w:p w14:paraId="6183DE65">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b w:val="0"/>
          <w:bCs w:val="0"/>
          <w:color w:val="auto"/>
          <w:sz w:val="24"/>
          <w:szCs w:val="24"/>
          <w:highlight w:val="none"/>
          <w:lang w:val="en-US" w:eastAsia="zh-CN"/>
        </w:rPr>
        <w:t>中规定的污染物浓度数据有效性的最低要求，否则考核总分为0分；</w:t>
      </w:r>
    </w:p>
    <w:p w14:paraId="2C101039">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站设备数据有效采集率必须高于90%（含），否则不予支付运维费用；单站设备数据质控合格率必须高于80%（含），否则不予支付运维费用。计算应获得的小时值数量总和，应剔除客观停电、设备遭受人为破坏未能正常运行等原因。</w:t>
      </w:r>
    </w:p>
    <w:p w14:paraId="00A981C8">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（2）两率及运行维护：</w:t>
      </w:r>
    </w:p>
    <w:p w14:paraId="4854EC91">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bookmarkStart w:id="30" w:name="_Toc29642_WPSOffice_Level3"/>
      <w:r>
        <w:rPr>
          <w:rFonts w:hint="eastAsia" w:ascii="宋体" w:hAnsi="宋体" w:eastAsia="宋体" w:cs="宋体"/>
          <w:b w:val="0"/>
          <w:bCs w:val="0"/>
          <w:color w:val="auto"/>
          <w:sz w:val="24"/>
          <w:szCs w:val="24"/>
          <w:highlight w:val="none"/>
          <w:lang w:val="en-US" w:eastAsia="zh-CN"/>
        </w:rPr>
        <w:t>1）两率部分（60分）</w:t>
      </w:r>
      <w:bookmarkEnd w:id="30"/>
    </w:p>
    <w:p w14:paraId="26A9E112">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单站设备数据质控合格率高于90%（含）的，得60分；80%（含）-90%的，得分为60×（数据有效率/90%）。</w:t>
      </w:r>
      <w:bookmarkStart w:id="31" w:name="_Toc3611_WPSOffice_Level3"/>
    </w:p>
    <w:p w14:paraId="7534F75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2）运行维护部分（30分）</w:t>
      </w:r>
      <w:bookmarkEnd w:id="31"/>
    </w:p>
    <w:p w14:paraId="610ED9A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维护部分由采购人组织检查考核，每月抽10%至20%站点进行运行维护部分现场检查，以现场检查得分平均分计为所有站点本月运行维护部分得分。检查内容包括日常站点环境保障效果、采样系统维护效果、仪器日常维护效果、质量控制效果、通讯系统维护效果（数据上传发布情况）、人员与档案记录管理情况等。</w:t>
      </w:r>
    </w:p>
    <w:p w14:paraId="1AB97B2B">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检查满分100分，运维得分=检查得分×0.3分。</w:t>
      </w:r>
    </w:p>
    <w:p w14:paraId="52121978">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3）运维任务完成及异常情况处理情况（10分）</w:t>
      </w:r>
    </w:p>
    <w:p w14:paraId="6739934C">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单站运维任务完成率100%，并且站点异常情况处理率达100%的，得10分；两项未达100%的，得分为10×（任务完成及异常情况处理率/100%）</w:t>
      </w:r>
    </w:p>
    <w:p w14:paraId="6AF36FA0">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4）考核总分（100分）</w:t>
      </w:r>
    </w:p>
    <w:p w14:paraId="2F2D6E6E">
      <w:pPr>
        <w:adjustRightInd w:val="0"/>
        <w:spacing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考核总分=两率得分+运维得分+任务完成及异常情况处理得分。</w:t>
      </w:r>
    </w:p>
    <w:p w14:paraId="0F4C745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051EA09">
      <w:pPr>
        <w:jc w:val="center"/>
        <w:rPr>
          <w:rFonts w:hint="eastAsia" w:ascii="宋体" w:hAnsi="宋体" w:eastAsia="宋体" w:cs="宋体"/>
          <w:b/>
          <w:color w:val="auto"/>
          <w:sz w:val="28"/>
          <w:szCs w:val="28"/>
          <w:highlight w:val="none"/>
        </w:rPr>
        <w:sectPr>
          <w:pgSz w:w="11905" w:h="16838"/>
          <w:pgMar w:top="1247" w:right="1247" w:bottom="1213" w:left="1247" w:header="851" w:footer="680" w:gutter="0"/>
          <w:pgNumType w:fmt="decimal"/>
          <w:cols w:space="0" w:num="1"/>
          <w:rtlGutter w:val="0"/>
          <w:docGrid w:linePitch="312" w:charSpace="0"/>
        </w:sectPr>
      </w:pPr>
    </w:p>
    <w:p w14:paraId="269A5224">
      <w:pPr>
        <w:adjustRightInd w:val="0"/>
        <w:spacing w:line="360" w:lineRule="auto"/>
        <w:ind w:firstLine="482" w:firstLineChars="200"/>
        <w:jc w:val="center"/>
        <w:textAlignment w:val="baseline"/>
        <w:rPr>
          <w:rFonts w:hint="eastAsia" w:ascii="宋体" w:hAnsi="宋体" w:eastAsia="宋体" w:cs="宋体"/>
          <w:b/>
          <w:color w:val="auto"/>
          <w:sz w:val="28"/>
          <w:szCs w:val="28"/>
          <w:highlight w:val="none"/>
        </w:rPr>
      </w:pPr>
      <w:r>
        <w:rPr>
          <w:rFonts w:hint="eastAsia" w:ascii="宋体" w:hAnsi="宋体" w:eastAsia="宋体" w:cs="宋体"/>
          <w:b/>
          <w:bCs/>
          <w:color w:val="auto"/>
          <w:sz w:val="24"/>
          <w:szCs w:val="24"/>
          <w:highlight w:val="none"/>
          <w:lang w:val="en-US" w:eastAsia="zh-CN"/>
        </w:rPr>
        <w:t>重点区域道路扬尘自动监测站点运维现场检查评分表</w:t>
      </w:r>
    </w:p>
    <w:p w14:paraId="51D4682C">
      <w:pPr>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站点位置</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区（县/管委会）</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街（路）</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监测站点名称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01E17B22">
      <w:pPr>
        <w:rPr>
          <w:rFonts w:hint="eastAsia" w:ascii="宋体" w:hAnsi="宋体" w:eastAsia="宋体" w:cs="宋体"/>
          <w:color w:val="auto"/>
          <w:sz w:val="24"/>
          <w:szCs w:val="24"/>
          <w:highlight w:val="none"/>
          <w:u w:val="single"/>
        </w:rPr>
      </w:pPr>
    </w:p>
    <w:p w14:paraId="1671CCA6">
      <w:pPr>
        <w:rPr>
          <w:rFonts w:hint="eastAsia" w:ascii="宋体" w:hAnsi="宋体" w:eastAsia="宋体" w:cs="宋体"/>
          <w:b/>
          <w:color w:val="auto"/>
          <w:sz w:val="22"/>
          <w:highlight w:val="none"/>
        </w:rPr>
      </w:pPr>
      <w:r>
        <w:rPr>
          <w:rFonts w:hint="eastAsia" w:ascii="宋体" w:hAnsi="宋体" w:eastAsia="宋体" w:cs="宋体"/>
          <w:b/>
          <w:color w:val="auto"/>
          <w:sz w:val="24"/>
          <w:szCs w:val="24"/>
          <w:highlight w:val="none"/>
        </w:rPr>
        <w:t>检查日期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4"/>
          <w:szCs w:val="24"/>
          <w:highlight w:val="none"/>
        </w:rPr>
        <w:t>检查人员：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运维企业及运维人员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2"/>
          <w:highlight w:val="none"/>
        </w:rPr>
        <w:t xml:space="preserve">                                               </w:t>
      </w:r>
      <w:r>
        <w:rPr>
          <w:rFonts w:hint="eastAsia" w:ascii="宋体" w:hAnsi="宋体" w:eastAsia="宋体" w:cs="宋体"/>
          <w:b/>
          <w:color w:val="auto"/>
          <w:sz w:val="22"/>
          <w:highlight w:val="none"/>
        </w:rPr>
        <w:t xml:space="preserve"> </w:t>
      </w:r>
    </w:p>
    <w:tbl>
      <w:tblPr>
        <w:tblStyle w:val="7"/>
        <w:tblpPr w:leftFromText="180" w:rightFromText="180" w:vertAnchor="text" w:horzAnchor="page" w:tblpXSpec="center" w:tblpY="198"/>
        <w:tblOverlap w:val="never"/>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331"/>
        <w:gridCol w:w="1485"/>
        <w:gridCol w:w="5498"/>
        <w:gridCol w:w="2122"/>
        <w:gridCol w:w="713"/>
      </w:tblGrid>
      <w:tr w14:paraId="177C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9F4269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54DEC5E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1485" w:type="dxa"/>
            <w:tcBorders>
              <w:top w:val="single" w:color="auto" w:sz="4" w:space="0"/>
              <w:left w:val="single" w:color="auto" w:sz="4" w:space="0"/>
              <w:bottom w:val="single" w:color="auto" w:sz="4" w:space="0"/>
              <w:right w:val="single" w:color="auto" w:sz="4" w:space="0"/>
            </w:tcBorders>
            <w:vAlign w:val="center"/>
          </w:tcPr>
          <w:p w14:paraId="7EB199FE">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单项分值</w:t>
            </w:r>
          </w:p>
        </w:tc>
        <w:tc>
          <w:tcPr>
            <w:tcW w:w="5498" w:type="dxa"/>
            <w:tcBorders>
              <w:top w:val="single" w:color="auto" w:sz="4" w:space="0"/>
              <w:left w:val="single" w:color="auto" w:sz="4" w:space="0"/>
              <w:bottom w:val="single" w:color="auto" w:sz="4" w:space="0"/>
              <w:right w:val="single" w:color="auto" w:sz="4" w:space="0"/>
            </w:tcBorders>
            <w:vAlign w:val="center"/>
          </w:tcPr>
          <w:p w14:paraId="556C181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122" w:type="dxa"/>
            <w:tcBorders>
              <w:top w:val="single" w:color="auto" w:sz="4" w:space="0"/>
              <w:left w:val="single" w:color="auto" w:sz="4" w:space="0"/>
              <w:bottom w:val="single" w:color="auto" w:sz="4" w:space="0"/>
              <w:right w:val="single" w:color="auto" w:sz="4" w:space="0"/>
            </w:tcBorders>
            <w:vAlign w:val="center"/>
          </w:tcPr>
          <w:p w14:paraId="0411A16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713" w:type="dxa"/>
            <w:tcBorders>
              <w:top w:val="single" w:color="auto" w:sz="4" w:space="0"/>
              <w:left w:val="single" w:color="auto" w:sz="4" w:space="0"/>
              <w:bottom w:val="single" w:color="auto" w:sz="4" w:space="0"/>
              <w:right w:val="single" w:color="auto" w:sz="4" w:space="0"/>
            </w:tcBorders>
            <w:vAlign w:val="center"/>
          </w:tcPr>
          <w:p w14:paraId="13ACF54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0349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5544E96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201252A5">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1C99FF6A">
            <w:pPr>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3296347">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1485" w:type="dxa"/>
            <w:tcBorders>
              <w:top w:val="single" w:color="auto" w:sz="4" w:space="0"/>
              <w:left w:val="single" w:color="auto" w:sz="4" w:space="0"/>
              <w:bottom w:val="single" w:color="auto" w:sz="4" w:space="0"/>
              <w:right w:val="single" w:color="auto" w:sz="4" w:space="0"/>
            </w:tcBorders>
            <w:vAlign w:val="center"/>
          </w:tcPr>
          <w:p w14:paraId="40B5B1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5B3B5B6B">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 站点内部干净，无灰尘； </w:t>
            </w:r>
          </w:p>
          <w:p w14:paraId="1EBEFF26">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②站点物品摆放整齐；无明显异味； </w:t>
            </w:r>
          </w:p>
          <w:p w14:paraId="03791478">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③仪器电源线路、气体线路规整； </w:t>
            </w:r>
          </w:p>
          <w:p w14:paraId="7BB089DB">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④站点内部没有无关的设备及杂物。 </w:t>
            </w:r>
          </w:p>
          <w:p w14:paraId="3D3C5DC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⑤防护栏满足安全需求，无破损； </w:t>
            </w:r>
          </w:p>
          <w:p w14:paraId="485DBC38">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备注：若①③⑤任一项不满足扣 5 分；其他项不满足扣除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40DF929C">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06788E09">
            <w:pPr>
              <w:ind w:left="330"/>
              <w:jc w:val="left"/>
              <w:rPr>
                <w:rFonts w:hint="eastAsia" w:ascii="宋体" w:hAnsi="宋体" w:eastAsia="宋体" w:cs="宋体"/>
                <w:color w:val="auto"/>
                <w:sz w:val="21"/>
                <w:szCs w:val="21"/>
                <w:highlight w:val="none"/>
              </w:rPr>
            </w:pPr>
          </w:p>
        </w:tc>
      </w:tr>
      <w:tr w14:paraId="1236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7A323DB2">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4880D92D">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1485" w:type="dxa"/>
            <w:tcBorders>
              <w:top w:val="single" w:color="auto" w:sz="4" w:space="0"/>
              <w:left w:val="single" w:color="auto" w:sz="4" w:space="0"/>
              <w:bottom w:val="single" w:color="auto" w:sz="4" w:space="0"/>
              <w:right w:val="single" w:color="auto" w:sz="4" w:space="0"/>
            </w:tcBorders>
            <w:vAlign w:val="center"/>
          </w:tcPr>
          <w:p w14:paraId="341D8B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19664624">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①站点配有温湿度计； </w:t>
            </w:r>
          </w:p>
          <w:p w14:paraId="4CD6A191">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②箱内温满足 25±5℃； </w:t>
            </w:r>
          </w:p>
          <w:p w14:paraId="5EB336B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③箱内湿度满足≤80%。 </w:t>
            </w:r>
          </w:p>
          <w:p w14:paraId="020AF1E9">
            <w:pPr>
              <w:widowControl/>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lang w:bidi="ar"/>
              </w:rPr>
              <w:t>备注：任一项不满足扣除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26404D82">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温 度 计：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w:t>
            </w:r>
          </w:p>
          <w:p w14:paraId="3DEF6B4D">
            <w:pPr>
              <w:widowControl/>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bidi="ar"/>
              </w:rPr>
              <w:t xml:space="preserve">RH  </w:t>
            </w:r>
            <w:r>
              <w:rPr>
                <w:rFonts w:hint="eastAsia" w:ascii="宋体" w:hAnsi="宋体" w:eastAsia="宋体" w:cs="宋体"/>
                <w:color w:val="auto"/>
                <w:sz w:val="21"/>
                <w:szCs w:val="21"/>
                <w:highlight w:val="none"/>
                <w:u w:val="single"/>
                <w:lang w:bidi="ar"/>
              </w:rPr>
              <w:t xml:space="preserve">     </w:t>
            </w:r>
          </w:p>
          <w:p w14:paraId="53105C01">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空调：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65E08DB2">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7D68737">
            <w:pPr>
              <w:ind w:left="-360" w:leftChars="-150"/>
              <w:jc w:val="left"/>
              <w:rPr>
                <w:rFonts w:hint="eastAsia" w:ascii="宋体" w:hAnsi="宋体" w:eastAsia="宋体" w:cs="宋体"/>
                <w:color w:val="auto"/>
                <w:spacing w:val="-2"/>
                <w:sz w:val="21"/>
                <w:szCs w:val="21"/>
                <w:highlight w:val="none"/>
              </w:rPr>
            </w:pPr>
          </w:p>
        </w:tc>
      </w:tr>
      <w:tr w14:paraId="14DB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019F4E25">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55D67AFB">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防水、供电、监控是否满足运行要求，其他基础设施是否满足监测要求</w:t>
            </w:r>
          </w:p>
        </w:tc>
        <w:tc>
          <w:tcPr>
            <w:tcW w:w="1485" w:type="dxa"/>
            <w:tcBorders>
              <w:top w:val="single" w:color="auto" w:sz="4" w:space="0"/>
              <w:left w:val="single" w:color="auto" w:sz="4" w:space="0"/>
              <w:bottom w:val="single" w:color="auto" w:sz="4" w:space="0"/>
              <w:right w:val="single" w:color="auto" w:sz="4" w:space="0"/>
            </w:tcBorders>
            <w:vAlign w:val="center"/>
          </w:tcPr>
          <w:p w14:paraId="7F7C009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442C765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①防水满足要求，站点无漏水； </w:t>
            </w:r>
          </w:p>
          <w:p w14:paraId="01D684E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②仪器用电满足要求，站点无漏电； </w:t>
            </w:r>
          </w:p>
          <w:p w14:paraId="419F79D1">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③空调运行正常，滤芯及时清理（每季度）； </w:t>
            </w:r>
          </w:p>
          <w:p w14:paraId="0AECA094">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④视频监控摄像头预设点位合理、镜头清洁到位，系统正常运行，平台能查看现场监控。</w:t>
            </w:r>
          </w:p>
          <w:p w14:paraId="4789B7D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备注：一项不满足扣除 3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2B728D97">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AE8E218">
            <w:pPr>
              <w:jc w:val="left"/>
              <w:rPr>
                <w:rFonts w:hint="eastAsia" w:ascii="宋体" w:hAnsi="宋体" w:eastAsia="宋体" w:cs="宋体"/>
                <w:color w:val="auto"/>
                <w:sz w:val="21"/>
                <w:szCs w:val="21"/>
                <w:highlight w:val="none"/>
              </w:rPr>
            </w:pPr>
          </w:p>
        </w:tc>
      </w:tr>
      <w:tr w14:paraId="1F68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4B1CE1C9">
            <w:pPr>
              <w:widowControl/>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 效果（10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2EB7CBEA">
            <w:p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1485" w:type="dxa"/>
            <w:tcBorders>
              <w:top w:val="single" w:color="auto" w:sz="4" w:space="0"/>
              <w:left w:val="single" w:color="auto" w:sz="4" w:space="0"/>
              <w:bottom w:val="single" w:color="auto" w:sz="4" w:space="0"/>
              <w:right w:val="single" w:color="auto" w:sz="4" w:space="0"/>
            </w:tcBorders>
            <w:vAlign w:val="center"/>
          </w:tcPr>
          <w:p w14:paraId="58016D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248373BD">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①颗粒物切割头无明显积灰/积水/障碍物，颗粒物采 </w:t>
            </w:r>
          </w:p>
          <w:p w14:paraId="3A079F3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样管定期维护； </w:t>
            </w:r>
          </w:p>
          <w:p w14:paraId="28372C9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②采样风机正常工作；采样管路连接规范； </w:t>
            </w:r>
          </w:p>
          <w:p w14:paraId="762F050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③避免被空调直吹，是否采取措施避免影响； </w:t>
            </w:r>
          </w:p>
          <w:p w14:paraId="422BB4D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备注：任一项不满足扣除 4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7E29B105">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6963CF2E">
            <w:pPr>
              <w:spacing w:line="280" w:lineRule="exact"/>
              <w:jc w:val="left"/>
              <w:rPr>
                <w:rFonts w:hint="eastAsia" w:ascii="宋体" w:hAnsi="宋体" w:eastAsia="宋体" w:cs="宋体"/>
                <w:color w:val="auto"/>
                <w:sz w:val="21"/>
                <w:szCs w:val="21"/>
                <w:highlight w:val="none"/>
              </w:rPr>
            </w:pPr>
          </w:p>
        </w:tc>
      </w:tr>
      <w:tr w14:paraId="47FD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2B193433">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3.仪器日常维护效果（30分）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2B6677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1485" w:type="dxa"/>
            <w:tcBorders>
              <w:top w:val="single" w:color="auto" w:sz="4" w:space="0"/>
              <w:left w:val="single" w:color="auto" w:sz="4" w:space="0"/>
              <w:bottom w:val="single" w:color="auto" w:sz="4" w:space="0"/>
              <w:right w:val="single" w:color="auto" w:sz="4" w:space="0"/>
            </w:tcBorders>
            <w:vAlign w:val="center"/>
          </w:tcPr>
          <w:p w14:paraId="4DB939F4">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36DCA3A1">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①PM10、气象、噪声、显示屏等设备任一项不正常，扣 5分；</w:t>
            </w:r>
          </w:p>
          <w:p w14:paraId="17DFC996">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②每存在一条报警信息扣 5 分。</w:t>
            </w:r>
          </w:p>
          <w:p w14:paraId="3A43E392">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3E95A3E2">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DD9EC82">
            <w:pPr>
              <w:spacing w:line="280" w:lineRule="exact"/>
              <w:jc w:val="left"/>
              <w:rPr>
                <w:rFonts w:hint="eastAsia" w:ascii="宋体" w:hAnsi="宋体" w:eastAsia="宋体" w:cs="宋体"/>
                <w:color w:val="auto"/>
                <w:sz w:val="21"/>
                <w:szCs w:val="21"/>
                <w:highlight w:val="none"/>
              </w:rPr>
            </w:pPr>
          </w:p>
        </w:tc>
      </w:tr>
      <w:tr w14:paraId="44E3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727A2039">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217D19B">
            <w:pPr>
              <w:numPr>
                <w:ilvl w:val="0"/>
                <w:numId w:val="2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1485" w:type="dxa"/>
            <w:tcBorders>
              <w:top w:val="single" w:color="auto" w:sz="4" w:space="0"/>
              <w:left w:val="single" w:color="auto" w:sz="4" w:space="0"/>
              <w:bottom w:val="single" w:color="auto" w:sz="4" w:space="0"/>
              <w:right w:val="single" w:color="auto" w:sz="4" w:space="0"/>
            </w:tcBorders>
            <w:vAlign w:val="center"/>
          </w:tcPr>
          <w:p w14:paraId="7498F687">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5498" w:type="dxa"/>
            <w:tcBorders>
              <w:top w:val="single" w:color="auto" w:sz="4" w:space="0"/>
              <w:left w:val="single" w:color="auto" w:sz="4" w:space="0"/>
              <w:bottom w:val="single" w:color="auto" w:sz="4" w:space="0"/>
              <w:right w:val="single" w:color="auto" w:sz="4" w:space="0"/>
            </w:tcBorders>
            <w:vAlign w:val="center"/>
          </w:tcPr>
          <w:p w14:paraId="45607FA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①颗粒物采样管加热装置、参数设置是否正常工作，不正常扣 5分；</w:t>
            </w:r>
          </w:p>
          <w:p w14:paraId="42335F09">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②加热温度小于 30℃、大于 50℃，扣 5 分； </w:t>
            </w:r>
          </w:p>
          <w:p w14:paraId="3B95A4D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③仪器散热风扇工作正常，不正常扣5 分；</w:t>
            </w:r>
          </w:p>
          <w:p w14:paraId="2BFBBF1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3BD365EE">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5D2C90C">
            <w:pPr>
              <w:jc w:val="left"/>
              <w:rPr>
                <w:rFonts w:hint="eastAsia" w:ascii="宋体" w:hAnsi="宋体" w:eastAsia="宋体" w:cs="宋体"/>
                <w:color w:val="auto"/>
                <w:sz w:val="21"/>
                <w:szCs w:val="21"/>
                <w:highlight w:val="none"/>
              </w:rPr>
            </w:pPr>
          </w:p>
        </w:tc>
      </w:tr>
      <w:tr w14:paraId="7F1C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6D4D107">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C5D29A6">
            <w:pPr>
              <w:numPr>
                <w:ilvl w:val="0"/>
                <w:numId w:val="2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 型圈、采样泵等相关耗材及时更换</w:t>
            </w:r>
          </w:p>
        </w:tc>
        <w:tc>
          <w:tcPr>
            <w:tcW w:w="1485" w:type="dxa"/>
            <w:tcBorders>
              <w:top w:val="single" w:color="auto" w:sz="4" w:space="0"/>
              <w:left w:val="single" w:color="auto" w:sz="4" w:space="0"/>
              <w:bottom w:val="single" w:color="auto" w:sz="4" w:space="0"/>
              <w:right w:val="single" w:color="auto" w:sz="4" w:space="0"/>
            </w:tcBorders>
            <w:vAlign w:val="center"/>
          </w:tcPr>
          <w:p w14:paraId="25A02643">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30152E5A">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①及时更换纸带；</w:t>
            </w:r>
          </w:p>
          <w:p w14:paraId="6BE490AD">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②及时更换 O 型圈；</w:t>
            </w:r>
          </w:p>
          <w:p w14:paraId="186DBB6C">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③及时更换采样泵相关耗材；</w:t>
            </w:r>
          </w:p>
          <w:p w14:paraId="7E314A82">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 5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FC34CEE">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A449765">
            <w:pPr>
              <w:spacing w:line="280" w:lineRule="exact"/>
              <w:jc w:val="left"/>
              <w:rPr>
                <w:rFonts w:hint="eastAsia" w:ascii="宋体" w:hAnsi="宋体" w:eastAsia="宋体" w:cs="宋体"/>
                <w:color w:val="auto"/>
                <w:sz w:val="21"/>
                <w:szCs w:val="21"/>
                <w:highlight w:val="none"/>
              </w:rPr>
            </w:pPr>
          </w:p>
        </w:tc>
      </w:tr>
      <w:tr w14:paraId="1CE7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4D26618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330012FE">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（32分）</w:t>
            </w:r>
          </w:p>
        </w:tc>
        <w:tc>
          <w:tcPr>
            <w:tcW w:w="452" w:type="dxa"/>
            <w:tcBorders>
              <w:top w:val="single" w:color="auto" w:sz="4" w:space="0"/>
              <w:left w:val="single" w:color="auto" w:sz="4" w:space="0"/>
              <w:right w:val="single" w:color="auto" w:sz="4" w:space="0"/>
            </w:tcBorders>
            <w:vAlign w:val="center"/>
          </w:tcPr>
          <w:p w14:paraId="65421E63">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颗粒污染物及噪音气象</w:t>
            </w:r>
          </w:p>
        </w:tc>
        <w:tc>
          <w:tcPr>
            <w:tcW w:w="4331" w:type="dxa"/>
            <w:tcBorders>
              <w:top w:val="single" w:color="auto" w:sz="4" w:space="0"/>
              <w:left w:val="single" w:color="auto" w:sz="4" w:space="0"/>
              <w:right w:val="single" w:color="auto" w:sz="4" w:space="0"/>
            </w:tcBorders>
            <w:vAlign w:val="center"/>
          </w:tcPr>
          <w:p w14:paraId="153151FD">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35AFBF6B">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67AB3990">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4144C651">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06570830">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50A4226">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Um值（每季度）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2DA884F">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4E20BD07">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5C536CBD">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2B5C84C2">
            <w:pPr>
              <w:numPr>
                <w:ilvl w:val="0"/>
                <w:numId w:val="30"/>
              </w:numPr>
              <w:spacing w:line="180" w:lineRule="atLeast"/>
              <w:jc w:val="left"/>
              <w:rPr>
                <w:rFonts w:hint="eastAsia" w:ascii="宋体" w:hAnsi="宋体" w:eastAsia="宋体" w:cs="宋体"/>
                <w:bCs/>
                <w:color w:val="auto"/>
                <w:sz w:val="21"/>
                <w:szCs w:val="21"/>
                <w:highlight w:val="none"/>
                <w:u w:val="single"/>
              </w:rPr>
            </w:pPr>
            <w:r>
              <w:rPr>
                <w:rFonts w:hint="eastAsia" w:ascii="宋体" w:hAnsi="宋体" w:eastAsia="宋体" w:cs="宋体"/>
                <w:color w:val="auto"/>
                <w:spacing w:val="-4"/>
                <w:sz w:val="21"/>
                <w:szCs w:val="21"/>
                <w:highlight w:val="none"/>
              </w:rPr>
              <w:t>湿度：显示值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 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1437BA10">
            <w:pPr>
              <w:numPr>
                <w:ilvl w:val="0"/>
                <w:numId w:val="3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bidi="ar"/>
              </w:rPr>
              <w:t>气象风速：</w:t>
            </w:r>
            <w:r>
              <w:rPr>
                <w:rFonts w:hint="eastAsia" w:ascii="宋体" w:hAnsi="宋体" w:eastAsia="宋体" w:cs="宋体"/>
                <w:color w:val="auto"/>
                <w:sz w:val="21"/>
                <w:szCs w:val="21"/>
                <w:highlight w:val="none"/>
              </w:rPr>
              <w:t>显示值：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z w:val="21"/>
                <w:szCs w:val="21"/>
                <w:highlight w:val="none"/>
                <w:lang w:bidi="ar"/>
              </w:rPr>
              <w:t xml:space="preserve">  </w:t>
            </w:r>
          </w:p>
          <w:p w14:paraId="02FB54D7">
            <w:pPr>
              <w:pStyle w:val="6"/>
              <w:ind w:firstLine="1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c>
          <w:tcPr>
            <w:tcW w:w="1485" w:type="dxa"/>
            <w:tcBorders>
              <w:top w:val="single" w:color="auto" w:sz="4" w:space="0"/>
              <w:left w:val="single" w:color="auto" w:sz="4" w:space="0"/>
              <w:right w:val="single" w:color="auto" w:sz="4" w:space="0"/>
            </w:tcBorders>
            <w:vAlign w:val="center"/>
          </w:tcPr>
          <w:p w14:paraId="37F93E0B">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498" w:type="dxa"/>
            <w:tcBorders>
              <w:top w:val="single" w:color="auto" w:sz="4" w:space="0"/>
              <w:left w:val="single" w:color="auto" w:sz="4" w:space="0"/>
              <w:right w:val="single" w:color="auto" w:sz="4" w:space="0"/>
            </w:tcBorders>
            <w:vAlign w:val="center"/>
          </w:tcPr>
          <w:p w14:paraId="28E71BCA">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w:t>
            </w:r>
            <w:r>
              <w:rPr>
                <w:rFonts w:hint="eastAsia" w:ascii="宋体" w:hAnsi="宋体" w:eastAsia="宋体" w:cs="宋体"/>
                <w:color w:val="auto"/>
                <w:spacing w:val="-4"/>
                <w:sz w:val="21"/>
                <w:szCs w:val="21"/>
                <w:highlight w:val="none"/>
              </w:rPr>
              <w:t>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的（已设定值为16.67L/min，标准应在15.84-17.50L/min）， 扣5分；</w:t>
            </w:r>
          </w:p>
          <w:p w14:paraId="005459BE">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3B7FD381">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参数不符合要求，扣5分；</w:t>
            </w:r>
          </w:p>
          <w:p w14:paraId="7F37D017">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±1℃ 扣5分；</w:t>
            </w:r>
          </w:p>
          <w:p w14:paraId="7A6DD300">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±0.1千帕的扣3分；</w:t>
            </w:r>
          </w:p>
          <w:p w14:paraId="524B011C">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仪器显示湿度与实测湿度误差超过 ±10%；扣3分</w:t>
            </w:r>
          </w:p>
          <w:p w14:paraId="7510BE1C">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仪器显示风速与实测风速误差超过 ±1m/s；扣3分</w:t>
            </w:r>
          </w:p>
          <w:p w14:paraId="2F6D94EE">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仪器显示风向与实测风向误差超过  ±7°扣3分</w:t>
            </w:r>
          </w:p>
          <w:p w14:paraId="206B325A">
            <w:pPr>
              <w:numPr>
                <w:ilvl w:val="0"/>
                <w:numId w:val="3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37B9D3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备注：扣分上限为单项分值，如未携带相关工具扣除全部分值。</w:t>
            </w:r>
          </w:p>
        </w:tc>
        <w:tc>
          <w:tcPr>
            <w:tcW w:w="2122" w:type="dxa"/>
            <w:tcBorders>
              <w:top w:val="single" w:color="auto" w:sz="4" w:space="0"/>
              <w:left w:val="single" w:color="auto" w:sz="4" w:space="0"/>
              <w:right w:val="single" w:color="auto" w:sz="4" w:space="0"/>
            </w:tcBorders>
          </w:tcPr>
          <w:tbl>
            <w:tblPr>
              <w:tblStyle w:val="8"/>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98F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BF52F2D">
                  <w:pPr>
                    <w:jc w:val="center"/>
                    <w:rPr>
                      <w:rFonts w:hint="eastAsia" w:ascii="宋体" w:hAnsi="宋体" w:eastAsia="宋体" w:cs="宋体"/>
                      <w:color w:val="auto"/>
                      <w:sz w:val="21"/>
                      <w:szCs w:val="21"/>
                      <w:highlight w:val="none"/>
                    </w:rPr>
                  </w:pPr>
                </w:p>
              </w:tc>
              <w:tc>
                <w:tcPr>
                  <w:tcW w:w="813" w:type="dxa"/>
                  <w:vAlign w:val="center"/>
                </w:tcPr>
                <w:p w14:paraId="4D9A75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7122EE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41A7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8C6A5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0A2E0A53">
                  <w:pPr>
                    <w:jc w:val="center"/>
                    <w:rPr>
                      <w:rFonts w:hint="eastAsia" w:ascii="宋体" w:hAnsi="宋体" w:eastAsia="宋体" w:cs="宋体"/>
                      <w:color w:val="auto"/>
                      <w:sz w:val="21"/>
                      <w:szCs w:val="21"/>
                      <w:highlight w:val="none"/>
                    </w:rPr>
                  </w:pPr>
                </w:p>
              </w:tc>
              <w:tc>
                <w:tcPr>
                  <w:tcW w:w="813" w:type="dxa"/>
                  <w:vAlign w:val="center"/>
                </w:tcPr>
                <w:p w14:paraId="78779F4A">
                  <w:pPr>
                    <w:jc w:val="center"/>
                    <w:rPr>
                      <w:rFonts w:hint="eastAsia" w:ascii="宋体" w:hAnsi="宋体" w:eastAsia="宋体" w:cs="宋体"/>
                      <w:color w:val="auto"/>
                      <w:sz w:val="21"/>
                      <w:szCs w:val="21"/>
                      <w:highlight w:val="none"/>
                    </w:rPr>
                  </w:pPr>
                </w:p>
              </w:tc>
            </w:tr>
            <w:tr w14:paraId="0BD8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6E690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55561D87">
                  <w:pPr>
                    <w:jc w:val="center"/>
                    <w:rPr>
                      <w:rFonts w:hint="eastAsia" w:ascii="宋体" w:hAnsi="宋体" w:eastAsia="宋体" w:cs="宋体"/>
                      <w:color w:val="auto"/>
                      <w:sz w:val="21"/>
                      <w:szCs w:val="21"/>
                      <w:highlight w:val="none"/>
                    </w:rPr>
                  </w:pPr>
                </w:p>
              </w:tc>
              <w:tc>
                <w:tcPr>
                  <w:tcW w:w="813" w:type="dxa"/>
                  <w:vAlign w:val="center"/>
                </w:tcPr>
                <w:p w14:paraId="2641DB52">
                  <w:pPr>
                    <w:jc w:val="center"/>
                    <w:rPr>
                      <w:rFonts w:hint="eastAsia" w:ascii="宋体" w:hAnsi="宋体" w:eastAsia="宋体" w:cs="宋体"/>
                      <w:color w:val="auto"/>
                      <w:sz w:val="21"/>
                      <w:szCs w:val="21"/>
                      <w:highlight w:val="none"/>
                    </w:rPr>
                  </w:pPr>
                </w:p>
              </w:tc>
            </w:tr>
            <w:tr w14:paraId="6DF8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B31AA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20CC8DA8">
                  <w:pPr>
                    <w:jc w:val="center"/>
                    <w:rPr>
                      <w:rFonts w:hint="eastAsia" w:ascii="宋体" w:hAnsi="宋体" w:eastAsia="宋体" w:cs="宋体"/>
                      <w:color w:val="auto"/>
                      <w:sz w:val="21"/>
                      <w:szCs w:val="21"/>
                      <w:highlight w:val="none"/>
                    </w:rPr>
                  </w:pPr>
                </w:p>
              </w:tc>
              <w:tc>
                <w:tcPr>
                  <w:tcW w:w="813" w:type="dxa"/>
                  <w:vAlign w:val="center"/>
                </w:tcPr>
                <w:p w14:paraId="5CEDA016">
                  <w:pPr>
                    <w:jc w:val="center"/>
                    <w:rPr>
                      <w:rFonts w:hint="eastAsia" w:ascii="宋体" w:hAnsi="宋体" w:eastAsia="宋体" w:cs="宋体"/>
                      <w:color w:val="auto"/>
                      <w:sz w:val="21"/>
                      <w:szCs w:val="21"/>
                      <w:highlight w:val="none"/>
                    </w:rPr>
                  </w:pPr>
                </w:p>
              </w:tc>
            </w:tr>
            <w:tr w14:paraId="49F5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09A34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13" w:type="dxa"/>
                  <w:vAlign w:val="center"/>
                </w:tcPr>
                <w:p w14:paraId="680EFB0D">
                  <w:pPr>
                    <w:jc w:val="center"/>
                    <w:rPr>
                      <w:rFonts w:hint="eastAsia" w:ascii="宋体" w:hAnsi="宋体" w:eastAsia="宋体" w:cs="宋体"/>
                      <w:color w:val="auto"/>
                      <w:sz w:val="21"/>
                      <w:szCs w:val="21"/>
                      <w:highlight w:val="none"/>
                    </w:rPr>
                  </w:pPr>
                </w:p>
              </w:tc>
              <w:tc>
                <w:tcPr>
                  <w:tcW w:w="813" w:type="dxa"/>
                  <w:vAlign w:val="center"/>
                </w:tcPr>
                <w:p w14:paraId="2585639A">
                  <w:pPr>
                    <w:jc w:val="center"/>
                    <w:rPr>
                      <w:rFonts w:hint="eastAsia" w:ascii="宋体" w:hAnsi="宋体" w:eastAsia="宋体" w:cs="宋体"/>
                      <w:color w:val="auto"/>
                      <w:sz w:val="21"/>
                      <w:szCs w:val="21"/>
                      <w:highlight w:val="none"/>
                    </w:rPr>
                  </w:pPr>
                </w:p>
              </w:tc>
            </w:tr>
            <w:tr w14:paraId="0450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93641A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813" w:type="dxa"/>
                  <w:vAlign w:val="center"/>
                </w:tcPr>
                <w:p w14:paraId="7E7CA525">
                  <w:pPr>
                    <w:jc w:val="center"/>
                    <w:rPr>
                      <w:rFonts w:hint="eastAsia" w:ascii="宋体" w:hAnsi="宋体" w:eastAsia="宋体" w:cs="宋体"/>
                      <w:color w:val="auto"/>
                      <w:sz w:val="21"/>
                      <w:szCs w:val="21"/>
                      <w:highlight w:val="none"/>
                    </w:rPr>
                  </w:pPr>
                </w:p>
              </w:tc>
              <w:tc>
                <w:tcPr>
                  <w:tcW w:w="813" w:type="dxa"/>
                  <w:vAlign w:val="center"/>
                </w:tcPr>
                <w:p w14:paraId="41641A90">
                  <w:pPr>
                    <w:jc w:val="center"/>
                    <w:rPr>
                      <w:rFonts w:hint="eastAsia" w:ascii="宋体" w:hAnsi="宋体" w:eastAsia="宋体" w:cs="宋体"/>
                      <w:color w:val="auto"/>
                      <w:sz w:val="21"/>
                      <w:szCs w:val="21"/>
                      <w:highlight w:val="none"/>
                    </w:rPr>
                  </w:pPr>
                </w:p>
              </w:tc>
            </w:tr>
            <w:tr w14:paraId="3F53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35513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813" w:type="dxa"/>
                  <w:vAlign w:val="center"/>
                </w:tcPr>
                <w:p w14:paraId="08816A95">
                  <w:pPr>
                    <w:jc w:val="center"/>
                    <w:rPr>
                      <w:rFonts w:hint="eastAsia" w:ascii="宋体" w:hAnsi="宋体" w:eastAsia="宋体" w:cs="宋体"/>
                      <w:color w:val="auto"/>
                      <w:sz w:val="21"/>
                      <w:szCs w:val="21"/>
                      <w:highlight w:val="none"/>
                    </w:rPr>
                  </w:pPr>
                </w:p>
              </w:tc>
              <w:tc>
                <w:tcPr>
                  <w:tcW w:w="813" w:type="dxa"/>
                  <w:vAlign w:val="center"/>
                </w:tcPr>
                <w:p w14:paraId="1F315EF7">
                  <w:pPr>
                    <w:jc w:val="center"/>
                    <w:rPr>
                      <w:rFonts w:hint="eastAsia" w:ascii="宋体" w:hAnsi="宋体" w:eastAsia="宋体" w:cs="宋体"/>
                      <w:color w:val="auto"/>
                      <w:sz w:val="21"/>
                      <w:szCs w:val="21"/>
                      <w:highlight w:val="none"/>
                    </w:rPr>
                  </w:pPr>
                </w:p>
              </w:tc>
            </w:tr>
            <w:tr w14:paraId="6273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54B5E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813" w:type="dxa"/>
                  <w:vAlign w:val="center"/>
                </w:tcPr>
                <w:p w14:paraId="4EC1AE90">
                  <w:pPr>
                    <w:jc w:val="center"/>
                    <w:rPr>
                      <w:rFonts w:hint="eastAsia" w:ascii="宋体" w:hAnsi="宋体" w:eastAsia="宋体" w:cs="宋体"/>
                      <w:color w:val="auto"/>
                      <w:sz w:val="21"/>
                      <w:szCs w:val="21"/>
                      <w:highlight w:val="none"/>
                    </w:rPr>
                  </w:pPr>
                </w:p>
              </w:tc>
              <w:tc>
                <w:tcPr>
                  <w:tcW w:w="813" w:type="dxa"/>
                  <w:vAlign w:val="center"/>
                </w:tcPr>
                <w:p w14:paraId="6A70790A">
                  <w:pPr>
                    <w:jc w:val="center"/>
                    <w:rPr>
                      <w:rFonts w:hint="eastAsia" w:ascii="宋体" w:hAnsi="宋体" w:eastAsia="宋体" w:cs="宋体"/>
                      <w:color w:val="auto"/>
                      <w:sz w:val="21"/>
                      <w:szCs w:val="21"/>
                      <w:highlight w:val="none"/>
                    </w:rPr>
                  </w:pPr>
                </w:p>
              </w:tc>
            </w:tr>
            <w:tr w14:paraId="2DF2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9F41D1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813" w:type="dxa"/>
                  <w:vAlign w:val="center"/>
                </w:tcPr>
                <w:p w14:paraId="79B1E415">
                  <w:pPr>
                    <w:jc w:val="center"/>
                    <w:rPr>
                      <w:rFonts w:hint="eastAsia" w:ascii="宋体" w:hAnsi="宋体" w:eastAsia="宋体" w:cs="宋体"/>
                      <w:color w:val="auto"/>
                      <w:sz w:val="21"/>
                      <w:szCs w:val="21"/>
                      <w:highlight w:val="none"/>
                    </w:rPr>
                  </w:pPr>
                </w:p>
              </w:tc>
              <w:tc>
                <w:tcPr>
                  <w:tcW w:w="813" w:type="dxa"/>
                  <w:vAlign w:val="center"/>
                </w:tcPr>
                <w:p w14:paraId="6CC2F53A">
                  <w:pPr>
                    <w:jc w:val="center"/>
                    <w:rPr>
                      <w:rFonts w:hint="eastAsia" w:ascii="宋体" w:hAnsi="宋体" w:eastAsia="宋体" w:cs="宋体"/>
                      <w:color w:val="auto"/>
                      <w:sz w:val="21"/>
                      <w:szCs w:val="21"/>
                      <w:highlight w:val="none"/>
                    </w:rPr>
                  </w:pPr>
                </w:p>
              </w:tc>
            </w:tr>
            <w:tr w14:paraId="4093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0" w:type="dxa"/>
                  <w:vAlign w:val="center"/>
                </w:tcPr>
                <w:p w14:paraId="1B428C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813" w:type="dxa"/>
                  <w:vAlign w:val="center"/>
                </w:tcPr>
                <w:p w14:paraId="7946C20E">
                  <w:pPr>
                    <w:jc w:val="center"/>
                    <w:rPr>
                      <w:rFonts w:hint="eastAsia" w:ascii="宋体" w:hAnsi="宋体" w:eastAsia="宋体" w:cs="宋体"/>
                      <w:color w:val="auto"/>
                      <w:sz w:val="21"/>
                      <w:szCs w:val="21"/>
                      <w:highlight w:val="none"/>
                    </w:rPr>
                  </w:pPr>
                </w:p>
              </w:tc>
              <w:tc>
                <w:tcPr>
                  <w:tcW w:w="813" w:type="dxa"/>
                  <w:vAlign w:val="center"/>
                </w:tcPr>
                <w:p w14:paraId="63297534">
                  <w:pPr>
                    <w:jc w:val="center"/>
                    <w:rPr>
                      <w:rFonts w:hint="eastAsia" w:ascii="宋体" w:hAnsi="宋体" w:eastAsia="宋体" w:cs="宋体"/>
                      <w:color w:val="auto"/>
                      <w:sz w:val="21"/>
                      <w:szCs w:val="21"/>
                      <w:highlight w:val="none"/>
                    </w:rPr>
                  </w:pPr>
                </w:p>
              </w:tc>
            </w:tr>
          </w:tbl>
          <w:p w14:paraId="6D333ED6">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7DFE25A0">
            <w:pPr>
              <w:rPr>
                <w:rFonts w:hint="eastAsia" w:ascii="宋体" w:hAnsi="宋体" w:eastAsia="宋体" w:cs="宋体"/>
                <w:color w:val="auto"/>
                <w:sz w:val="21"/>
                <w:szCs w:val="21"/>
                <w:highlight w:val="none"/>
              </w:rPr>
            </w:pPr>
          </w:p>
        </w:tc>
      </w:tr>
      <w:tr w14:paraId="5C36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37B097E">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49DCE19">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437B726D">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65AC6632">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tc>
        <w:tc>
          <w:tcPr>
            <w:tcW w:w="1485" w:type="dxa"/>
            <w:tcBorders>
              <w:top w:val="single" w:color="auto" w:sz="4" w:space="0"/>
              <w:left w:val="single" w:color="auto" w:sz="4" w:space="0"/>
              <w:bottom w:val="single" w:color="auto" w:sz="4" w:space="0"/>
              <w:right w:val="single" w:color="auto" w:sz="4" w:space="0"/>
            </w:tcBorders>
            <w:vAlign w:val="center"/>
          </w:tcPr>
          <w:p w14:paraId="53980608">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4D9BD1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w:t>
            </w:r>
          </w:p>
          <w:p w14:paraId="5AD6042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每年通过国家计量检定；任一项不合格扣 2 分。</w:t>
            </w:r>
          </w:p>
        </w:tc>
        <w:tc>
          <w:tcPr>
            <w:tcW w:w="2122" w:type="dxa"/>
            <w:tcBorders>
              <w:top w:val="single" w:color="auto" w:sz="4" w:space="0"/>
              <w:left w:val="single" w:color="auto" w:sz="4" w:space="0"/>
              <w:bottom w:val="single" w:color="auto" w:sz="4" w:space="0"/>
              <w:right w:val="single" w:color="auto" w:sz="4" w:space="0"/>
            </w:tcBorders>
          </w:tcPr>
          <w:p w14:paraId="30DE6350">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6C2EC415">
            <w:pPr>
              <w:jc w:val="left"/>
              <w:rPr>
                <w:rFonts w:hint="eastAsia" w:ascii="宋体" w:hAnsi="宋体" w:eastAsia="宋体" w:cs="宋体"/>
                <w:color w:val="auto"/>
                <w:sz w:val="21"/>
                <w:szCs w:val="21"/>
                <w:highlight w:val="none"/>
              </w:rPr>
            </w:pPr>
          </w:p>
        </w:tc>
      </w:tr>
      <w:tr w14:paraId="2BA1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E9255E7">
            <w:pPr>
              <w:numPr>
                <w:ilvl w:val="0"/>
                <w:numId w:val="32"/>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4AB7122">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能否正常采集数据并上传平台发布数据</w:t>
            </w:r>
          </w:p>
        </w:tc>
        <w:tc>
          <w:tcPr>
            <w:tcW w:w="1485" w:type="dxa"/>
            <w:tcBorders>
              <w:top w:val="single" w:color="auto" w:sz="4" w:space="0"/>
              <w:left w:val="single" w:color="auto" w:sz="4" w:space="0"/>
              <w:bottom w:val="single" w:color="auto" w:sz="4" w:space="0"/>
              <w:right w:val="single" w:color="auto" w:sz="4" w:space="0"/>
            </w:tcBorders>
            <w:vAlign w:val="center"/>
          </w:tcPr>
          <w:p w14:paraId="275BF56C">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5A0253D6">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122" w:type="dxa"/>
            <w:tcBorders>
              <w:top w:val="single" w:color="auto" w:sz="4" w:space="0"/>
              <w:left w:val="single" w:color="auto" w:sz="4" w:space="0"/>
              <w:bottom w:val="single" w:color="auto" w:sz="4" w:space="0"/>
              <w:right w:val="single" w:color="auto" w:sz="4" w:space="0"/>
            </w:tcBorders>
            <w:vAlign w:val="center"/>
          </w:tcPr>
          <w:p w14:paraId="270333C5">
            <w:pPr>
              <w:jc w:val="center"/>
              <w:rPr>
                <w:rFonts w:hint="eastAsia" w:ascii="宋体" w:hAnsi="宋体" w:eastAsia="宋体" w:cs="宋体"/>
                <w:bCs/>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1F5AA981">
            <w:pPr>
              <w:jc w:val="left"/>
              <w:rPr>
                <w:rFonts w:hint="eastAsia" w:ascii="宋体" w:hAnsi="宋体" w:eastAsia="宋体" w:cs="宋体"/>
                <w:bCs/>
                <w:color w:val="auto"/>
                <w:sz w:val="21"/>
                <w:szCs w:val="21"/>
                <w:highlight w:val="none"/>
              </w:rPr>
            </w:pPr>
          </w:p>
        </w:tc>
      </w:tr>
      <w:tr w14:paraId="1A87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19094EC">
            <w:pPr>
              <w:numPr>
                <w:ilvl w:val="0"/>
                <w:numId w:val="32"/>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人员要求（5分）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6DEA00EF">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p w14:paraId="00238143">
            <w:pPr>
              <w:tabs>
                <w:tab w:val="left" w:pos="1129"/>
              </w:tabs>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现场运维要配备斜梯等工具禁止踩踏站箱顶</w:t>
            </w:r>
          </w:p>
        </w:tc>
        <w:tc>
          <w:tcPr>
            <w:tcW w:w="1485" w:type="dxa"/>
            <w:tcBorders>
              <w:top w:val="single" w:color="auto" w:sz="4" w:space="0"/>
              <w:left w:val="single" w:color="auto" w:sz="4" w:space="0"/>
              <w:bottom w:val="single" w:color="auto" w:sz="4" w:space="0"/>
              <w:right w:val="single" w:color="auto" w:sz="4" w:space="0"/>
            </w:tcBorders>
            <w:vAlign w:val="center"/>
          </w:tcPr>
          <w:p w14:paraId="1B049AE5">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1563A137">
            <w:pPr>
              <w:numPr>
                <w:ilvl w:val="0"/>
                <w:numId w:val="33"/>
              </w:numPr>
              <w:ind w:firstLine="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运维人员未持有上岗证扣5分；</w:t>
            </w:r>
          </w:p>
          <w:p w14:paraId="6F1F047F">
            <w:pPr>
              <w:numPr>
                <w:ilvl w:val="0"/>
                <w:numId w:val="33"/>
              </w:numPr>
              <w:ind w:firstLine="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运维人员未配备斜梯，踩踏站箱顶扣5分。</w:t>
            </w:r>
          </w:p>
          <w:p w14:paraId="2854954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备注：一项不满足扣除 5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51AEE8FD">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29120F8C">
            <w:pPr>
              <w:jc w:val="left"/>
              <w:rPr>
                <w:rFonts w:hint="eastAsia" w:ascii="宋体" w:hAnsi="宋体" w:eastAsia="宋体" w:cs="宋体"/>
                <w:color w:val="auto"/>
                <w:sz w:val="21"/>
                <w:szCs w:val="21"/>
                <w:highlight w:val="none"/>
              </w:rPr>
            </w:pPr>
          </w:p>
        </w:tc>
      </w:tr>
      <w:tr w14:paraId="7939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A4799BB">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7.运维档案记录情况（10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62E2A444">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40060550">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1485" w:type="dxa"/>
            <w:tcBorders>
              <w:top w:val="single" w:color="auto" w:sz="4" w:space="0"/>
              <w:left w:val="single" w:color="auto" w:sz="4" w:space="0"/>
              <w:bottom w:val="single" w:color="auto" w:sz="4" w:space="0"/>
              <w:right w:val="single" w:color="auto" w:sz="4" w:space="0"/>
            </w:tcBorders>
            <w:vAlign w:val="center"/>
          </w:tcPr>
          <w:p w14:paraId="44052E50">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734C53F6">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现场填写档案记录规范齐全，若发现一项存在问题扣1分；</w:t>
            </w:r>
          </w:p>
          <w:p w14:paraId="78EC252E">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0CF7F2A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2BFB77F">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0B63009D">
            <w:pPr>
              <w:jc w:val="left"/>
              <w:rPr>
                <w:rFonts w:hint="eastAsia" w:ascii="宋体" w:hAnsi="宋体" w:eastAsia="宋体" w:cs="宋体"/>
                <w:color w:val="auto"/>
                <w:sz w:val="21"/>
                <w:szCs w:val="21"/>
                <w:highlight w:val="none"/>
              </w:rPr>
            </w:pPr>
          </w:p>
        </w:tc>
      </w:tr>
      <w:tr w14:paraId="2223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1B7694CE">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4D19ABDF">
            <w:pPr>
              <w:jc w:val="left"/>
              <w:rPr>
                <w:rFonts w:hint="eastAsia" w:ascii="宋体" w:hAnsi="宋体" w:eastAsia="宋体" w:cs="宋体"/>
                <w:bCs/>
                <w:color w:val="auto"/>
                <w:sz w:val="21"/>
                <w:szCs w:val="21"/>
                <w:highlight w:val="none"/>
              </w:rPr>
            </w:pPr>
          </w:p>
        </w:tc>
      </w:tr>
    </w:tbl>
    <w:p w14:paraId="1A53D36E">
      <w:pPr>
        <w:rPr>
          <w:rFonts w:hint="eastAsia" w:ascii="宋体" w:hAnsi="宋体" w:eastAsia="宋体" w:cs="宋体"/>
          <w:b/>
          <w:color w:val="auto"/>
          <w:sz w:val="21"/>
          <w:szCs w:val="21"/>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4C9B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6E2E948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其它需要特别记录的问题</w:t>
            </w:r>
          </w:p>
        </w:tc>
      </w:tr>
      <w:tr w14:paraId="2A22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901" w:type="dxa"/>
            <w:tcBorders>
              <w:top w:val="single" w:color="auto" w:sz="4" w:space="0"/>
              <w:left w:val="single" w:color="auto" w:sz="4" w:space="0"/>
              <w:right w:val="single" w:color="auto" w:sz="4" w:space="0"/>
            </w:tcBorders>
            <w:vAlign w:val="center"/>
          </w:tcPr>
          <w:p w14:paraId="05C23BA2">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28ADE4CD">
            <w:pPr>
              <w:rPr>
                <w:rFonts w:hint="eastAsia" w:ascii="宋体" w:hAnsi="宋体" w:eastAsia="宋体" w:cs="宋体"/>
                <w:color w:val="auto"/>
                <w:sz w:val="21"/>
                <w:szCs w:val="21"/>
                <w:highlight w:val="none"/>
              </w:rPr>
            </w:pPr>
          </w:p>
        </w:tc>
      </w:tr>
    </w:tbl>
    <w:p w14:paraId="3A49E168">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14:paraId="3BD1A9C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sectPr>
          <w:pgSz w:w="16838" w:h="11905" w:orient="landscape"/>
          <w:pgMar w:top="1247" w:right="1247" w:bottom="1247" w:left="1213" w:header="851" w:footer="680" w:gutter="0"/>
          <w:pgNumType w:fmt="decimal"/>
          <w:cols w:space="0" w:num="1"/>
          <w:rtlGutter w:val="0"/>
          <w:docGrid w:linePitch="312" w:charSpace="0"/>
        </w:sectPr>
      </w:pPr>
    </w:p>
    <w:p w14:paraId="1B03BA39">
      <w:pPr>
        <w:adjustRightInd w:val="0"/>
        <w:spacing w:line="360" w:lineRule="auto"/>
        <w:ind w:firstLine="482" w:firstLineChars="200"/>
        <w:textAlignment w:val="baseline"/>
        <w:rPr>
          <w:rFonts w:hint="eastAsia" w:ascii="宋体" w:hAnsi="宋体" w:eastAsia="宋体" w:cs="宋体"/>
          <w:color w:val="auto"/>
          <w:sz w:val="24"/>
          <w:szCs w:val="24"/>
          <w:highlight w:val="none"/>
          <w:lang w:val="zh-CN"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eastAsia="zh-CN"/>
        </w:rPr>
        <w:t>服务要求</w:t>
      </w:r>
    </w:p>
    <w:p w14:paraId="4BE78B52">
      <w:pPr>
        <w:adjustRightInd w:val="0"/>
        <w:spacing w:line="360" w:lineRule="auto"/>
        <w:ind w:firstLine="480"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zh-CN" w:eastAsia="zh-CN"/>
        </w:rPr>
        <w:t>按采购人要求完成项目服务内容及项目交付，达到采购人验收要求，</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val="zh-CN" w:eastAsia="zh-CN"/>
        </w:rPr>
        <w:t>达到国家现行法律法规及行业要求合格标准。</w:t>
      </w:r>
    </w:p>
    <w:p w14:paraId="3CB31196">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人员配置要求</w:t>
      </w:r>
    </w:p>
    <w:p w14:paraId="5B9F098D">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按项目服务要求，组织项目实施与管理，实行项目负责人负责制，其他相关人员经过严格培训，能够胜任此项工作。</w:t>
      </w:r>
    </w:p>
    <w:p w14:paraId="1307E6B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设施设备配置要求</w:t>
      </w:r>
    </w:p>
    <w:p w14:paraId="44591452">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按项目服务要求，投入有利于本项目顺利实施的各类设施设备。</w:t>
      </w:r>
    </w:p>
    <w:p w14:paraId="467134CE">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Cs w:val="24"/>
          <w:highlight w:val="none"/>
          <w:lang w:val="en-US" w:eastAsia="zh-CN"/>
        </w:rPr>
        <w:t>七、</w:t>
      </w:r>
      <w:r>
        <w:rPr>
          <w:rFonts w:hint="eastAsia" w:ascii="宋体" w:hAnsi="宋体" w:eastAsia="宋体" w:cs="宋体"/>
          <w:b/>
          <w:bCs/>
          <w:color w:val="auto"/>
          <w:sz w:val="24"/>
          <w:szCs w:val="24"/>
          <w:highlight w:val="none"/>
          <w:lang w:val="en-US" w:eastAsia="zh-CN"/>
        </w:rPr>
        <w:t>其他要求</w:t>
      </w:r>
    </w:p>
    <w:p w14:paraId="5E9BA6CD">
      <w:pPr>
        <w:adjustRightInd w:val="0"/>
        <w:spacing w:line="360" w:lineRule="auto"/>
        <w:ind w:firstLine="480" w:firstLineChars="200"/>
        <w:textAlignment w:val="baseline"/>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无</w:t>
      </w:r>
    </w:p>
    <w:p w14:paraId="6DE2BF1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en-US" w:eastAsia="zh-CN"/>
        </w:rPr>
        <w:t>商务要求</w:t>
      </w:r>
    </w:p>
    <w:p w14:paraId="1C64CF64">
      <w:pPr>
        <w:adjustRightInd w:val="0"/>
        <w:spacing w:line="360" w:lineRule="auto"/>
        <w:ind w:firstLine="482" w:firstLineChars="200"/>
        <w:textAlignment w:val="baseline"/>
        <w:rPr>
          <w:rFonts w:hint="eastAsia" w:ascii="宋体" w:hAnsi="宋体" w:eastAsia="宋体" w:cs="宋体"/>
          <w:b w:val="0"/>
          <w:bCs w:val="0"/>
          <w:color w:val="auto"/>
          <w:sz w:val="24"/>
          <w:szCs w:val="24"/>
          <w:highlight w:val="none"/>
          <w:lang w:val="en-US" w:eastAsia="zh-CN"/>
        </w:rPr>
      </w:pPr>
      <w:r>
        <w:rPr>
          <w:rFonts w:hint="eastAsia"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en-US" w:eastAsia="zh-CN"/>
        </w:rPr>
        <w:t>服务期限</w:t>
      </w:r>
      <w:r>
        <w:rPr>
          <w:rFonts w:hint="eastAsia" w:hAnsi="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自合同签订之日起</w:t>
      </w:r>
      <w:r>
        <w:rPr>
          <w:rFonts w:hint="eastAsia" w:hAnsi="宋体" w:cs="宋体"/>
          <w:b w:val="0"/>
          <w:bCs w:val="0"/>
          <w:color w:val="auto"/>
          <w:sz w:val="24"/>
          <w:szCs w:val="24"/>
          <w:highlight w:val="none"/>
          <w:lang w:val="en-US" w:eastAsia="zh-CN"/>
        </w:rPr>
        <w:t>一</w:t>
      </w:r>
      <w:r>
        <w:rPr>
          <w:rFonts w:hint="eastAsia" w:ascii="宋体" w:hAnsi="宋体" w:eastAsia="宋体" w:cs="宋体"/>
          <w:b w:val="0"/>
          <w:bCs w:val="0"/>
          <w:color w:val="auto"/>
          <w:sz w:val="24"/>
          <w:szCs w:val="24"/>
          <w:highlight w:val="none"/>
          <w:lang w:val="en-US" w:eastAsia="zh-CN"/>
        </w:rPr>
        <w:t>年</w:t>
      </w:r>
    </w:p>
    <w:p w14:paraId="7BDDA163">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服务地点</w:t>
      </w:r>
    </w:p>
    <w:p w14:paraId="4D42A44C">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采购人指定地点</w:t>
      </w:r>
    </w:p>
    <w:p w14:paraId="75C5960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考核（验收）标准和方法</w:t>
      </w:r>
    </w:p>
    <w:p w14:paraId="588B8E9E">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按采购人要求完成项目服务内容及项目交付，并达到采购人验收要求，达到国家现行法律法规及行业要求合格标准。</w:t>
      </w:r>
    </w:p>
    <w:p w14:paraId="3E56630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支付方式</w:t>
      </w:r>
    </w:p>
    <w:p w14:paraId="624AA085">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分期付款</w:t>
      </w:r>
    </w:p>
    <w:p w14:paraId="227833F0">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支付约定</w:t>
      </w:r>
    </w:p>
    <w:p w14:paraId="5EB530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第一期（合同签订后）</w:t>
      </w:r>
      <w:r>
        <w:rPr>
          <w:rFonts w:hint="default" w:ascii="宋体" w:hAnsi="宋体" w:eastAsia="宋体" w:cs="宋体"/>
          <w:color w:val="auto"/>
          <w:szCs w:val="24"/>
          <w:highlight w:val="none"/>
        </w:rPr>
        <w:t>：合同签订之日起15个工作日内，甲方向乙方支付合同总价的45%</w:t>
      </w:r>
      <w:r>
        <w:rPr>
          <w:rFonts w:hint="eastAsia" w:ascii="宋体" w:hAnsi="宋体" w:eastAsia="宋体" w:cs="宋体"/>
          <w:color w:val="auto"/>
          <w:szCs w:val="24"/>
          <w:highlight w:val="none"/>
          <w:lang w:eastAsia="zh-CN"/>
        </w:rPr>
        <w:t>作为</w:t>
      </w:r>
      <w:r>
        <w:rPr>
          <w:rFonts w:hint="default" w:ascii="宋体" w:hAnsi="宋体" w:eastAsia="宋体" w:cs="宋体"/>
          <w:color w:val="auto"/>
          <w:szCs w:val="24"/>
          <w:highlight w:val="none"/>
        </w:rPr>
        <w:t>预付款。</w:t>
      </w:r>
    </w:p>
    <w:p w14:paraId="237C637B">
      <w:pPr>
        <w:spacing w:line="360" w:lineRule="auto"/>
        <w:ind w:firstLine="480" w:firstLineChars="200"/>
        <w:rPr>
          <w:rFonts w:hint="default" w:ascii="宋体" w:hAnsi="宋体" w:eastAsia="宋体" w:cs="宋体"/>
          <w:color w:val="auto"/>
          <w:szCs w:val="24"/>
          <w:highlight w:val="none"/>
        </w:rPr>
      </w:pPr>
      <w:r>
        <w:rPr>
          <w:rFonts w:hint="eastAsia" w:ascii="宋体" w:hAnsi="宋体" w:eastAsia="宋体" w:cs="宋体"/>
          <w:color w:val="auto"/>
          <w:szCs w:val="24"/>
          <w:highlight w:val="none"/>
        </w:rPr>
        <w:t>第二期（2027年4月）</w:t>
      </w:r>
      <w:r>
        <w:rPr>
          <w:rFonts w:hint="default" w:ascii="宋体" w:hAnsi="宋体" w:eastAsia="宋体" w:cs="宋体"/>
          <w:color w:val="auto"/>
          <w:szCs w:val="24"/>
          <w:highlight w:val="none"/>
        </w:rPr>
        <w:t>：2027年4月30日前，</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乙方自合同签订之日起至2027年3月</w:t>
      </w:r>
      <w:r>
        <w:rPr>
          <w:rFonts w:hint="eastAsia" w:ascii="宋体" w:hAnsi="宋体" w:eastAsia="宋体" w:cs="宋体"/>
          <w:color w:val="auto"/>
          <w:szCs w:val="24"/>
          <w:highlight w:val="none"/>
          <w:lang w:val="en-US" w:eastAsia="zh-CN"/>
        </w:rPr>
        <w:t>31日</w:t>
      </w:r>
      <w:r>
        <w:rPr>
          <w:rFonts w:hint="default" w:ascii="宋体" w:hAnsi="宋体" w:eastAsia="宋体" w:cs="宋体"/>
          <w:color w:val="auto"/>
          <w:szCs w:val="24"/>
          <w:highlight w:val="none"/>
        </w:rPr>
        <w:t>的运维工作完成情况</w:t>
      </w:r>
      <w:r>
        <w:rPr>
          <w:rFonts w:hint="eastAsia" w:ascii="宋体" w:hAnsi="宋体" w:eastAsia="宋体" w:cs="宋体"/>
          <w:color w:val="auto"/>
          <w:szCs w:val="24"/>
          <w:highlight w:val="none"/>
          <w:lang w:eastAsia="zh-CN"/>
        </w:rPr>
        <w:t>进行确认。甲方在书面确认后，按照该期间各季度的绩效考核成绩得分核算</w:t>
      </w:r>
      <w:r>
        <w:rPr>
          <w:rFonts w:hint="default" w:ascii="宋体" w:hAnsi="宋体" w:eastAsia="宋体" w:cs="宋体"/>
          <w:color w:val="auto"/>
          <w:szCs w:val="24"/>
          <w:highlight w:val="none"/>
        </w:rPr>
        <w:t>应付费用。本期支付上限为合同总价的30%。</w:t>
      </w:r>
    </w:p>
    <w:p w14:paraId="24F31F0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第三期（合同到期后）</w:t>
      </w:r>
      <w:r>
        <w:rPr>
          <w:rFonts w:hint="default" w:ascii="宋体" w:hAnsi="宋体" w:eastAsia="宋体" w:cs="宋体"/>
          <w:color w:val="auto"/>
          <w:szCs w:val="24"/>
          <w:highlight w:val="none"/>
        </w:rPr>
        <w:t>：本项目服务期满（合同到期）后15个工作日内，</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w:t>
      </w:r>
      <w:r>
        <w:rPr>
          <w:rFonts w:hint="eastAsia" w:ascii="宋体" w:hAnsi="宋体" w:eastAsia="宋体" w:cs="宋体"/>
          <w:color w:val="auto"/>
          <w:szCs w:val="24"/>
          <w:highlight w:val="none"/>
          <w:lang w:eastAsia="zh-CN"/>
        </w:rPr>
        <w:t>全年</w:t>
      </w:r>
      <w:r>
        <w:rPr>
          <w:rFonts w:hint="default" w:ascii="宋体" w:hAnsi="宋体" w:eastAsia="宋体" w:cs="宋体"/>
          <w:color w:val="auto"/>
          <w:szCs w:val="24"/>
          <w:highlight w:val="none"/>
        </w:rPr>
        <w:t>运维工作完成情况</w:t>
      </w:r>
      <w:r>
        <w:rPr>
          <w:rFonts w:hint="eastAsia" w:ascii="宋体" w:hAnsi="宋体" w:eastAsia="宋体" w:cs="宋体"/>
          <w:color w:val="auto"/>
          <w:szCs w:val="24"/>
          <w:highlight w:val="none"/>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highlight w:val="none"/>
        </w:rPr>
        <w:t>。</w:t>
      </w:r>
    </w:p>
    <w:p w14:paraId="2C5DA63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违约责任与解决争议的方法</w:t>
      </w:r>
    </w:p>
    <w:p w14:paraId="5682B10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甲乙双方必须遵守合同并执行合同中的各项规定，保证合同的正常履行。2</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color w:val="auto"/>
          <w:szCs w:val="24"/>
          <w:highlight w:val="none"/>
          <w:lang w:val="en-US" w:eastAsia="zh-CN"/>
        </w:rPr>
      </w:pPr>
      <w:r>
        <w:rPr>
          <w:rFonts w:hint="eastAsia" w:ascii="宋体" w:hAnsi="宋体" w:eastAsia="宋体" w:cs="宋体"/>
          <w:b/>
          <w:bCs/>
          <w:color w:val="auto"/>
          <w:sz w:val="24"/>
          <w:szCs w:val="24"/>
          <w:highlight w:val="none"/>
          <w:lang w:val="en-US" w:eastAsia="zh-CN"/>
        </w:rPr>
        <w:t>九、其他事项</w:t>
      </w:r>
    </w:p>
    <w:p w14:paraId="2AE64C24">
      <w:pPr>
        <w:spacing w:line="360" w:lineRule="auto"/>
        <w:ind w:firstLine="480" w:firstLineChars="200"/>
        <w:rPr>
          <w:rFonts w:hint="eastAsia" w:hAnsi="宋体" w:cs="宋体"/>
          <w:szCs w:val="24"/>
          <w:lang w:val="zh-CN" w:eastAsia="zh-CN"/>
        </w:rPr>
      </w:pPr>
      <w:r>
        <w:rPr>
          <w:rFonts w:hint="eastAsia" w:hAnsi="宋体" w:cs="宋体"/>
          <w:szCs w:val="24"/>
          <w:lang w:val="en-US" w:eastAsia="zh-CN"/>
        </w:rPr>
        <w:t>（一）本项目投标人的采购包投标报价不得高于采购包采购预算及各分项预算。（二）采购包2</w:t>
      </w:r>
      <w:bookmarkStart w:id="32" w:name="_GoBack"/>
      <w:bookmarkEnd w:id="32"/>
      <w:r>
        <w:rPr>
          <w:rFonts w:hint="eastAsia" w:hAnsi="宋体" w:cs="宋体"/>
          <w:szCs w:val="24"/>
          <w:lang w:val="en-US" w:eastAsia="zh-CN"/>
        </w:rPr>
        <w:t>标的名称：2026年西安市市级监测网运维项目采购包2。（三）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14:paraId="5952D1C3">
      <w:pPr>
        <w:pStyle w:val="2"/>
        <w:rPr>
          <w:rFonts w:hint="eastAsia"/>
          <w:color w:val="auto"/>
          <w:highlight w:val="none"/>
          <w:lang w:val="zh-CN"/>
        </w:rPr>
      </w:pPr>
    </w:p>
    <w:p w14:paraId="32385BED">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53A17">
    <w:pPr>
      <w:pStyle w:val="4"/>
      <w:rPr>
        <w:rFonts w:ascii="宋体" w:hAnsi="宋体"/>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8666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8666C">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宋体" w:hAnsi="宋体" w:cs="楷体"/>
        <w:sz w:val="20"/>
        <w:szCs w:val="20"/>
      </w:rPr>
      <w:t xml:space="preserve">                     </w:t>
    </w:r>
    <w:r>
      <w:rPr>
        <w:rFonts w:ascii="宋体" w:hAnsi="宋体" w:cs="楷体"/>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10419">
    <w:pPr>
      <w:pStyle w:val="4"/>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3DCE4">
                          <w:pPr>
                            <w:pStyle w:val="4"/>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273DCE4">
                    <w:pPr>
                      <w:pStyle w:val="4"/>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E277A">
    <w:pPr>
      <w:pStyle w:val="4"/>
      <w:rPr>
        <w:rFonts w:ascii="宋体" w:hAnsi="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62A70">
                          <w:pPr>
                            <w:pStyle w:val="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8162A70">
                    <w:pPr>
                      <w:pStyle w:val="4"/>
                    </w:pPr>
                    <w:r>
                      <w:fldChar w:fldCharType="begin"/>
                    </w:r>
                    <w:r>
                      <w:instrText xml:space="preserve"> PAGE  \* MERGEFORMAT </w:instrText>
                    </w:r>
                    <w:r>
                      <w:fldChar w:fldCharType="separate"/>
                    </w:r>
                    <w:r>
                      <w:t>43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4458">
    <w:pPr>
      <w:pStyle w:val="5"/>
      <w:pBdr>
        <w:bottom w:val="none" w:color="auto" w:sz="0" w:space="1"/>
      </w:pBdr>
      <w:ind w:firstLine="360" w:firstLineChars="200"/>
      <w:jc w:val="lef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B209B">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2AE54"/>
    <w:multiLevelType w:val="singleLevel"/>
    <w:tmpl w:val="A422AE54"/>
    <w:lvl w:ilvl="0" w:tentative="0">
      <w:start w:val="1"/>
      <w:numFmt w:val="upperLetter"/>
      <w:suff w:val="space"/>
      <w:lvlText w:val="%1)"/>
      <w:lvlJc w:val="left"/>
      <w:pPr>
        <w:ind w:left="0" w:firstLine="0"/>
      </w:pPr>
    </w:lvl>
  </w:abstractNum>
  <w:abstractNum w:abstractNumId="1">
    <w:nsid w:val="AB817738"/>
    <w:multiLevelType w:val="singleLevel"/>
    <w:tmpl w:val="AB817738"/>
    <w:lvl w:ilvl="0" w:tentative="0">
      <w:start w:val="2"/>
      <w:numFmt w:val="upperLetter"/>
      <w:suff w:val="space"/>
      <w:lvlText w:val="%1)"/>
      <w:lvlJc w:val="left"/>
      <w:pPr>
        <w:ind w:left="0" w:firstLine="0"/>
      </w:pPr>
    </w:lvl>
  </w:abstractNum>
  <w:abstractNum w:abstractNumId="2">
    <w:nsid w:val="B1B3B315"/>
    <w:multiLevelType w:val="singleLevel"/>
    <w:tmpl w:val="B1B3B315"/>
    <w:lvl w:ilvl="0" w:tentative="0">
      <w:start w:val="1"/>
      <w:numFmt w:val="decimalEnclosedCircleChinese"/>
      <w:suff w:val="space"/>
      <w:lvlText w:val="%1"/>
      <w:lvlJc w:val="left"/>
      <w:pPr>
        <w:ind w:left="0" w:firstLine="0"/>
      </w:pPr>
    </w:lvl>
  </w:abstractNum>
  <w:abstractNum w:abstractNumId="3">
    <w:nsid w:val="B1F68149"/>
    <w:multiLevelType w:val="singleLevel"/>
    <w:tmpl w:val="B1F68149"/>
    <w:lvl w:ilvl="0" w:tentative="0">
      <w:start w:val="1"/>
      <w:numFmt w:val="decimalEnclosedCircleChinese"/>
      <w:suff w:val="space"/>
      <w:lvlText w:val="%1"/>
      <w:lvlJc w:val="left"/>
      <w:pPr>
        <w:ind w:left="0" w:firstLine="0"/>
      </w:pPr>
    </w:lvl>
  </w:abstractNum>
  <w:abstractNum w:abstractNumId="4">
    <w:nsid w:val="B6B4892C"/>
    <w:multiLevelType w:val="singleLevel"/>
    <w:tmpl w:val="B6B4892C"/>
    <w:lvl w:ilvl="0" w:tentative="0">
      <w:start w:val="1"/>
      <w:numFmt w:val="decimalEnclosedCircleChinese"/>
      <w:suff w:val="space"/>
      <w:lvlText w:val="%1"/>
      <w:lvlJc w:val="left"/>
      <w:pPr>
        <w:ind w:left="0" w:firstLine="0"/>
      </w:pPr>
    </w:lvl>
  </w:abstractNum>
  <w:abstractNum w:abstractNumId="5">
    <w:nsid w:val="B9C25C33"/>
    <w:multiLevelType w:val="singleLevel"/>
    <w:tmpl w:val="B9C25C33"/>
    <w:lvl w:ilvl="0" w:tentative="0">
      <w:start w:val="1"/>
      <w:numFmt w:val="decimalEnclosedCircleChinese"/>
      <w:suff w:val="nothing"/>
      <w:lvlText w:val="%1　"/>
      <w:lvlJc w:val="left"/>
      <w:pPr>
        <w:ind w:left="-420" w:firstLine="400"/>
      </w:pPr>
      <w:rPr>
        <w:rFonts w:hint="eastAsia"/>
      </w:rPr>
    </w:lvl>
  </w:abstractNum>
  <w:abstractNum w:abstractNumId="6">
    <w:nsid w:val="C7EAE9EF"/>
    <w:multiLevelType w:val="singleLevel"/>
    <w:tmpl w:val="C7EAE9EF"/>
    <w:lvl w:ilvl="0" w:tentative="0">
      <w:start w:val="1"/>
      <w:numFmt w:val="decimalEnclosedCircleChinese"/>
      <w:suff w:val="space"/>
      <w:lvlText w:val="%1"/>
      <w:lvlJc w:val="left"/>
      <w:pPr>
        <w:ind w:left="0" w:firstLine="0"/>
      </w:pPr>
    </w:lvl>
  </w:abstractNum>
  <w:abstractNum w:abstractNumId="7">
    <w:nsid w:val="D3F638DD"/>
    <w:multiLevelType w:val="singleLevel"/>
    <w:tmpl w:val="D3F638DD"/>
    <w:lvl w:ilvl="0" w:tentative="0">
      <w:start w:val="1"/>
      <w:numFmt w:val="decimalEnclosedCircleChinese"/>
      <w:suff w:val="space"/>
      <w:lvlText w:val="%1"/>
      <w:lvlJc w:val="left"/>
      <w:pPr>
        <w:ind w:left="0" w:firstLine="0"/>
      </w:pPr>
    </w:lvl>
  </w:abstractNum>
  <w:abstractNum w:abstractNumId="8">
    <w:nsid w:val="DCF210D5"/>
    <w:multiLevelType w:val="multilevel"/>
    <w:tmpl w:val="DCF210D5"/>
    <w:lvl w:ilvl="0" w:tentative="0">
      <w:start w:val="1"/>
      <w:numFmt w:val="decimal"/>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9">
    <w:nsid w:val="EE99886A"/>
    <w:multiLevelType w:val="singleLevel"/>
    <w:tmpl w:val="EE99886A"/>
    <w:lvl w:ilvl="0" w:tentative="0">
      <w:start w:val="1"/>
      <w:numFmt w:val="decimalEnclosedCircleChinese"/>
      <w:suff w:val="space"/>
      <w:lvlText w:val="%1"/>
      <w:lvlJc w:val="left"/>
      <w:pPr>
        <w:ind w:left="0" w:firstLine="0"/>
      </w:pPr>
    </w:lvl>
  </w:abstractNum>
  <w:abstractNum w:abstractNumId="10">
    <w:nsid w:val="F7D3F9CE"/>
    <w:multiLevelType w:val="multilevel"/>
    <w:tmpl w:val="F7D3F9CE"/>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1">
    <w:nsid w:val="F88D51B7"/>
    <w:multiLevelType w:val="singleLevel"/>
    <w:tmpl w:val="F88D51B7"/>
    <w:lvl w:ilvl="0" w:tentative="0">
      <w:start w:val="1"/>
      <w:numFmt w:val="decimalEnclosedCircleChinese"/>
      <w:suff w:val="space"/>
      <w:lvlText w:val="%1"/>
      <w:lvlJc w:val="left"/>
      <w:pPr>
        <w:ind w:left="0" w:firstLine="0"/>
      </w:pPr>
    </w:lvl>
  </w:abstractNum>
  <w:abstractNum w:abstractNumId="12">
    <w:nsid w:val="FFE08C88"/>
    <w:multiLevelType w:val="multilevel"/>
    <w:tmpl w:val="FFE08C88"/>
    <w:lvl w:ilvl="0" w:tentative="0">
      <w:start w:val="1"/>
      <w:numFmt w:val="decimalEnclosedCircleChinese"/>
      <w:suff w:val="space"/>
      <w:lvlText w:val="%1"/>
      <w:lvlJc w:val="left"/>
      <w:rPr>
        <w:rFonts w:hint="eastAsia"/>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3">
    <w:nsid w:val="0F20DFB3"/>
    <w:multiLevelType w:val="multilevel"/>
    <w:tmpl w:val="0F20DFB3"/>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4">
    <w:nsid w:val="1201CA94"/>
    <w:multiLevelType w:val="singleLevel"/>
    <w:tmpl w:val="1201CA94"/>
    <w:lvl w:ilvl="0" w:tentative="0">
      <w:start w:val="1"/>
      <w:numFmt w:val="upperLetter"/>
      <w:suff w:val="space"/>
      <w:lvlText w:val="%1)"/>
      <w:lvlJc w:val="left"/>
      <w:pPr>
        <w:ind w:left="0" w:firstLine="0"/>
      </w:pPr>
    </w:lvl>
  </w:abstractNum>
  <w:abstractNum w:abstractNumId="15">
    <w:nsid w:val="30291BA8"/>
    <w:multiLevelType w:val="singleLevel"/>
    <w:tmpl w:val="30291BA8"/>
    <w:lvl w:ilvl="0" w:tentative="0">
      <w:start w:val="1"/>
      <w:numFmt w:val="decimalEnclosedCircleChinese"/>
      <w:suff w:val="space"/>
      <w:lvlText w:val="%1"/>
      <w:lvlJc w:val="left"/>
      <w:pPr>
        <w:ind w:left="0" w:firstLine="0"/>
      </w:pPr>
    </w:lvl>
  </w:abstractNum>
  <w:abstractNum w:abstractNumId="16">
    <w:nsid w:val="33D721E8"/>
    <w:multiLevelType w:val="singleLevel"/>
    <w:tmpl w:val="33D721E8"/>
    <w:lvl w:ilvl="0" w:tentative="0">
      <w:start w:val="1"/>
      <w:numFmt w:val="decimalEnclosedCircleChinese"/>
      <w:suff w:val="space"/>
      <w:lvlText w:val="%1"/>
      <w:lvlJc w:val="left"/>
      <w:pPr>
        <w:ind w:left="0" w:firstLine="0"/>
      </w:pPr>
    </w:lvl>
  </w:abstractNum>
  <w:abstractNum w:abstractNumId="17">
    <w:nsid w:val="3C839884"/>
    <w:multiLevelType w:val="singleLevel"/>
    <w:tmpl w:val="3C839884"/>
    <w:lvl w:ilvl="0" w:tentative="0">
      <w:start w:val="1"/>
      <w:numFmt w:val="decimalEnclosedCircleChinese"/>
      <w:suff w:val="space"/>
      <w:lvlText w:val="%1"/>
      <w:lvlJc w:val="left"/>
      <w:pPr>
        <w:ind w:left="0" w:firstLine="0"/>
      </w:pPr>
    </w:lvl>
  </w:abstractNum>
  <w:abstractNum w:abstractNumId="18">
    <w:nsid w:val="3E329FD3"/>
    <w:multiLevelType w:val="multilevel"/>
    <w:tmpl w:val="3E329FD3"/>
    <w:lvl w:ilvl="0" w:tentative="0">
      <w:start w:val="1"/>
      <w:numFmt w:val="decimalEnclosedCircleChinese"/>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9">
    <w:nsid w:val="494B14EE"/>
    <w:multiLevelType w:val="multilevel"/>
    <w:tmpl w:val="494B14EE"/>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0">
    <w:nsid w:val="55AE0BAC"/>
    <w:multiLevelType w:val="multilevel"/>
    <w:tmpl w:val="55AE0BAC"/>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1">
    <w:nsid w:val="5931270D"/>
    <w:multiLevelType w:val="singleLevel"/>
    <w:tmpl w:val="5931270D"/>
    <w:lvl w:ilvl="0" w:tentative="0">
      <w:start w:val="5"/>
      <w:numFmt w:val="decimal"/>
      <w:suff w:val="nothing"/>
      <w:lvlText w:val="%1."/>
      <w:lvlJc w:val="left"/>
      <w:pPr>
        <w:ind w:left="0" w:firstLine="0"/>
      </w:pPr>
    </w:lvl>
  </w:abstractNum>
  <w:abstractNum w:abstractNumId="22">
    <w:nsid w:val="5B077A6E"/>
    <w:multiLevelType w:val="singleLevel"/>
    <w:tmpl w:val="5B077A6E"/>
    <w:lvl w:ilvl="0" w:tentative="0">
      <w:start w:val="1"/>
      <w:numFmt w:val="upperLetter"/>
      <w:suff w:val="space"/>
      <w:lvlText w:val="%1)"/>
      <w:lvlJc w:val="left"/>
      <w:pPr>
        <w:ind w:left="0" w:firstLine="0"/>
      </w:pPr>
    </w:lvl>
  </w:abstractNum>
  <w:abstractNum w:abstractNumId="23">
    <w:nsid w:val="5B787954"/>
    <w:multiLevelType w:val="singleLevel"/>
    <w:tmpl w:val="5B787954"/>
    <w:lvl w:ilvl="0" w:tentative="0">
      <w:start w:val="1"/>
      <w:numFmt w:val="decimalEnclosedCircleChinese"/>
      <w:suff w:val="space"/>
      <w:lvlText w:val="%1"/>
      <w:lvlJc w:val="left"/>
      <w:pPr>
        <w:ind w:left="0" w:firstLine="0"/>
      </w:pPr>
    </w:lvl>
  </w:abstractNum>
  <w:abstractNum w:abstractNumId="24">
    <w:nsid w:val="5F00AE7D"/>
    <w:multiLevelType w:val="singleLevel"/>
    <w:tmpl w:val="5F00AE7D"/>
    <w:lvl w:ilvl="0" w:tentative="0">
      <w:start w:val="1"/>
      <w:numFmt w:val="upperLetter"/>
      <w:suff w:val="space"/>
      <w:lvlText w:val="%1)"/>
      <w:lvlJc w:val="left"/>
      <w:pPr>
        <w:ind w:left="0" w:firstLine="0"/>
      </w:pPr>
    </w:lvl>
  </w:abstractNum>
  <w:abstractNum w:abstractNumId="25">
    <w:nsid w:val="6CA172B0"/>
    <w:multiLevelType w:val="singleLevel"/>
    <w:tmpl w:val="6CA172B0"/>
    <w:lvl w:ilvl="0" w:tentative="0">
      <w:start w:val="1"/>
      <w:numFmt w:val="decimalEnclosedCircleChinese"/>
      <w:suff w:val="space"/>
      <w:lvlText w:val="%1"/>
      <w:lvlJc w:val="left"/>
      <w:pPr>
        <w:ind w:left="0" w:firstLine="0"/>
      </w:pPr>
    </w:lvl>
  </w:abstractNum>
  <w:abstractNum w:abstractNumId="26">
    <w:nsid w:val="71243A74"/>
    <w:multiLevelType w:val="singleLevel"/>
    <w:tmpl w:val="71243A74"/>
    <w:lvl w:ilvl="0" w:tentative="0">
      <w:start w:val="1"/>
      <w:numFmt w:val="decimalEnclosedCircleChinese"/>
      <w:suff w:val="space"/>
      <w:lvlText w:val="%1"/>
      <w:lvlJc w:val="left"/>
      <w:pPr>
        <w:ind w:left="0" w:firstLine="0"/>
      </w:pPr>
    </w:lvl>
  </w:abstractNum>
  <w:abstractNum w:abstractNumId="27">
    <w:nsid w:val="7217632B"/>
    <w:multiLevelType w:val="singleLevel"/>
    <w:tmpl w:val="7217632B"/>
    <w:lvl w:ilvl="0" w:tentative="0">
      <w:start w:val="2"/>
      <w:numFmt w:val="upperLetter"/>
      <w:suff w:val="space"/>
      <w:lvlText w:val="%1)"/>
      <w:lvlJc w:val="left"/>
      <w:pPr>
        <w:ind w:left="0" w:firstLine="0"/>
      </w:pPr>
    </w:lvl>
  </w:abstractNum>
  <w:abstractNum w:abstractNumId="28">
    <w:nsid w:val="7CA7541A"/>
    <w:multiLevelType w:val="singleLevel"/>
    <w:tmpl w:val="7CA7541A"/>
    <w:lvl w:ilvl="0" w:tentative="0">
      <w:start w:val="1"/>
      <w:numFmt w:val="decimalEnclosedCircleChinese"/>
      <w:suff w:val="space"/>
      <w:lvlText w:val="%1"/>
      <w:lvlJc w:val="left"/>
      <w:pPr>
        <w:ind w:left="0" w:firstLine="0"/>
      </w:pPr>
    </w:lvl>
  </w:abstractNum>
  <w:num w:numId="1">
    <w:abstractNumId w:val="22"/>
    <w:lvlOverride w:ilvl="0">
      <w:startOverride w:val="1"/>
    </w:lvlOverride>
  </w:num>
  <w:num w:numId="2">
    <w:abstractNumId w:val="25"/>
    <w:lvlOverride w:ilvl="0">
      <w:startOverride w:val="1"/>
    </w:lvlOverride>
  </w:num>
  <w:num w:numId="3">
    <w:abstractNumId w:val="17"/>
    <w:lvlOverride w:ilvl="0">
      <w:startOverride w:val="1"/>
    </w:lvlOverride>
  </w:num>
  <w:num w:numId="4">
    <w:abstractNumId w:val="9"/>
    <w:lvlOverride w:ilvl="0">
      <w:startOverride w:val="1"/>
    </w:lvlOverride>
  </w:num>
  <w:num w:numId="5">
    <w:abstractNumId w:val="16"/>
    <w:lvlOverride w:ilvl="0">
      <w:startOverride w:val="1"/>
    </w:lvlOverride>
  </w:num>
  <w:num w:numId="6">
    <w:abstractNumId w:val="27"/>
    <w:lvlOverride w:ilvl="0">
      <w:startOverride w:val="2"/>
    </w:lvlOverride>
  </w:num>
  <w:num w:numId="7">
    <w:abstractNumId w:val="6"/>
    <w:lvlOverride w:ilvl="0">
      <w:startOverride w:val="1"/>
    </w:lvlOverride>
  </w:num>
  <w:num w:numId="8">
    <w:abstractNumId w:val="26"/>
    <w:lvlOverride w:ilvl="0">
      <w:startOverride w:val="1"/>
    </w:lvlOverride>
  </w:num>
  <w:num w:numId="9">
    <w:abstractNumId w:val="28"/>
    <w:lvlOverride w:ilvl="0">
      <w:startOverride w:val="1"/>
    </w:lvlOverride>
  </w:num>
  <w:num w:numId="10">
    <w:abstractNumId w:val="1"/>
    <w:lvlOverride w:ilvl="0">
      <w:startOverride w:val="2"/>
    </w:lvlOverride>
  </w:num>
  <w:num w:numId="11">
    <w:abstractNumId w:val="15"/>
    <w:lvlOverride w:ilvl="0">
      <w:startOverride w:val="1"/>
    </w:lvlOverride>
  </w:num>
  <w:num w:numId="12">
    <w:abstractNumId w:val="2"/>
    <w:lvlOverride w:ilvl="0">
      <w:startOverride w:val="1"/>
    </w:lvlOverride>
  </w:num>
  <w:num w:numId="13">
    <w:abstractNumId w:val="7"/>
    <w:lvlOverride w:ilvl="0">
      <w:startOverride w:val="1"/>
    </w:lvlOverride>
  </w:num>
  <w:num w:numId="14">
    <w:abstractNumId w:val="8"/>
  </w:num>
  <w:num w:numId="15">
    <w:abstractNumId w:val="19"/>
  </w:num>
  <w:num w:numId="16">
    <w:abstractNumId w:val="24"/>
    <w:lvlOverride w:ilvl="0">
      <w:startOverride w:val="1"/>
    </w:lvlOverride>
  </w:num>
  <w:num w:numId="17">
    <w:abstractNumId w:val="23"/>
    <w:lvlOverride w:ilvl="0">
      <w:startOverride w:val="1"/>
    </w:lvlOverride>
  </w:num>
  <w:num w:numId="18">
    <w:abstractNumId w:val="10"/>
  </w:num>
  <w:num w:numId="19">
    <w:abstractNumId w:val="18"/>
  </w:num>
  <w:num w:numId="20">
    <w:abstractNumId w:val="14"/>
    <w:lvlOverride w:ilvl="0">
      <w:startOverride w:val="1"/>
    </w:lvlOverride>
  </w:num>
  <w:num w:numId="21">
    <w:abstractNumId w:val="4"/>
    <w:lvlOverride w:ilvl="0">
      <w:startOverride w:val="1"/>
    </w:lvlOverride>
  </w:num>
  <w:num w:numId="22">
    <w:abstractNumId w:val="13"/>
  </w:num>
  <w:num w:numId="23">
    <w:abstractNumId w:val="3"/>
    <w:lvlOverride w:ilvl="0">
      <w:startOverride w:val="1"/>
    </w:lvlOverride>
  </w:num>
  <w:num w:numId="24">
    <w:abstractNumId w:val="20"/>
  </w:num>
  <w:num w:numId="25">
    <w:abstractNumId w:val="12"/>
  </w:num>
  <w:num w:numId="26">
    <w:abstractNumId w:val="21"/>
    <w:lvlOverride w:ilvl="0">
      <w:startOverride w:val="5"/>
    </w:lvlOverride>
  </w:num>
  <w:num w:numId="27">
    <w:abstractNumId w:val="0"/>
    <w:lvlOverride w:ilvl="0">
      <w:startOverride w:val="1"/>
    </w:lvlOverride>
  </w:num>
  <w:num w:numId="28">
    <w:abstractNumId w:val="11"/>
    <w:lvlOverride w:ilvl="0">
      <w:startOverride w:val="1"/>
    </w:lvlOverride>
  </w:num>
  <w:num w:numId="29">
    <w:abstractNumId w:val="1"/>
    <w:lvlOverride w:ilvl="0">
      <w:startOverride w:val="2"/>
    </w:lvlOverride>
  </w:num>
  <w:num w:numId="30">
    <w:abstractNumId w:val="14"/>
    <w:lvlOverride w:ilvl="0">
      <w:startOverride w:val="1"/>
    </w:lvlOverride>
  </w:num>
  <w:num w:numId="31">
    <w:abstractNumId w:val="4"/>
    <w:lvlOverride w:ilvl="0">
      <w:startOverride w:val="1"/>
    </w:lvlOverride>
  </w:num>
  <w:num w:numId="32">
    <w:abstractNumId w:val="21"/>
    <w:lvlOverride w:ilvl="0">
      <w:startOverride w:val="5"/>
    </w:lvlOverride>
  </w:num>
  <w:num w:numId="33">
    <w:abstractNumId w:val="5"/>
  </w:num>
  <w:num w:numId="34">
    <w:abstractNumId w:val="0"/>
    <w:lvlOverride w:ilvl="0">
      <w:startOverride w:val="1"/>
    </w:lvlOverride>
  </w:num>
  <w:num w:numId="3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86CD9"/>
    <w:rsid w:val="075A189C"/>
    <w:rsid w:val="099F35A3"/>
    <w:rsid w:val="0C871385"/>
    <w:rsid w:val="0E3B7ACA"/>
    <w:rsid w:val="307F5D4C"/>
    <w:rsid w:val="359C73A0"/>
    <w:rsid w:val="410B7187"/>
    <w:rsid w:val="4B1A51D3"/>
    <w:rsid w:val="4D7A61BE"/>
    <w:rsid w:val="51383FC9"/>
    <w:rsid w:val="5E030783"/>
    <w:rsid w:val="639E415F"/>
    <w:rsid w:val="66DA5FEA"/>
    <w:rsid w:val="6D096729"/>
    <w:rsid w:val="72312642"/>
    <w:rsid w:val="72BB76A7"/>
    <w:rsid w:val="7B98103C"/>
    <w:rsid w:val="7B9A6495"/>
    <w:rsid w:val="7C520E5C"/>
    <w:rsid w:val="7EDB1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Body Text First Indent"/>
    <w:basedOn w:val="3"/>
    <w:unhideWhenUsed/>
    <w:qFormat/>
    <w:uiPriority w:val="99"/>
    <w:pPr>
      <w:ind w:firstLine="420" w:firstLineChars="100"/>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26556</Words>
  <Characters>28928</Characters>
  <Lines>0</Lines>
  <Paragraphs>0</Paragraphs>
  <TotalTime>0</TotalTime>
  <ScaleCrop>false</ScaleCrop>
  <LinksUpToDate>false</LinksUpToDate>
  <CharactersWithSpaces>30194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2026-06-09T11:12:00Z</dcterms:created>
  <dc:creator>Administrator</dc:creator>
  <cp:lastModifiedBy>依偎在你臂弯</cp:lastModifiedBy>
  <dcterms:modified xsi:type="dcterms:W3CDTF">2026-06-15T07:35:17Z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E876D8C5361D4A3D9EBD40AADF49AA10_12</vt:lpwstr>
  </property>
</Properties>
</file>