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000CC">
      <w:pPr>
        <w:pStyle w:val="10"/>
        <w:spacing w:line="360" w:lineRule="auto"/>
        <w:ind w:firstLine="480"/>
        <w:jc w:val="center"/>
        <w:rPr>
          <w:rFonts w:hint="eastAsia" w:ascii="宋体" w:hAnsi="宋体" w:eastAsia="宋体" w:cs="宋体"/>
          <w:b/>
          <w:color w:val="auto"/>
          <w:sz w:val="32"/>
          <w:szCs w:val="18"/>
          <w:highlight w:val="none"/>
          <w:lang w:val="en-US" w:eastAsia="zh-CN" w:bidi="ar-SA"/>
        </w:rPr>
      </w:pPr>
      <w:r>
        <w:rPr>
          <w:rFonts w:hint="eastAsia" w:ascii="宋体" w:hAnsi="宋体" w:eastAsia="宋体" w:cs="宋体"/>
          <w:b/>
          <w:color w:val="auto"/>
          <w:sz w:val="32"/>
          <w:szCs w:val="18"/>
          <w:highlight w:val="none"/>
          <w:lang w:val="en-US" w:eastAsia="zh-CN" w:bidi="ar-SA"/>
        </w:rPr>
        <w:t>2026年西安市市级监测网运维项目</w:t>
      </w:r>
    </w:p>
    <w:p w14:paraId="2B2ECA24">
      <w:pPr>
        <w:pStyle w:val="10"/>
        <w:spacing w:line="360" w:lineRule="auto"/>
        <w:ind w:firstLine="480"/>
        <w:rPr>
          <w:rFonts w:hint="eastAsia" w:ascii="宋体" w:hAnsi="宋体" w:eastAsia="宋体" w:cs="宋体"/>
          <w:b/>
          <w:bCs/>
          <w:color w:val="auto"/>
          <w:sz w:val="24"/>
          <w:szCs w:val="24"/>
          <w:highlight w:val="none"/>
          <w:lang w:val="en-US" w:eastAsia="zh-CN" w:bidi="ar-SA"/>
        </w:rPr>
      </w:pPr>
      <w:r>
        <w:rPr>
          <w:rFonts w:hint="eastAsia" w:ascii="宋体" w:hAnsi="宋体" w:eastAsia="宋体" w:cs="宋体"/>
          <w:b/>
          <w:bCs/>
          <w:color w:val="auto"/>
          <w:sz w:val="24"/>
          <w:szCs w:val="24"/>
          <w:highlight w:val="none"/>
          <w:lang w:val="en-US" w:eastAsia="zh-CN" w:bidi="ar-SA"/>
        </w:rPr>
        <w:t>采购包3：采购需求</w:t>
      </w:r>
    </w:p>
    <w:p w14:paraId="0B6BAF70">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一、采购项目概况</w:t>
      </w:r>
    </w:p>
    <w:p w14:paraId="18FEB5E6">
      <w:pPr>
        <w:pStyle w:val="1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14:paraId="08DC029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采购包3：运维范围为西安市43座地表水水质自动监测站运维服务，以及水站监测设备及辅助设施（采排水单元，站房及站房环境，视频监控系统，网络传输系统，供电供水保障）的运维服务等，服务期为一年。</w:t>
      </w:r>
    </w:p>
    <w:p w14:paraId="648B8D1E">
      <w:pPr>
        <w:pStyle w:val="10"/>
        <w:spacing w:line="360" w:lineRule="auto"/>
        <w:ind w:firstLine="482" w:firstLineChars="200"/>
        <w:rPr>
          <w:rFonts w:hint="eastAsia" w:ascii="宋体" w:hAnsi="宋体" w:eastAsia="宋体" w:cs="宋体"/>
          <w:b/>
          <w:bCs/>
          <w:color w:val="auto"/>
          <w:sz w:val="24"/>
          <w:szCs w:val="24"/>
          <w:highlight w:val="none"/>
          <w:lang w:val="en-US" w:eastAsia="zh-CN"/>
        </w:rPr>
      </w:pPr>
      <w:bookmarkStart w:id="0" w:name="_Toc55201338"/>
      <w:r>
        <w:rPr>
          <w:rFonts w:hint="eastAsia" w:ascii="宋体" w:hAnsi="宋体" w:eastAsia="宋体" w:cs="宋体"/>
          <w:b/>
          <w:bCs/>
          <w:color w:val="auto"/>
          <w:sz w:val="24"/>
          <w:szCs w:val="24"/>
          <w:highlight w:val="none"/>
          <w:lang w:val="en-US" w:eastAsia="zh-CN"/>
        </w:rPr>
        <w:t xml:space="preserve">二、本采购包最高限价：6,536,000.00元  </w:t>
      </w:r>
    </w:p>
    <w:p w14:paraId="537FC994">
      <w:pPr>
        <w:pStyle w:val="1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eastAsia="zh-CN"/>
        </w:rPr>
        <w:t>服务要求</w:t>
      </w:r>
    </w:p>
    <w:p w14:paraId="2A1DEFCD">
      <w:pPr>
        <w:pStyle w:val="10"/>
        <w:spacing w:line="360" w:lineRule="auto"/>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西安市43座地表水质自动监测站运维服务</w:t>
      </w:r>
    </w:p>
    <w:p w14:paraId="1A55DFCE">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1.项目概况</w:t>
      </w:r>
    </w:p>
    <w:p w14:paraId="1115ED80">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西安市43个地表水质自动监测站（以下简称“水站”）是西安市“智慧环保”项目感知层建设的重要组成部分，分布于西安市范围内的部分河流，可实时监测常规五参数、化学需氧量、总磷、氨氮、高锰酸盐指数等污染物浓度的动态变化，为西安市地表水质量变化研判、地表水污染物预测预警、污染溯源等工作提供重要数据支撑。</w:t>
      </w:r>
    </w:p>
    <w:p w14:paraId="6AA3C01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采购包3：运维范围为西安市43座水站1年质保外运行维护服务，主要包括水站监测设备及辅助设施（采排水单元，站房及站房环境，视频监控系统，网络传输系统，供电供水保障）的运行维护服务等。</w:t>
      </w:r>
    </w:p>
    <w:p w14:paraId="63D30C03">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2.站点分布情况及运行维护内容</w:t>
      </w:r>
    </w:p>
    <w:p w14:paraId="76B0DBC1">
      <w:pPr>
        <w:rPr>
          <w:rFonts w:hint="eastAsia" w:ascii="宋体" w:hAnsi="宋体" w:eastAsia="宋体" w:cs="宋体"/>
          <w:color w:val="auto"/>
          <w:szCs w:val="24"/>
          <w:highlight w:val="none"/>
        </w:rPr>
      </w:pPr>
    </w:p>
    <w:bookmarkEnd w:id="0"/>
    <w:p w14:paraId="6F3637D2">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sectPr>
          <w:footerReference r:id="rId3" w:type="default"/>
          <w:pgSz w:w="11905" w:h="16838"/>
          <w:pgMar w:top="1247" w:right="1247" w:bottom="1213" w:left="1247" w:header="851" w:footer="680" w:gutter="0"/>
          <w:pgNumType w:fmt="decimal" w:start="1"/>
          <w:cols w:space="0" w:num="1"/>
          <w:rtlGutter w:val="0"/>
          <w:docGrid w:linePitch="312" w:charSpace="0"/>
        </w:sectPr>
      </w:pPr>
    </w:p>
    <w:p w14:paraId="3A6397E6">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w:t>
      </w:r>
      <w:bookmarkStart w:id="1" w:name="OLE_LINK2"/>
      <w:bookmarkStart w:id="2" w:name="OLE_LINK1"/>
      <w:r>
        <w:rPr>
          <w:rFonts w:hint="eastAsia" w:ascii="宋体" w:hAnsi="宋体" w:eastAsia="宋体" w:cs="宋体"/>
          <w:b/>
          <w:bCs/>
          <w:color w:val="auto"/>
          <w:sz w:val="24"/>
          <w:szCs w:val="24"/>
          <w:highlight w:val="none"/>
          <w:lang w:val="en-US" w:eastAsia="zh-CN"/>
        </w:rPr>
        <w:t>1</w:t>
      </w:r>
      <w:bookmarkEnd w:id="1"/>
      <w:bookmarkEnd w:id="2"/>
      <w:r>
        <w:rPr>
          <w:rFonts w:hint="eastAsia" w:ascii="宋体" w:hAnsi="宋体" w:eastAsia="宋体" w:cs="宋体"/>
          <w:b/>
          <w:bCs/>
          <w:color w:val="auto"/>
          <w:sz w:val="24"/>
          <w:szCs w:val="24"/>
          <w:highlight w:val="none"/>
          <w:lang w:val="en-US" w:eastAsia="zh-CN"/>
        </w:rPr>
        <w:t>站点概况</w:t>
      </w:r>
    </w:p>
    <w:tbl>
      <w:tblPr>
        <w:tblStyle w:val="7"/>
        <w:tblW w:w="14397" w:type="dxa"/>
        <w:jc w:val="center"/>
        <w:tblLayout w:type="fixed"/>
        <w:tblCellMar>
          <w:top w:w="0" w:type="dxa"/>
          <w:left w:w="0" w:type="dxa"/>
          <w:bottom w:w="0" w:type="dxa"/>
          <w:right w:w="0" w:type="dxa"/>
        </w:tblCellMar>
      </w:tblPr>
      <w:tblGrid>
        <w:gridCol w:w="860"/>
        <w:gridCol w:w="1708"/>
        <w:gridCol w:w="2047"/>
        <w:gridCol w:w="808"/>
        <w:gridCol w:w="1525"/>
        <w:gridCol w:w="5430"/>
        <w:gridCol w:w="2019"/>
      </w:tblGrid>
      <w:tr w14:paraId="6F3B5871">
        <w:tblPrEx>
          <w:tblCellMar>
            <w:top w:w="0" w:type="dxa"/>
            <w:left w:w="0" w:type="dxa"/>
            <w:bottom w:w="0" w:type="dxa"/>
            <w:right w:w="0" w:type="dxa"/>
          </w:tblCellMar>
        </w:tblPrEx>
        <w:trPr>
          <w:trHeight w:val="329" w:hRule="atLeast"/>
          <w:jc w:val="center"/>
        </w:trPr>
        <w:tc>
          <w:tcPr>
            <w:tcW w:w="860"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722DD1F8">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1708" w:type="dxa"/>
            <w:tcBorders>
              <w:top w:val="single" w:color="000000" w:sz="4" w:space="0"/>
              <w:left w:val="nil"/>
              <w:bottom w:val="single" w:color="auto" w:sz="4" w:space="0"/>
              <w:right w:val="single" w:color="000000" w:sz="4" w:space="0"/>
            </w:tcBorders>
            <w:noWrap/>
            <w:tcMar>
              <w:top w:w="15" w:type="dxa"/>
              <w:left w:w="15" w:type="dxa"/>
              <w:right w:w="15" w:type="dxa"/>
            </w:tcMar>
            <w:vAlign w:val="center"/>
          </w:tcPr>
          <w:p w14:paraId="55373DBB">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配置类型</w:t>
            </w:r>
          </w:p>
        </w:tc>
        <w:tc>
          <w:tcPr>
            <w:tcW w:w="2047" w:type="dxa"/>
            <w:tcBorders>
              <w:top w:val="single" w:color="000000" w:sz="4" w:space="0"/>
              <w:left w:val="nil"/>
              <w:bottom w:val="single" w:color="auto" w:sz="4" w:space="0"/>
              <w:right w:val="single" w:color="000000" w:sz="4" w:space="0"/>
            </w:tcBorders>
            <w:noWrap/>
            <w:tcMar>
              <w:top w:w="15" w:type="dxa"/>
              <w:left w:w="15" w:type="dxa"/>
              <w:right w:w="15" w:type="dxa"/>
            </w:tcMar>
            <w:vAlign w:val="center"/>
          </w:tcPr>
          <w:p w14:paraId="39263FCC">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站点名称</w:t>
            </w:r>
          </w:p>
        </w:tc>
        <w:tc>
          <w:tcPr>
            <w:tcW w:w="80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430DFE2">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河流</w:t>
            </w:r>
          </w:p>
        </w:tc>
        <w:tc>
          <w:tcPr>
            <w:tcW w:w="1525" w:type="dxa"/>
            <w:tcBorders>
              <w:top w:val="single" w:color="000000" w:sz="4" w:space="0"/>
              <w:left w:val="single" w:color="000000" w:sz="4" w:space="0"/>
              <w:bottom w:val="single" w:color="auto" w:sz="4" w:space="0"/>
              <w:right w:val="nil"/>
            </w:tcBorders>
            <w:tcMar>
              <w:top w:w="15" w:type="dxa"/>
              <w:left w:w="15" w:type="dxa"/>
              <w:right w:w="15" w:type="dxa"/>
            </w:tcMar>
            <w:vAlign w:val="center"/>
          </w:tcPr>
          <w:p w14:paraId="5D7F9601">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区域</w:t>
            </w:r>
          </w:p>
        </w:tc>
        <w:tc>
          <w:tcPr>
            <w:tcW w:w="5430"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0587868B">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参数指标（规格型号）</w:t>
            </w:r>
          </w:p>
        </w:tc>
        <w:tc>
          <w:tcPr>
            <w:tcW w:w="2019"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6F47F19C">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工程概况</w:t>
            </w:r>
          </w:p>
        </w:tc>
      </w:tr>
      <w:tr w14:paraId="39A309FB">
        <w:tblPrEx>
          <w:tblCellMar>
            <w:top w:w="0" w:type="dxa"/>
            <w:left w:w="0" w:type="dxa"/>
            <w:bottom w:w="0" w:type="dxa"/>
            <w:right w:w="0" w:type="dxa"/>
          </w:tblCellMar>
        </w:tblPrEx>
        <w:trPr>
          <w:trHeight w:val="550" w:hRule="atLeast"/>
          <w:jc w:val="center"/>
        </w:trPr>
        <w:tc>
          <w:tcPr>
            <w:tcW w:w="86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64F598C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708" w:type="dxa"/>
            <w:vMerge w:val="restart"/>
            <w:tcBorders>
              <w:top w:val="single" w:color="auto" w:sz="4" w:space="0"/>
              <w:left w:val="single" w:color="auto" w:sz="4" w:space="0"/>
              <w:right w:val="single" w:color="auto" w:sz="4" w:space="0"/>
            </w:tcBorders>
            <w:noWrap/>
            <w:tcMar>
              <w:top w:w="15" w:type="dxa"/>
              <w:left w:w="15" w:type="dxa"/>
              <w:right w:w="15" w:type="dxa"/>
            </w:tcMar>
            <w:vAlign w:val="center"/>
          </w:tcPr>
          <w:p w14:paraId="3D5C7489">
            <w:pPr>
              <w:ind w:right="31" w:rightChars="13"/>
              <w:jc w:val="center"/>
              <w:rPr>
                <w:rFonts w:hint="eastAsia" w:ascii="宋体" w:hAnsi="宋体" w:eastAsia="宋体" w:cs="宋体"/>
                <w:color w:val="auto"/>
                <w:sz w:val="21"/>
                <w:szCs w:val="21"/>
                <w:highlight w:val="none"/>
              </w:rPr>
            </w:pPr>
          </w:p>
          <w:p w14:paraId="21E083B4">
            <w:pPr>
              <w:ind w:right="31" w:rightChars="13"/>
              <w:jc w:val="center"/>
              <w:rPr>
                <w:rFonts w:hint="eastAsia" w:ascii="宋体" w:hAnsi="宋体" w:eastAsia="宋体" w:cs="宋体"/>
                <w:color w:val="auto"/>
                <w:sz w:val="21"/>
                <w:szCs w:val="21"/>
                <w:highlight w:val="none"/>
              </w:rPr>
            </w:pPr>
          </w:p>
          <w:p w14:paraId="15EABE99">
            <w:pPr>
              <w:ind w:right="31" w:rightChars="13"/>
              <w:jc w:val="center"/>
              <w:rPr>
                <w:rFonts w:hint="eastAsia" w:ascii="宋体" w:hAnsi="宋体" w:eastAsia="宋体" w:cs="宋体"/>
                <w:color w:val="auto"/>
                <w:sz w:val="21"/>
                <w:szCs w:val="21"/>
                <w:highlight w:val="none"/>
              </w:rPr>
            </w:pPr>
          </w:p>
          <w:p w14:paraId="3160B4EF">
            <w:pPr>
              <w:ind w:right="31" w:rightChars="13"/>
              <w:jc w:val="center"/>
              <w:rPr>
                <w:rFonts w:hint="eastAsia" w:ascii="宋体" w:hAnsi="宋体" w:eastAsia="宋体" w:cs="宋体"/>
                <w:color w:val="auto"/>
                <w:sz w:val="21"/>
                <w:szCs w:val="21"/>
                <w:highlight w:val="none"/>
              </w:rPr>
            </w:pPr>
          </w:p>
          <w:p w14:paraId="0DF28E2B">
            <w:pPr>
              <w:ind w:right="31" w:rightChars="13"/>
              <w:jc w:val="center"/>
              <w:rPr>
                <w:rFonts w:hint="eastAsia" w:ascii="宋体" w:hAnsi="宋体" w:eastAsia="宋体" w:cs="宋体"/>
                <w:color w:val="auto"/>
                <w:sz w:val="21"/>
                <w:szCs w:val="21"/>
                <w:highlight w:val="none"/>
              </w:rPr>
            </w:pPr>
          </w:p>
          <w:p w14:paraId="40A3D95C">
            <w:pPr>
              <w:ind w:right="31" w:rightChars="13"/>
              <w:jc w:val="center"/>
              <w:rPr>
                <w:rFonts w:hint="eastAsia" w:ascii="宋体" w:hAnsi="宋体" w:eastAsia="宋体" w:cs="宋体"/>
                <w:color w:val="auto"/>
                <w:sz w:val="21"/>
                <w:szCs w:val="21"/>
                <w:highlight w:val="none"/>
              </w:rPr>
            </w:pPr>
          </w:p>
          <w:p w14:paraId="05E82830">
            <w:pPr>
              <w:ind w:right="31" w:rightChars="13"/>
              <w:jc w:val="center"/>
              <w:rPr>
                <w:rFonts w:hint="eastAsia" w:ascii="宋体" w:hAnsi="宋体" w:eastAsia="宋体" w:cs="宋体"/>
                <w:color w:val="auto"/>
                <w:sz w:val="21"/>
                <w:szCs w:val="21"/>
                <w:highlight w:val="none"/>
              </w:rPr>
            </w:pPr>
          </w:p>
          <w:p w14:paraId="4348C1FC">
            <w:pPr>
              <w:ind w:right="31" w:rightChars="13"/>
              <w:jc w:val="center"/>
              <w:rPr>
                <w:rFonts w:hint="eastAsia" w:ascii="宋体" w:hAnsi="宋体" w:eastAsia="宋体" w:cs="宋体"/>
                <w:color w:val="auto"/>
                <w:sz w:val="21"/>
                <w:szCs w:val="21"/>
                <w:highlight w:val="none"/>
              </w:rPr>
            </w:pPr>
          </w:p>
          <w:p w14:paraId="626D3C01">
            <w:pPr>
              <w:ind w:right="31" w:rightChars="13"/>
              <w:jc w:val="center"/>
              <w:rPr>
                <w:rFonts w:hint="eastAsia" w:ascii="宋体" w:hAnsi="宋体" w:eastAsia="宋体" w:cs="宋体"/>
                <w:color w:val="auto"/>
                <w:sz w:val="21"/>
                <w:szCs w:val="21"/>
                <w:highlight w:val="none"/>
              </w:rPr>
            </w:pPr>
          </w:p>
          <w:p w14:paraId="2BE29646">
            <w:pPr>
              <w:ind w:right="31" w:rightChars="13"/>
              <w:jc w:val="center"/>
              <w:rPr>
                <w:rFonts w:hint="eastAsia" w:ascii="宋体" w:hAnsi="宋体" w:eastAsia="宋体" w:cs="宋体"/>
                <w:color w:val="auto"/>
                <w:sz w:val="21"/>
                <w:szCs w:val="21"/>
                <w:highlight w:val="none"/>
              </w:rPr>
            </w:pPr>
          </w:p>
          <w:p w14:paraId="590267A7">
            <w:pPr>
              <w:ind w:right="31" w:rightChars="13"/>
              <w:jc w:val="center"/>
              <w:rPr>
                <w:rFonts w:hint="eastAsia" w:ascii="宋体" w:hAnsi="宋体" w:eastAsia="宋体" w:cs="宋体"/>
                <w:color w:val="auto"/>
                <w:sz w:val="21"/>
                <w:szCs w:val="21"/>
                <w:highlight w:val="none"/>
              </w:rPr>
            </w:pPr>
          </w:p>
          <w:p w14:paraId="0F426BE4">
            <w:pPr>
              <w:ind w:right="31" w:rightChars="13"/>
              <w:jc w:val="center"/>
              <w:rPr>
                <w:rFonts w:hint="eastAsia" w:ascii="宋体" w:hAnsi="宋体" w:eastAsia="宋体" w:cs="宋体"/>
                <w:color w:val="auto"/>
                <w:sz w:val="21"/>
                <w:szCs w:val="21"/>
                <w:highlight w:val="none"/>
              </w:rPr>
            </w:pPr>
          </w:p>
          <w:p w14:paraId="32F40C1F">
            <w:pPr>
              <w:ind w:right="31" w:rightChars="13"/>
              <w:jc w:val="center"/>
              <w:rPr>
                <w:rFonts w:hint="eastAsia" w:ascii="宋体" w:hAnsi="宋体" w:eastAsia="宋体" w:cs="宋体"/>
                <w:color w:val="auto"/>
                <w:sz w:val="21"/>
                <w:szCs w:val="21"/>
                <w:highlight w:val="none"/>
              </w:rPr>
            </w:pPr>
          </w:p>
          <w:p w14:paraId="4DABEAAF">
            <w:pPr>
              <w:ind w:right="31" w:rightChars="13"/>
              <w:jc w:val="center"/>
              <w:rPr>
                <w:rFonts w:hint="eastAsia" w:ascii="宋体" w:hAnsi="宋体" w:eastAsia="宋体" w:cs="宋体"/>
                <w:color w:val="auto"/>
                <w:sz w:val="21"/>
                <w:szCs w:val="21"/>
                <w:highlight w:val="none"/>
              </w:rPr>
            </w:pPr>
          </w:p>
          <w:p w14:paraId="131DC850">
            <w:pPr>
              <w:ind w:right="31" w:rightChars="13"/>
              <w:jc w:val="center"/>
              <w:rPr>
                <w:rFonts w:hint="eastAsia" w:ascii="宋体" w:hAnsi="宋体" w:eastAsia="宋体" w:cs="宋体"/>
                <w:color w:val="auto"/>
                <w:sz w:val="21"/>
                <w:szCs w:val="21"/>
                <w:highlight w:val="none"/>
              </w:rPr>
            </w:pPr>
          </w:p>
          <w:p w14:paraId="0F421152">
            <w:pPr>
              <w:ind w:right="31" w:rightChars="13"/>
              <w:jc w:val="center"/>
              <w:rPr>
                <w:rFonts w:hint="eastAsia" w:ascii="宋体" w:hAnsi="宋体" w:eastAsia="宋体" w:cs="宋体"/>
                <w:color w:val="auto"/>
                <w:sz w:val="21"/>
                <w:szCs w:val="21"/>
                <w:highlight w:val="none"/>
              </w:rPr>
            </w:pPr>
          </w:p>
          <w:p w14:paraId="6E8D8698">
            <w:pPr>
              <w:ind w:right="31" w:rightChars="13"/>
              <w:jc w:val="center"/>
              <w:rPr>
                <w:rFonts w:hint="eastAsia" w:ascii="宋体" w:hAnsi="宋体" w:eastAsia="宋体" w:cs="宋体"/>
                <w:color w:val="auto"/>
                <w:sz w:val="21"/>
                <w:szCs w:val="21"/>
                <w:highlight w:val="none"/>
              </w:rPr>
            </w:pPr>
          </w:p>
          <w:p w14:paraId="1486DFA0">
            <w:pPr>
              <w:ind w:right="31" w:rightChars="13"/>
              <w:jc w:val="center"/>
              <w:rPr>
                <w:rFonts w:hint="eastAsia" w:ascii="宋体" w:hAnsi="宋体" w:eastAsia="宋体" w:cs="宋体"/>
                <w:color w:val="auto"/>
                <w:sz w:val="21"/>
                <w:szCs w:val="21"/>
                <w:highlight w:val="none"/>
              </w:rPr>
            </w:pPr>
          </w:p>
          <w:p w14:paraId="464CFE97">
            <w:pPr>
              <w:ind w:right="31" w:rightChars="13"/>
              <w:jc w:val="center"/>
              <w:rPr>
                <w:rFonts w:hint="eastAsia" w:ascii="宋体" w:hAnsi="宋体" w:eastAsia="宋体" w:cs="宋体"/>
                <w:color w:val="auto"/>
                <w:sz w:val="21"/>
                <w:szCs w:val="21"/>
                <w:highlight w:val="none"/>
              </w:rPr>
            </w:pPr>
          </w:p>
          <w:p w14:paraId="6D899D99">
            <w:pPr>
              <w:ind w:right="31" w:rightChars="13"/>
              <w:jc w:val="center"/>
              <w:rPr>
                <w:rFonts w:hint="eastAsia" w:ascii="宋体" w:hAnsi="宋体" w:eastAsia="宋体" w:cs="宋体"/>
                <w:color w:val="auto"/>
                <w:sz w:val="21"/>
                <w:szCs w:val="21"/>
                <w:highlight w:val="none"/>
              </w:rPr>
            </w:pPr>
          </w:p>
          <w:p w14:paraId="7B2DA6B1">
            <w:pPr>
              <w:ind w:right="31" w:rightChars="13"/>
              <w:jc w:val="center"/>
              <w:rPr>
                <w:rFonts w:hint="eastAsia" w:ascii="宋体" w:hAnsi="宋体" w:eastAsia="宋体" w:cs="宋体"/>
                <w:color w:val="auto"/>
                <w:sz w:val="21"/>
                <w:szCs w:val="21"/>
                <w:highlight w:val="none"/>
              </w:rPr>
            </w:pPr>
          </w:p>
          <w:p w14:paraId="7E3A8599">
            <w:pPr>
              <w:ind w:right="31" w:rightChars="13"/>
              <w:jc w:val="center"/>
              <w:rPr>
                <w:rFonts w:hint="eastAsia" w:ascii="宋体" w:hAnsi="宋体" w:eastAsia="宋体" w:cs="宋体"/>
                <w:color w:val="auto"/>
                <w:sz w:val="21"/>
                <w:szCs w:val="21"/>
                <w:highlight w:val="none"/>
              </w:rPr>
            </w:pPr>
          </w:p>
          <w:p w14:paraId="51F57854">
            <w:pPr>
              <w:ind w:right="31" w:rightChars="13"/>
              <w:jc w:val="center"/>
              <w:rPr>
                <w:rFonts w:hint="eastAsia" w:ascii="宋体" w:hAnsi="宋体" w:eastAsia="宋体" w:cs="宋体"/>
                <w:color w:val="auto"/>
                <w:sz w:val="21"/>
                <w:szCs w:val="21"/>
                <w:highlight w:val="none"/>
              </w:rPr>
            </w:pPr>
          </w:p>
          <w:p w14:paraId="6034F64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固定站配置一</w:t>
            </w:r>
          </w:p>
          <w:p w14:paraId="6527894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（25站）</w:t>
            </w:r>
          </w:p>
          <w:p w14:paraId="39B74983">
            <w:pPr>
              <w:ind w:right="31" w:rightChars="13"/>
              <w:jc w:val="center"/>
              <w:rPr>
                <w:rFonts w:hint="eastAsia" w:ascii="宋体" w:hAnsi="宋体" w:eastAsia="宋体" w:cs="宋体"/>
                <w:color w:val="auto"/>
                <w:sz w:val="21"/>
                <w:szCs w:val="21"/>
                <w:highlight w:val="none"/>
              </w:rPr>
            </w:pPr>
          </w:p>
          <w:p w14:paraId="67485225">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noWrap/>
            <w:tcMar>
              <w:top w:w="15" w:type="dxa"/>
              <w:left w:w="15" w:type="dxa"/>
              <w:right w:w="15" w:type="dxa"/>
            </w:tcMar>
            <w:vAlign w:val="center"/>
          </w:tcPr>
          <w:p w14:paraId="543FF3B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沣河严家渠水质自动监测站</w:t>
            </w:r>
          </w:p>
        </w:tc>
        <w:tc>
          <w:tcPr>
            <w:tcW w:w="80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011B9BE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79A10AC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西咸新区沣东新城</w:t>
            </w:r>
          </w:p>
        </w:tc>
        <w:tc>
          <w:tcPr>
            <w:tcW w:w="5430" w:type="dxa"/>
            <w:tcBorders>
              <w:top w:val="single" w:color="auto" w:sz="4" w:space="0"/>
              <w:left w:val="single" w:color="000000" w:sz="4" w:space="0"/>
              <w:bottom w:val="single" w:color="auto" w:sz="4" w:space="0"/>
              <w:right w:val="single" w:color="000000" w:sz="4" w:space="0"/>
            </w:tcBorders>
            <w:noWrap/>
            <w:tcMar>
              <w:top w:w="15" w:type="dxa"/>
              <w:left w:w="15" w:type="dxa"/>
              <w:right w:w="15" w:type="dxa"/>
            </w:tcMar>
            <w:vAlign w:val="center"/>
          </w:tcPr>
          <w:p w14:paraId="41E9F46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auto" w:sz="4" w:space="0"/>
              <w:left w:val="single" w:color="000000" w:sz="4" w:space="0"/>
              <w:bottom w:val="single" w:color="auto" w:sz="4" w:space="0"/>
              <w:right w:val="single" w:color="auto" w:sz="4" w:space="0"/>
            </w:tcBorders>
            <w:noWrap/>
            <w:tcMar>
              <w:top w:w="15" w:type="dxa"/>
              <w:left w:w="15" w:type="dxa"/>
              <w:right w:w="15" w:type="dxa"/>
            </w:tcMar>
            <w:vAlign w:val="center"/>
          </w:tcPr>
          <w:p w14:paraId="24BB7B2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362544E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4BBC783B">
        <w:tblPrEx>
          <w:tblCellMar>
            <w:top w:w="0" w:type="dxa"/>
            <w:left w:w="0" w:type="dxa"/>
            <w:bottom w:w="0" w:type="dxa"/>
            <w:right w:w="0" w:type="dxa"/>
          </w:tblCellMar>
        </w:tblPrEx>
        <w:trPr>
          <w:trHeight w:val="550" w:hRule="atLeast"/>
          <w:jc w:val="center"/>
        </w:trPr>
        <w:tc>
          <w:tcPr>
            <w:tcW w:w="860" w:type="dxa"/>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57076FA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3DA3CFEB">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000000" w:sz="4" w:space="0"/>
              <w:right w:val="single" w:color="000000" w:sz="4" w:space="0"/>
            </w:tcBorders>
            <w:noWrap/>
            <w:tcMar>
              <w:top w:w="15" w:type="dxa"/>
              <w:left w:w="15" w:type="dxa"/>
              <w:right w:w="15" w:type="dxa"/>
            </w:tcMar>
            <w:vAlign w:val="center"/>
          </w:tcPr>
          <w:p w14:paraId="1B8705D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沣河统一路桥水质自动监测站</w:t>
            </w:r>
          </w:p>
        </w:tc>
        <w:tc>
          <w:tcPr>
            <w:tcW w:w="808" w:type="dxa"/>
            <w:tcBorders>
              <w:top w:val="single" w:color="auto" w:sz="4" w:space="0"/>
              <w:left w:val="single" w:color="000000" w:sz="4" w:space="0"/>
              <w:bottom w:val="nil"/>
              <w:right w:val="single" w:color="000000" w:sz="4" w:space="0"/>
            </w:tcBorders>
            <w:tcMar>
              <w:top w:w="15" w:type="dxa"/>
              <w:left w:w="15" w:type="dxa"/>
              <w:right w:w="15" w:type="dxa"/>
            </w:tcMar>
            <w:vAlign w:val="center"/>
          </w:tcPr>
          <w:p w14:paraId="008C670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35B57D1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西咸新区沣西新城</w:t>
            </w:r>
          </w:p>
        </w:tc>
        <w:tc>
          <w:tcPr>
            <w:tcW w:w="5430" w:type="dxa"/>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14:paraId="597D93DA">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14:paraId="38B4CC6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0E3785C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5501B19A">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CBF851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2BE381EA">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9EF7D9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沣河西宝速桥水质自动监测站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458B72D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E28DE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西咸新区文教园</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955205">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696BF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E212DC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通，需送水</w:t>
            </w:r>
          </w:p>
        </w:tc>
      </w:tr>
      <w:tr w14:paraId="29AC3023">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9DD414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4C2832B">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305F40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皂河昆明路水质自动监测站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6F358B4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498BE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西咸新区沣东新城</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64D2AA">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F8150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3B83B5C0">
            <w:pPr>
              <w:ind w:right="31" w:rightChars="13"/>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通</w:t>
            </w:r>
            <w:r>
              <w:rPr>
                <w:rFonts w:hint="eastAsia" w:hAnsi="宋体" w:cs="宋体"/>
                <w:color w:val="auto"/>
                <w:sz w:val="21"/>
                <w:szCs w:val="21"/>
                <w:highlight w:val="none"/>
                <w:lang w:eastAsia="zh-CN"/>
              </w:rPr>
              <w:t>，通自来水</w:t>
            </w:r>
          </w:p>
        </w:tc>
      </w:tr>
      <w:tr w14:paraId="3EFED8AA">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67A955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C247CB0">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4198D6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皂河雁秋门水质自动监测站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46E3153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145AA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未央区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CE7456">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BC77A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57B689C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5F5EB81D">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6BF8471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065BB0B2">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773BA9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皂河南三环水质自动监测站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616DB8B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12C6D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高新区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8E721E">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DF4A1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262F426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4FEF35F0">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0BF615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3C5348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1D5F4F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皂河西部大道水质自动监测站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4A60A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8F849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EAF863">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A3788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6945E2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1C61F30C">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FFEA93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F55684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63BE41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皂河富鱼路水质自动监测站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3752F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7BD37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高新区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6C0293">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796B5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B04464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13A106E5">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08EB77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53316C8">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9ED05A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浐河高桥水质自动监测站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D88882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3A765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灞桥区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5E9270">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C0DD7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642A54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配置水箱通自来水</w:t>
            </w:r>
          </w:p>
        </w:tc>
      </w:tr>
      <w:tr w14:paraId="4606F70F">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8F0800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30EA1E69">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145FAB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浐河强家坡水质自动监测站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087F6C0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A813C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4008AB">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3FC11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56F5B1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7DA409F0">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0F44B9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1B53F7A3">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0590CE8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灞河华清桥水质自动监测站</w:t>
            </w:r>
          </w:p>
        </w:tc>
        <w:tc>
          <w:tcPr>
            <w:tcW w:w="80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A232C6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灞河</w:t>
            </w:r>
          </w:p>
        </w:tc>
        <w:tc>
          <w:tcPr>
            <w:tcW w:w="1525"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418170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灞桥区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9DCF8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2406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74BF5A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20933D76">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509EB7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77FDD6D">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591047D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石川河相桥水质自动监测站</w:t>
            </w:r>
          </w:p>
        </w:tc>
        <w:tc>
          <w:tcPr>
            <w:tcW w:w="80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2CEBBC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石川河</w:t>
            </w:r>
          </w:p>
        </w:tc>
        <w:tc>
          <w:tcPr>
            <w:tcW w:w="15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3FB7B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阎良区</w:t>
            </w:r>
          </w:p>
        </w:tc>
        <w:tc>
          <w:tcPr>
            <w:tcW w:w="5430"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3A00DE6">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C521D4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1BF928B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3B817999">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EEA241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5C7D5FA4">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000000" w:sz="4" w:space="0"/>
              <w:right w:val="single" w:color="000000" w:sz="4" w:space="0"/>
            </w:tcBorders>
            <w:noWrap/>
            <w:tcMar>
              <w:top w:w="15" w:type="dxa"/>
              <w:left w:w="15" w:type="dxa"/>
              <w:right w:w="15" w:type="dxa"/>
            </w:tcMar>
            <w:vAlign w:val="center"/>
          </w:tcPr>
          <w:p w14:paraId="39BC542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清河阎南路水质自动监测站</w:t>
            </w:r>
          </w:p>
        </w:tc>
        <w:tc>
          <w:tcPr>
            <w:tcW w:w="808" w:type="dxa"/>
            <w:tcBorders>
              <w:top w:val="single" w:color="auto" w:sz="4" w:space="0"/>
              <w:left w:val="single" w:color="000000" w:sz="4" w:space="0"/>
              <w:bottom w:val="nil"/>
              <w:right w:val="single" w:color="000000" w:sz="4" w:space="0"/>
            </w:tcBorders>
            <w:tcMar>
              <w:top w:w="15" w:type="dxa"/>
              <w:left w:w="15" w:type="dxa"/>
              <w:right w:w="15" w:type="dxa"/>
            </w:tcMar>
            <w:vAlign w:val="center"/>
          </w:tcPr>
          <w:p w14:paraId="7F0D826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清河</w:t>
            </w:r>
          </w:p>
        </w:tc>
        <w:tc>
          <w:tcPr>
            <w:tcW w:w="152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6A71F0F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阎良区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580A31">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88E43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0C91BE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2D0480BA">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185F42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8A3BFE8">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BC147C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太平峪河郭南村水质自动监测站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022FD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太平峪河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B2B25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4960C9">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COD、氨氮、总磷、氟化物、常规五参数等运行和维护。包括试剂，仪器管路，易耗零配件以及站房维护等。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213A1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1B2050F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通，需送水</w:t>
            </w:r>
          </w:p>
        </w:tc>
      </w:tr>
      <w:tr w14:paraId="36459080">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1F0E4A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784F78B">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210379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滈河香积寺水质自动监测站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4764ADB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滈河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F8229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754C3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73443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28AE82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通，需送水</w:t>
            </w:r>
          </w:p>
        </w:tc>
      </w:tr>
      <w:tr w14:paraId="73382D3E">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831B94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95E3CA9">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DBD0DC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沣河梁家桥水质自动监测站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679214F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89416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342B8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COD、氨氮、总磷、氟化物、常规五参数等运行和维护。包括试剂，仪器管路，易耗零配件以及站房维护等。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BDFB7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1F05289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3E6AC02">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8B1D0D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944E02A">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90B796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潏河史鱼寨村水质自动监测站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8BBFD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D0C53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高新区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8986DF">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COD、氨氮、总磷、氟化物、常规五参数等运行和维护。包括试剂，仪器管路，易耗零配件以及站房维护等。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BF18D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E04A27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3798B1E">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D3AB53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E153EEC">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2E853A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灞河燎原村水质自动监测站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E81BF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FA83F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灞桥区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31DA34">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89FB3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13902E2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180BE9C">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05A685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6285165">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FF6198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清河老杨村水质自动监测站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1B8698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5E991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阎良区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F9D689">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66116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295A437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12AC6FE9">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7F1CCD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55B1B70">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9B3BC5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护城河小北门水质自动监测站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99C222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护城河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30A57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曲江</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2DE32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47278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505E638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6F79B17A">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AA4FF7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9F890A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E2FF9D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皂河湿地公园水质自动监测站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B43DA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289BE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经开区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05A86">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77A28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5ED86FB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26A7AD51">
        <w:tblPrEx>
          <w:tblCellMar>
            <w:top w:w="0" w:type="dxa"/>
            <w:left w:w="0" w:type="dxa"/>
            <w:bottom w:w="0" w:type="dxa"/>
            <w:right w:w="0" w:type="dxa"/>
          </w:tblCellMar>
        </w:tblPrEx>
        <w:trPr>
          <w:trHeight w:val="550" w:hRule="atLeast"/>
          <w:jc w:val="center"/>
        </w:trPr>
        <w:tc>
          <w:tcPr>
            <w:tcW w:w="860" w:type="dxa"/>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7C6AA74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53D62091">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5F658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泾河西铜路水质自动监测站</w:t>
            </w:r>
          </w:p>
        </w:tc>
        <w:tc>
          <w:tcPr>
            <w:tcW w:w="808" w:type="dxa"/>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59392CD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w:t>
            </w:r>
          </w:p>
        </w:tc>
        <w:tc>
          <w:tcPr>
            <w:tcW w:w="152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DFC2BA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高陵区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4B022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7742C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7D70329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675955E8">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41FA9C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22517B04">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167D23A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泾河庙店村水质自动监测站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4F2D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BE70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西咸新区空港新城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AD92A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D83F4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2E13D51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6C143EAC">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D81B49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A0F82F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0B198B9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泾河县大堡子村水质自动监测站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3B80B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46ED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西咸新区秦汉新城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5FE994">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E3D74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6C5386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AE68BE1">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EE3642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02754BF9">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4D23DF0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新河文涝路水质自动监测站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C249AC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新河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0ED1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鄠邑区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DF5F31">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3A170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1AAFD0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017BCB7C">
        <w:tblPrEx>
          <w:tblCellMar>
            <w:top w:w="0" w:type="dxa"/>
            <w:left w:w="0" w:type="dxa"/>
            <w:bottom w:w="0" w:type="dxa"/>
            <w:right w:w="0" w:type="dxa"/>
          </w:tblCellMar>
        </w:tblPrEx>
        <w:trPr>
          <w:trHeight w:val="550" w:hRule="atLeast"/>
          <w:jc w:val="center"/>
        </w:trPr>
        <w:tc>
          <w:tcPr>
            <w:tcW w:w="86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74F0123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w:t>
            </w:r>
          </w:p>
        </w:tc>
        <w:tc>
          <w:tcPr>
            <w:tcW w:w="1708" w:type="dxa"/>
            <w:vMerge w:val="restart"/>
            <w:tcBorders>
              <w:top w:val="single" w:color="auto" w:sz="4" w:space="0"/>
              <w:left w:val="single" w:color="auto" w:sz="4" w:space="0"/>
              <w:right w:val="single" w:color="auto" w:sz="4" w:space="0"/>
            </w:tcBorders>
            <w:noWrap/>
            <w:tcMar>
              <w:top w:w="15" w:type="dxa"/>
              <w:left w:w="15" w:type="dxa"/>
              <w:right w:w="15" w:type="dxa"/>
            </w:tcMar>
            <w:vAlign w:val="center"/>
          </w:tcPr>
          <w:p w14:paraId="230E5DBE">
            <w:pPr>
              <w:ind w:right="31" w:rightChars="13"/>
              <w:jc w:val="center"/>
              <w:rPr>
                <w:rFonts w:hint="eastAsia" w:ascii="宋体" w:hAnsi="宋体" w:eastAsia="宋体" w:cs="宋体"/>
                <w:color w:val="auto"/>
                <w:sz w:val="21"/>
                <w:szCs w:val="21"/>
                <w:highlight w:val="none"/>
              </w:rPr>
            </w:pPr>
          </w:p>
          <w:p w14:paraId="723B19D5">
            <w:pPr>
              <w:ind w:right="31" w:rightChars="13"/>
              <w:jc w:val="center"/>
              <w:rPr>
                <w:rFonts w:hint="eastAsia" w:ascii="宋体" w:hAnsi="宋体" w:eastAsia="宋体" w:cs="宋体"/>
                <w:color w:val="auto"/>
                <w:sz w:val="21"/>
                <w:szCs w:val="21"/>
                <w:highlight w:val="none"/>
              </w:rPr>
            </w:pPr>
          </w:p>
          <w:p w14:paraId="71EBBAD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固定站配置二</w:t>
            </w:r>
          </w:p>
          <w:p w14:paraId="02E6AB3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（14站）</w:t>
            </w:r>
          </w:p>
          <w:p w14:paraId="2C50243F">
            <w:pPr>
              <w:ind w:right="31" w:rightChars="13"/>
              <w:jc w:val="center"/>
              <w:rPr>
                <w:rFonts w:hint="eastAsia" w:ascii="宋体" w:hAnsi="宋体" w:eastAsia="宋体" w:cs="宋体"/>
                <w:color w:val="auto"/>
                <w:sz w:val="21"/>
                <w:szCs w:val="21"/>
                <w:highlight w:val="none"/>
              </w:rPr>
            </w:pPr>
          </w:p>
          <w:p w14:paraId="352E7908">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3140C54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泾河口堤防交通桥水质自动监测站</w:t>
            </w:r>
          </w:p>
        </w:tc>
        <w:tc>
          <w:tcPr>
            <w:tcW w:w="80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574A0B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w:t>
            </w:r>
          </w:p>
        </w:tc>
        <w:tc>
          <w:tcPr>
            <w:tcW w:w="15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6377FF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高陵区</w:t>
            </w:r>
          </w:p>
        </w:tc>
        <w:tc>
          <w:tcPr>
            <w:tcW w:w="543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14:paraId="0D14F6A9">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auto" w:sz="4" w:space="0"/>
              <w:left w:val="single" w:color="000000" w:sz="4" w:space="0"/>
              <w:bottom w:val="single" w:color="auto" w:sz="4" w:space="0"/>
              <w:right w:val="single" w:color="auto" w:sz="4" w:space="0"/>
            </w:tcBorders>
            <w:shd w:val="clear" w:color="auto" w:fill="auto"/>
            <w:noWrap/>
            <w:tcMar>
              <w:top w:w="15" w:type="dxa"/>
              <w:left w:w="15" w:type="dxa"/>
              <w:right w:w="15" w:type="dxa"/>
            </w:tcMar>
            <w:vAlign w:val="center"/>
          </w:tcPr>
          <w:p w14:paraId="6811E2C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38383FF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14CC7351">
        <w:tblPrEx>
          <w:tblCellMar>
            <w:top w:w="0" w:type="dxa"/>
            <w:left w:w="0" w:type="dxa"/>
            <w:bottom w:w="0" w:type="dxa"/>
            <w:right w:w="0" w:type="dxa"/>
          </w:tblCellMar>
        </w:tblPrEx>
        <w:trPr>
          <w:trHeight w:val="811" w:hRule="atLeast"/>
          <w:jc w:val="center"/>
        </w:trPr>
        <w:tc>
          <w:tcPr>
            <w:tcW w:w="860" w:type="dxa"/>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682F371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5FABC71F">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06185FC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涝河保西村水质自动监测站</w:t>
            </w:r>
          </w:p>
        </w:tc>
        <w:tc>
          <w:tcPr>
            <w:tcW w:w="808" w:type="dxa"/>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14:paraId="4091A2B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涝河</w:t>
            </w:r>
          </w:p>
        </w:tc>
        <w:tc>
          <w:tcPr>
            <w:tcW w:w="15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1F1F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鄠邑区</w:t>
            </w:r>
          </w:p>
        </w:tc>
        <w:tc>
          <w:tcPr>
            <w:tcW w:w="543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72AA2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F54BE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1E92592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716AC6ED">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6CE0FD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389EE8EA">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02AD957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黑河入渭水质自动监测站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5162C3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黑河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A939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周至县</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5E4E3F">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E91C9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4AFA4DA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72EBA41E">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BE3D43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29</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0A1C08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57B69DD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新河通勤东路水质自动监测站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007498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新河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E23D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西咸新区沣西新城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C1EE75">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6985F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381B064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需送水</w:t>
            </w:r>
          </w:p>
        </w:tc>
      </w:tr>
      <w:tr w14:paraId="6107206E">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D71C3B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06CF5CCC">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3117A45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皂河闫家桥水质自动监测站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6052D4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784D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经开区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810383">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AA07F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37C88618">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274A40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15744D87">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2D39197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太平河水质自动监测站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C4189E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太平河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58FE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西咸新区沣东新城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B960C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461D8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4C1AF44E">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FD76B9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2EC7E69A">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47C455C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漕运明渠水质自动监测站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6ACC27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漕运明渠</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73EB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经开区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DAE4F4">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A6DFA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660A9D97">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5A33B0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0686BD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0F8AF21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浐河浐灞大道水质自动监测站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B2A9C8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BE95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浐灞区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269C10">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C02BB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3BB70F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96AC86D">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85AB37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971ED87">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6242D68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石砭峪水质自动监测站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F9760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石砭峪河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CA2D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604DD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BC006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43B98B36">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568D59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81A9809">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6F9AEAA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临河船王村水质自动监测站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5600B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临河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8CF3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临潼区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BB1AF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F125D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4508AE9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3A95F4B9">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66639A2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202EE7A2">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36D59E3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渭河上林桥水质自动监测站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80299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渭河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9241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西咸新区秦汉新城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6C5AF0">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1BCCB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953ABC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6433B0F8">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55B2C8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598A317">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58AD8B5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渭河横桥水质自动监测站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5CC901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渭河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24F0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西咸新区秦汉新城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5B1C84">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E5B60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12A0EEE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31586140">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E59173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2360A1CE">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E6C00B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石川河营仁村水质自动监测站</w:t>
            </w:r>
          </w:p>
        </w:tc>
        <w:tc>
          <w:tcPr>
            <w:tcW w:w="808" w:type="dxa"/>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5EA0E5A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石川河</w:t>
            </w:r>
          </w:p>
        </w:tc>
        <w:tc>
          <w:tcPr>
            <w:tcW w:w="152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74524D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临潼区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0599E1">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26A7F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47F06CE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709019BB">
        <w:tblPrEx>
          <w:tblCellMar>
            <w:top w:w="0" w:type="dxa"/>
            <w:left w:w="0" w:type="dxa"/>
            <w:bottom w:w="0" w:type="dxa"/>
            <w:right w:w="0" w:type="dxa"/>
          </w:tblCellMar>
        </w:tblPrEx>
        <w:trPr>
          <w:trHeight w:val="814"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AED352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5988497A">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39920D4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沣河王家村水质自动监测站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6825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E4E3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CDC30C">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COD、氨氮、总磷、氟化物、高锰酸盐指数、常规五参数等运行和维护。包括试剂，仪器管路，易耗零配件以及站房维护等。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58FE3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28BED6A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4717798">
        <w:tblPrEx>
          <w:tblCellMar>
            <w:top w:w="0" w:type="dxa"/>
            <w:left w:w="0" w:type="dxa"/>
            <w:bottom w:w="0" w:type="dxa"/>
            <w:right w:w="0" w:type="dxa"/>
          </w:tblCellMar>
        </w:tblPrEx>
        <w:trPr>
          <w:trHeight w:val="1078" w:hRule="atLeast"/>
          <w:jc w:val="center"/>
        </w:trPr>
        <w:tc>
          <w:tcPr>
            <w:tcW w:w="860" w:type="dxa"/>
            <w:tcBorders>
              <w:top w:val="single" w:color="000000" w:sz="4" w:space="0"/>
              <w:left w:val="single" w:color="000000" w:sz="4" w:space="0"/>
              <w:bottom w:val="single" w:color="auto" w:sz="4" w:space="0"/>
              <w:right w:val="single" w:color="auto" w:sz="4" w:space="0"/>
            </w:tcBorders>
            <w:noWrap/>
            <w:tcMar>
              <w:top w:w="15" w:type="dxa"/>
              <w:left w:w="15" w:type="dxa"/>
              <w:right w:w="15" w:type="dxa"/>
            </w:tcMar>
            <w:vAlign w:val="center"/>
          </w:tcPr>
          <w:p w14:paraId="3E7D332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170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7E016F3C">
            <w:pPr>
              <w:ind w:right="31" w:rightChars="13"/>
              <w:jc w:val="center"/>
              <w:rPr>
                <w:rFonts w:hint="eastAsia" w:ascii="宋体" w:hAnsi="宋体" w:eastAsia="宋体" w:cs="宋体"/>
                <w:color w:val="auto"/>
                <w:sz w:val="21"/>
                <w:szCs w:val="21"/>
                <w:highlight w:val="none"/>
              </w:rPr>
            </w:pPr>
          </w:p>
          <w:p w14:paraId="720C395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固定站配置三</w:t>
            </w:r>
          </w:p>
          <w:p w14:paraId="4A62F58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（1站）</w:t>
            </w:r>
          </w:p>
          <w:p w14:paraId="1A7AD7C3">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7ABAA52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黑河艾蒿坪水质自动监测站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13C7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黑河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F72E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周至县</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4C3A3E">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2C957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58204D8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2077CE7F">
        <w:tblPrEx>
          <w:tblCellMar>
            <w:top w:w="0" w:type="dxa"/>
            <w:left w:w="0" w:type="dxa"/>
            <w:bottom w:w="0" w:type="dxa"/>
            <w:right w:w="0" w:type="dxa"/>
          </w:tblCellMar>
        </w:tblPrEx>
        <w:trPr>
          <w:trHeight w:val="550" w:hRule="atLeast"/>
          <w:jc w:val="center"/>
        </w:trPr>
        <w:tc>
          <w:tcPr>
            <w:tcW w:w="860" w:type="dxa"/>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407BDC3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w:t>
            </w:r>
          </w:p>
        </w:tc>
        <w:tc>
          <w:tcPr>
            <w:tcW w:w="1708" w:type="dxa"/>
            <w:vMerge w:val="restart"/>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36CBB19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浮标站配置</w:t>
            </w:r>
          </w:p>
          <w:p w14:paraId="6A32A33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（3站）</w:t>
            </w:r>
          </w:p>
          <w:p w14:paraId="58E42636">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2445C0E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昆明池水质自动监测站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DCF5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昆明池</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C7C3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西咸新区沣东新城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B085A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UVCOD、铵根离子、叶绿素a、蓝绿藻、五参数等运行和维护。包括试剂、仪器管路、易耗零配件以及浮标维护等。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8346D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04F8E01D">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0F6EA8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w:t>
            </w:r>
          </w:p>
        </w:tc>
        <w:tc>
          <w:tcPr>
            <w:tcW w:w="1708"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5D562CEE">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2DF26BE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渼陂湖水质自动监测站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B386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渼陂湖</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FEE3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鄠邑区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433AEC">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UVCOD、铵根离子、叶绿素a、蓝绿藻、五参数等运行和维护。包括试剂、仪器管路、易耗零配件以及浮标维护等。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B053A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6506D46A">
        <w:tblPrEx>
          <w:tblCellMar>
            <w:top w:w="0" w:type="dxa"/>
            <w:left w:w="0" w:type="dxa"/>
            <w:bottom w:w="0" w:type="dxa"/>
            <w:right w:w="0" w:type="dxa"/>
          </w:tblCellMar>
        </w:tblPrEx>
        <w:trPr>
          <w:trHeight w:val="776" w:hRule="atLeast"/>
          <w:jc w:val="center"/>
        </w:trPr>
        <w:tc>
          <w:tcPr>
            <w:tcW w:w="860" w:type="dxa"/>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14:paraId="17B1336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w:t>
            </w:r>
          </w:p>
        </w:tc>
        <w:tc>
          <w:tcPr>
            <w:tcW w:w="1708" w:type="dxa"/>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AC26EA0">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6DF048F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汉城湖水质自动监测站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92D4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汉城湖</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3573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经开区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C0A38B">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UVCOD、氨氮、五参数等运行和维护。包括试剂、仪器管路、易耗零配件以及浮标维护等。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C7ED4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bl>
    <w:p w14:paraId="408F0040">
      <w:pPr>
        <w:spacing w:line="360" w:lineRule="auto"/>
        <w:rPr>
          <w:rFonts w:hint="eastAsia" w:ascii="宋体" w:hAnsi="宋体" w:eastAsia="宋体" w:cs="宋体"/>
          <w:b/>
          <w:color w:val="auto"/>
          <w:szCs w:val="21"/>
          <w:highlight w:val="none"/>
        </w:rPr>
        <w:sectPr>
          <w:headerReference r:id="rId4" w:type="default"/>
          <w:footerReference r:id="rId5" w:type="default"/>
          <w:pgSz w:w="16840" w:h="11907" w:orient="landscape"/>
          <w:pgMar w:top="1247" w:right="1247" w:bottom="1213" w:left="1247" w:header="851" w:footer="822" w:gutter="0"/>
          <w:pgNumType w:fmt="decimal"/>
          <w:cols w:space="720" w:num="1"/>
          <w:docGrid w:linePitch="312" w:charSpace="0"/>
        </w:sectPr>
      </w:pPr>
    </w:p>
    <w:p w14:paraId="635A3F3E">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2.2项目所需的主要备品备件（原厂）如下所示：</w:t>
      </w:r>
    </w:p>
    <w:tbl>
      <w:tblPr>
        <w:tblStyle w:val="7"/>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7"/>
        <w:gridCol w:w="5437"/>
        <w:gridCol w:w="1945"/>
      </w:tblGrid>
      <w:tr w14:paraId="7FD0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597" w:type="dxa"/>
            <w:vAlign w:val="center"/>
          </w:tcPr>
          <w:p w14:paraId="33E7D65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仪器名称</w:t>
            </w:r>
          </w:p>
        </w:tc>
        <w:tc>
          <w:tcPr>
            <w:tcW w:w="5437" w:type="dxa"/>
            <w:vAlign w:val="center"/>
          </w:tcPr>
          <w:p w14:paraId="044D45B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备品备件（包括但不限于以下内容）</w:t>
            </w:r>
          </w:p>
        </w:tc>
        <w:tc>
          <w:tcPr>
            <w:tcW w:w="1945" w:type="dxa"/>
            <w:vAlign w:val="center"/>
          </w:tcPr>
          <w:p w14:paraId="37D069F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4710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2597" w:type="dxa"/>
            <w:vAlign w:val="center"/>
          </w:tcPr>
          <w:p w14:paraId="35715E2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化学需氧量</w:t>
            </w:r>
          </w:p>
          <w:p w14:paraId="2AC98BD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在线自动监测仪</w:t>
            </w:r>
          </w:p>
        </w:tc>
        <w:tc>
          <w:tcPr>
            <w:tcW w:w="5437" w:type="dxa"/>
            <w:vAlign w:val="center"/>
          </w:tcPr>
          <w:p w14:paraId="48E01671">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进液软管、排液软管、密封圈、垫圈、试剂、标准溶液、活塞等。</w:t>
            </w:r>
          </w:p>
        </w:tc>
        <w:tc>
          <w:tcPr>
            <w:tcW w:w="1945" w:type="dxa"/>
            <w:vMerge w:val="restart"/>
            <w:vAlign w:val="center"/>
          </w:tcPr>
          <w:p w14:paraId="0D7E7907">
            <w:pPr>
              <w:spacing w:before="156" w:beforeLines="50" w:after="156" w:afterLines="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运维过程中设备维护所需的备品备件均为原厂备件，所需费用已计入运维费用，运维单位应在投标文件中提供详细备品备件清单。此表以哈希设备为例列表，具体备品备件情况以站点设备配备为准。</w:t>
            </w:r>
          </w:p>
        </w:tc>
      </w:tr>
      <w:tr w14:paraId="386A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2597" w:type="dxa"/>
            <w:vAlign w:val="center"/>
          </w:tcPr>
          <w:p w14:paraId="40C676F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氨氮在线自动监测仪</w:t>
            </w:r>
          </w:p>
        </w:tc>
        <w:tc>
          <w:tcPr>
            <w:tcW w:w="5437" w:type="dxa"/>
            <w:vAlign w:val="center"/>
          </w:tcPr>
          <w:p w14:paraId="23167695">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进液软管、排液软管、试剂、标准溶液、清洗液、电解液、膜帽、泵顶活塞等。</w:t>
            </w:r>
          </w:p>
        </w:tc>
        <w:tc>
          <w:tcPr>
            <w:tcW w:w="1945" w:type="dxa"/>
            <w:vMerge w:val="continue"/>
            <w:vAlign w:val="center"/>
          </w:tcPr>
          <w:p w14:paraId="57459AA6">
            <w:pPr>
              <w:spacing w:before="156" w:beforeLines="50" w:after="156" w:afterLines="50"/>
              <w:jc w:val="center"/>
              <w:rPr>
                <w:rFonts w:hint="eastAsia" w:ascii="宋体" w:hAnsi="宋体" w:eastAsia="宋体" w:cs="宋体"/>
                <w:color w:val="auto"/>
                <w:szCs w:val="24"/>
                <w:highlight w:val="none"/>
              </w:rPr>
            </w:pPr>
          </w:p>
        </w:tc>
      </w:tr>
      <w:tr w14:paraId="5D7E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2597" w:type="dxa"/>
            <w:vAlign w:val="center"/>
          </w:tcPr>
          <w:p w14:paraId="02C001E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总磷在线自动监测仪</w:t>
            </w:r>
          </w:p>
        </w:tc>
        <w:tc>
          <w:tcPr>
            <w:tcW w:w="5437" w:type="dxa"/>
            <w:vAlign w:val="center"/>
          </w:tcPr>
          <w:p w14:paraId="674FACA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试剂、标准溶液、样品计量软管、排液计量软管、安全阀密封、消解池O型密封圈、活塞导承、软管接头、试剂计量软管、阀门软管、滤板、聚四氟乙烯活塞、泵壳。</w:t>
            </w:r>
          </w:p>
        </w:tc>
        <w:tc>
          <w:tcPr>
            <w:tcW w:w="1945" w:type="dxa"/>
            <w:vMerge w:val="continue"/>
            <w:vAlign w:val="center"/>
          </w:tcPr>
          <w:p w14:paraId="15B22E46">
            <w:pPr>
              <w:spacing w:before="156" w:beforeLines="50" w:after="156" w:afterLines="50"/>
              <w:jc w:val="center"/>
              <w:rPr>
                <w:rFonts w:hint="eastAsia" w:ascii="宋体" w:hAnsi="宋体" w:eastAsia="宋体" w:cs="宋体"/>
                <w:color w:val="auto"/>
                <w:szCs w:val="24"/>
                <w:highlight w:val="none"/>
              </w:rPr>
            </w:pPr>
          </w:p>
        </w:tc>
      </w:tr>
      <w:tr w14:paraId="5957B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2597" w:type="dxa"/>
            <w:vAlign w:val="center"/>
          </w:tcPr>
          <w:p w14:paraId="72AE0A8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高锰酸盐指数在线自动监测仪</w:t>
            </w:r>
          </w:p>
        </w:tc>
        <w:tc>
          <w:tcPr>
            <w:tcW w:w="5437" w:type="dxa"/>
            <w:vAlign w:val="center"/>
          </w:tcPr>
          <w:p w14:paraId="64E94E2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试剂、活性炭过滤器碳棒、夹管阀软管、反应槽溢流管、外部废液槽废液软管、计量器O型圈、反应槽铂电极和电极衬垫、反应槽连接管组件、反应槽和搅拌器组件、反应槽盖和衬垫、加热槽加热油、加热槽衬垫、气泵隔板、簧片阀、参比电极、气泵、电磁阀等。</w:t>
            </w:r>
          </w:p>
        </w:tc>
        <w:tc>
          <w:tcPr>
            <w:tcW w:w="1945" w:type="dxa"/>
            <w:vMerge w:val="continue"/>
            <w:vAlign w:val="center"/>
          </w:tcPr>
          <w:p w14:paraId="735AC4F4">
            <w:pPr>
              <w:spacing w:before="156" w:beforeLines="50" w:after="156" w:afterLines="50"/>
              <w:jc w:val="center"/>
              <w:rPr>
                <w:rFonts w:hint="eastAsia" w:ascii="宋体" w:hAnsi="宋体" w:eastAsia="宋体" w:cs="宋体"/>
                <w:color w:val="auto"/>
                <w:szCs w:val="24"/>
                <w:highlight w:val="none"/>
              </w:rPr>
            </w:pPr>
          </w:p>
        </w:tc>
      </w:tr>
      <w:tr w14:paraId="37DB4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597" w:type="dxa"/>
            <w:vAlign w:val="center"/>
          </w:tcPr>
          <w:p w14:paraId="32561CC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常规五参数</w:t>
            </w:r>
          </w:p>
          <w:p w14:paraId="423FEBB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电极</w:t>
            </w:r>
          </w:p>
        </w:tc>
        <w:tc>
          <w:tcPr>
            <w:tcW w:w="5437" w:type="dxa"/>
            <w:vAlign w:val="center"/>
          </w:tcPr>
          <w:p w14:paraId="594EF6E5">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盐桥、标准池溶液、缓冲溶液、刮水器、密封圈等。</w:t>
            </w:r>
          </w:p>
        </w:tc>
        <w:tc>
          <w:tcPr>
            <w:tcW w:w="1945" w:type="dxa"/>
            <w:vMerge w:val="continue"/>
            <w:vAlign w:val="center"/>
          </w:tcPr>
          <w:p w14:paraId="55452924">
            <w:pPr>
              <w:spacing w:before="156" w:beforeLines="50" w:after="156" w:afterLines="50"/>
              <w:jc w:val="center"/>
              <w:rPr>
                <w:rFonts w:hint="eastAsia" w:ascii="宋体" w:hAnsi="宋体" w:eastAsia="宋体" w:cs="宋体"/>
                <w:color w:val="auto"/>
                <w:szCs w:val="24"/>
                <w:highlight w:val="none"/>
              </w:rPr>
            </w:pPr>
          </w:p>
        </w:tc>
      </w:tr>
      <w:tr w14:paraId="1F24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597" w:type="dxa"/>
            <w:vAlign w:val="center"/>
          </w:tcPr>
          <w:p w14:paraId="2EDDC0E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UVAS sc COD（光法）电极</w:t>
            </w:r>
          </w:p>
        </w:tc>
        <w:tc>
          <w:tcPr>
            <w:tcW w:w="5437" w:type="dxa"/>
            <w:vAlign w:val="center"/>
          </w:tcPr>
          <w:p w14:paraId="40C4F806">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擦拭器套件、O型垫圈流通单元、验证滤光片、旁路配件、探头的旁路面板等。</w:t>
            </w:r>
          </w:p>
        </w:tc>
        <w:tc>
          <w:tcPr>
            <w:tcW w:w="1945" w:type="dxa"/>
            <w:vMerge w:val="continue"/>
            <w:vAlign w:val="center"/>
          </w:tcPr>
          <w:p w14:paraId="16F43F45">
            <w:pPr>
              <w:spacing w:before="156" w:beforeLines="50" w:after="156" w:afterLines="50"/>
              <w:jc w:val="center"/>
              <w:rPr>
                <w:rFonts w:hint="eastAsia" w:ascii="宋体" w:hAnsi="宋体" w:eastAsia="宋体" w:cs="宋体"/>
                <w:color w:val="auto"/>
                <w:szCs w:val="24"/>
                <w:highlight w:val="none"/>
              </w:rPr>
            </w:pPr>
          </w:p>
        </w:tc>
      </w:tr>
      <w:tr w14:paraId="13965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2597" w:type="dxa"/>
            <w:vAlign w:val="center"/>
          </w:tcPr>
          <w:p w14:paraId="1244167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Hydrolab多参数电极</w:t>
            </w:r>
          </w:p>
        </w:tc>
        <w:tc>
          <w:tcPr>
            <w:tcW w:w="5437" w:type="dxa"/>
            <w:vAlign w:val="center"/>
          </w:tcPr>
          <w:p w14:paraId="50C082D9">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D.O膜、D.O电解液、pH参比电解液、氯化钾小球（99%KCl）等。</w:t>
            </w:r>
          </w:p>
        </w:tc>
        <w:tc>
          <w:tcPr>
            <w:tcW w:w="1945" w:type="dxa"/>
            <w:vMerge w:val="continue"/>
            <w:vAlign w:val="center"/>
          </w:tcPr>
          <w:p w14:paraId="23763C49">
            <w:pPr>
              <w:spacing w:before="156" w:beforeLines="50" w:after="156" w:afterLines="50"/>
              <w:jc w:val="center"/>
              <w:rPr>
                <w:rFonts w:hint="eastAsia" w:ascii="宋体" w:hAnsi="宋体" w:eastAsia="宋体" w:cs="宋体"/>
                <w:color w:val="auto"/>
                <w:szCs w:val="24"/>
                <w:highlight w:val="none"/>
              </w:rPr>
            </w:pPr>
          </w:p>
        </w:tc>
      </w:tr>
    </w:tbl>
    <w:p w14:paraId="262F41D4">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2.3 人员及财产保护</w:t>
      </w:r>
    </w:p>
    <w:p w14:paraId="3C4F272A">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委托运行维护及管理的全部资产（包括全部产权和建筑物、设备及配套设施）属采购人所有。更换前后的设备资产也属于采购人所有。未经采购人同意，运维单位不得以任何方式对各类财产进行出售、抵押或转移；同时，在委托运行及管理期间，运维单位有责任保证上述全部资产的完整、安全并处于良好状态，运维单位可根据站点分布及安全保障情况购买财产保险（含第三方责任险），避免出现因自然灾害、被盗、人为破坏等原因造成的资产流失。发生水站资产丢失、破坏等情况，全部责任由运维单位承担，运维单位须尽快复原并恢复运行。运维单位须协助采购人做好水站固定资产登记管理工作。运维单位必须为所有参与本项目运维的人员购买能覆盖此次运维周期的人身意外保险，制定并执行运维相关的安全措施，确保不发生意外，若发生运维安全事故，全部责任由运维单位承担。</w:t>
      </w:r>
    </w:p>
    <w:p w14:paraId="7783D653">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3.运行维护要求</w:t>
      </w:r>
    </w:p>
    <w:p w14:paraId="6FF9249A">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在运行维护及管理期间，运维单位必须遵守国家的有关法律、法规及其他规定，本着为采购人负责的精神，依照规范，科学管理，确保维护的各监测站点运行达到国家及行业颁布的技术标准和采购人要求的考核指标要求，真正发挥水质在线自动监测效能和作用。</w:t>
      </w:r>
    </w:p>
    <w:p w14:paraId="405A12CB">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  运行维护工作基本要求</w:t>
      </w:r>
    </w:p>
    <w:p w14:paraId="753BC1D1">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3.1.1</w:t>
      </w:r>
      <w:r>
        <w:rPr>
          <w:rFonts w:hint="eastAsia" w:ascii="宋体" w:hAnsi="宋体" w:eastAsia="宋体" w:cs="宋体"/>
          <w:b w:val="0"/>
          <w:bCs w:val="0"/>
          <w:color w:val="auto"/>
          <w:sz w:val="24"/>
          <w:szCs w:val="24"/>
          <w:highlight w:val="none"/>
          <w:lang w:val="en-US" w:eastAsia="zh-CN"/>
        </w:rPr>
        <w:t xml:space="preserve"> 地表水质自动监测系统的运行维护工作应严格按照标准化程序执行，同时应满足以下要求： </w:t>
      </w:r>
    </w:p>
    <w:p w14:paraId="582E2448">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3.1.1.1监测设备和辅助设施</w:t>
      </w:r>
    </w:p>
    <w:p w14:paraId="11125002">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负责运维的监测设备和辅助设施主要包括：采水设备、预处理配水设备、监测仪器仪表、质控设备、数据采集与传输设备、辅助设备与防雷系统等部分。其中：</w:t>
      </w:r>
    </w:p>
    <w:p w14:paraId="0E38F7E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1)</w:t>
      </w:r>
      <w:r>
        <w:rPr>
          <w:rFonts w:hint="eastAsia" w:ascii="宋体" w:hAnsi="宋体" w:eastAsia="宋体" w:cs="宋体"/>
          <w:b w:val="0"/>
          <w:bCs w:val="0"/>
          <w:color w:val="auto"/>
          <w:sz w:val="24"/>
          <w:szCs w:val="24"/>
          <w:highlight w:val="none"/>
          <w:lang w:val="en-US" w:eastAsia="zh-CN"/>
        </w:rPr>
        <w:t>采水设备包括：采样泵、输水管路、电源线路；</w:t>
      </w:r>
    </w:p>
    <w:p w14:paraId="68D7F46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2)</w:t>
      </w:r>
      <w:r>
        <w:rPr>
          <w:rFonts w:hint="eastAsia" w:ascii="宋体" w:hAnsi="宋体" w:eastAsia="宋体" w:cs="宋体"/>
          <w:b w:val="0"/>
          <w:bCs w:val="0"/>
          <w:color w:val="auto"/>
          <w:sz w:val="24"/>
          <w:szCs w:val="24"/>
          <w:highlight w:val="none"/>
          <w:lang w:val="en-US" w:eastAsia="zh-CN"/>
        </w:rPr>
        <w:t>预处理配水系统包括：配水泵，除藻设备，沉砂池，增压泵等配水集成管路；</w:t>
      </w:r>
    </w:p>
    <w:p w14:paraId="419618D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3)</w:t>
      </w:r>
      <w:r>
        <w:rPr>
          <w:rFonts w:hint="eastAsia" w:ascii="宋体" w:hAnsi="宋体" w:eastAsia="宋体" w:cs="宋体"/>
          <w:b w:val="0"/>
          <w:bCs w:val="0"/>
          <w:color w:val="auto"/>
          <w:sz w:val="24"/>
          <w:szCs w:val="24"/>
          <w:highlight w:val="none"/>
          <w:lang w:val="en-US" w:eastAsia="zh-CN"/>
        </w:rPr>
        <w:t>监测仪器包括：五参数（pH、溶解氧、水温、电导率、浊度）、化学需氧量、高锰酸盐指数、氨氮、总磷等指标分析仪（根据各站现场监测要求而定）；</w:t>
      </w:r>
    </w:p>
    <w:p w14:paraId="118112F6">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4)</w:t>
      </w:r>
      <w:r>
        <w:rPr>
          <w:rFonts w:hint="eastAsia" w:ascii="宋体" w:hAnsi="宋体" w:eastAsia="宋体" w:cs="宋体"/>
          <w:b w:val="0"/>
          <w:bCs w:val="0"/>
          <w:color w:val="auto"/>
          <w:sz w:val="24"/>
          <w:szCs w:val="24"/>
          <w:highlight w:val="none"/>
          <w:lang w:val="en-US" w:eastAsia="zh-CN"/>
        </w:rPr>
        <w:t>质控设备包括：质控校准设备、标准设备、量值检定器具、专用工具等；</w:t>
      </w:r>
    </w:p>
    <w:p w14:paraId="32F792BB">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5)</w:t>
      </w:r>
      <w:r>
        <w:rPr>
          <w:rFonts w:hint="eastAsia" w:ascii="宋体" w:hAnsi="宋体" w:eastAsia="宋体" w:cs="宋体"/>
          <w:b w:val="0"/>
          <w:bCs w:val="0"/>
          <w:color w:val="auto"/>
          <w:sz w:val="24"/>
          <w:szCs w:val="24"/>
          <w:highlight w:val="none"/>
          <w:lang w:val="en-US" w:eastAsia="zh-CN"/>
        </w:rPr>
        <w:t>数据采集和传输设备包括：数据传输软件、工控机、传输模块、传输网络；</w:t>
      </w:r>
    </w:p>
    <w:p w14:paraId="4DF55E2A">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6)</w:t>
      </w:r>
      <w:r>
        <w:rPr>
          <w:rFonts w:hint="eastAsia" w:ascii="宋体" w:hAnsi="宋体" w:eastAsia="宋体" w:cs="宋体"/>
          <w:b w:val="0"/>
          <w:bCs w:val="0"/>
          <w:color w:val="auto"/>
          <w:sz w:val="24"/>
          <w:szCs w:val="24"/>
          <w:highlight w:val="none"/>
          <w:lang w:val="en-US" w:eastAsia="zh-CN"/>
        </w:rPr>
        <w:t>辅助设备与防雷系统包括：自来水、空调、简易实验设备、供电系统、视频监控系统、子站站房、防雷系统、安防设施等。</w:t>
      </w:r>
    </w:p>
    <w:p w14:paraId="18E41C02">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3.1.1.2监测频次及数据传输</w:t>
      </w:r>
    </w:p>
    <w:p w14:paraId="7CA23EC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监测工作方式为24小时不间断连续自动监测（其中标准站4小时/次，浮标站1小时/次），本项目采用4M MSTP专线组网（少部分无法铺设的站点辅助以中国移动APN无线方式组网）向西安市智慧环保指挥平台按周期（其中标准站4小时/次，浮标站1小时/次）上传监测数据，相关网络费用由运维单位承担。</w:t>
      </w:r>
    </w:p>
    <w:p w14:paraId="1DD96B6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3.1.2</w:t>
      </w:r>
      <w:r>
        <w:rPr>
          <w:rFonts w:hint="eastAsia" w:ascii="宋体" w:hAnsi="宋体" w:eastAsia="宋体" w:cs="宋体"/>
          <w:b w:val="0"/>
          <w:bCs w:val="0"/>
          <w:color w:val="auto"/>
          <w:sz w:val="24"/>
          <w:szCs w:val="24"/>
          <w:highlight w:val="none"/>
          <w:lang w:val="en-US" w:eastAsia="zh-CN"/>
        </w:rPr>
        <w:t xml:space="preserve"> 运维单位应参考《国家地表水自动监测站运行管理办法》和《陕西省水质自动监测站第三方运维工作规范与考核办法（试行）》的要求并结合本项目实际情况建立水站完善的运行维护工作规范与质量管理体系，确保提供及时、准确、有效的监测数据。运行质量应达到以下指标： </w:t>
      </w:r>
    </w:p>
    <w:p w14:paraId="3225C1B1">
      <w:pPr>
        <w:pStyle w:val="10"/>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所获取的各项指标的有效监测数据须满足《地表水水质自动监测站（常规五参数、</w:t>
      </w:r>
      <w:r>
        <w:rPr>
          <w:rFonts w:hint="eastAsia" w:ascii="宋体" w:hAnsi="宋体" w:eastAsia="宋体" w:cs="宋体"/>
          <w:b w:val="0"/>
          <w:bCs w:val="0"/>
          <w:color w:val="auto"/>
          <w:sz w:val="24"/>
          <w:szCs w:val="24"/>
          <w:highlight w:val="none"/>
          <w:lang w:val="en-US" w:eastAsia="zh-CN"/>
        </w:rPr>
        <w:t>CODMn、NH3⁃N、TP、TN）运行维护技术规范（HJ915.3-2024》、《地表水水质自动监测站运行维护技术要求（试行）》、《HJ/T 354-2007水污染源在线监测系统验收技术规范》中规定的污染物浓度数据有效性最低要求；</w:t>
      </w:r>
    </w:p>
    <w:p w14:paraId="53825BF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数据有效率达到90%以上（因洪水等不可抗拒因素导致水站无法采水运行时，停运时间不参与数据有效率计算）；          </w:t>
      </w:r>
    </w:p>
    <w:p w14:paraId="00C6FE7A">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1) 数据有效率计算如下：（应获取数据-无效数据）/应获取数据*100%； </w:t>
      </w:r>
    </w:p>
    <w:p w14:paraId="097FF6F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2) 因洪水造成采水设施损坏等原因导致的停站的缺失数据不纳入应获取数据； </w:t>
      </w:r>
    </w:p>
    <w:p w14:paraId="09DBCF42">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 因断流或水位过低、地震、暴雨等不可抗力因素停站或无法维护导致的无效数据不纳入应获取数据。</w:t>
      </w:r>
    </w:p>
    <w:p w14:paraId="0C8A3B53">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注：数据有效性审核由运维单位进行初审，采购人指定专人进行复审。数据有效性审核参照《地表水自动监测数据审核技术要求》。 </w:t>
      </w:r>
    </w:p>
    <w:p w14:paraId="7A16A4E5">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数据内部质控合格率达到80%以上；运维任务完成率达到100%；异常情况处理率达到100%。</w:t>
      </w:r>
    </w:p>
    <w:p w14:paraId="23CBCF2F">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3.2  对运维单位的要求</w:t>
      </w:r>
    </w:p>
    <w:p w14:paraId="345EC3A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3.2.1 运维单位应该与水质自动监测仪器制造商或授权代理商建立良好的合作关系，具备完善的系统配件和仪表配件供应渠道。</w:t>
      </w:r>
    </w:p>
    <w:p w14:paraId="6E96C28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3.2.2 在水站运行维护及管理期间，运维单位应严格按照采购人制订或确认的操作规范和规章制度，对所管理的系统及仪器设备进行规范操作和精心维护及必要维修，保证系统及仪器设备的正常运行，达到采购人提出的系统及仪器设备考核指标要求。运维单位必须接受采购人代表的定期或不定期检查和考核。</w:t>
      </w:r>
    </w:p>
    <w:p w14:paraId="7855A478">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3.2.3 无论何时，运维单位都应承担监测数据的保密责任；运维单位按照采购人的要求，进行报告和传输有关的监测数据，均不得向外界传递任何监测数据。</w:t>
      </w:r>
    </w:p>
    <w:p w14:paraId="7B5A9CF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3.2.4 无论何时，运维单位无权将采购人的任何资产进行对外投资、合作、经济担保及资产抵押。</w:t>
      </w:r>
    </w:p>
    <w:p w14:paraId="3A791423">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  对运维单位提供服务的要求</w:t>
      </w:r>
    </w:p>
    <w:p w14:paraId="3931A1CD">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3.3.1站房</w:t>
      </w:r>
    </w:p>
    <w:p w14:paraId="1C9A9B05">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保证站房内空调设施运行正常，仪器运行温度保持在25℃左右，站房内温度日波动范围小于3℃，相对湿度保持在80%RH以下，定期进行全面养护；每年需通过具有资质的专业机构对灭火器、防雷设施进行检定、维护或更换。</w:t>
      </w:r>
    </w:p>
    <w:p w14:paraId="65EEEB43">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3.3.2人员配备要求</w:t>
      </w:r>
    </w:p>
    <w:p w14:paraId="02F612C1">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运维单位应保证配备的运维技术人员数量与其负责日常维护的站点数量比值不低于1/2。</w:t>
      </w:r>
    </w:p>
    <w:p w14:paraId="77DEDDD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运行维护单位投入本项目的现场站点运维人员须取得省级及以上相关部门颁发的水站自动监测培训合格证。</w:t>
      </w:r>
    </w:p>
    <w:p w14:paraId="53861831">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3.3.3 采配水单元</w:t>
      </w:r>
    </w:p>
    <w:p w14:paraId="241E050E">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每周对供水、配水管路进行维护性的检查、每月至少清洗一次，必要时应适当增加清洗次数；按期请专业人员检查水泵等采水设施使用情况，视具体情况进行维修和更换。</w:t>
      </w:r>
    </w:p>
    <w:p w14:paraId="2035C0D6">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3.3.4 分析单元</w:t>
      </w:r>
    </w:p>
    <w:p w14:paraId="2F43CF60">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应依据断面水质状况、水站环境条件和分析仪器的要求制定易耗品的更换周期，做到定期更换；对使用期限有规定的易耗品应严格按使用规定期限定期进行更换；定期清洗和更换仪器进样管；建立零配件库，根据不同零配件和易耗件的更换周期，提前备货；</w:t>
      </w:r>
    </w:p>
    <w:p w14:paraId="427554F3">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试剂更换：</w:t>
      </w:r>
    </w:p>
    <w:p w14:paraId="4AAA6FC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水站仪器所用试剂的更换周期应根据试剂稳定性和保质期确定，室/舱内温度较高时应缩短更换周期，试剂的更换周期原则上不得超过30天；试剂更换后，应进行一次自动监测仪器的校准和标液核查；试剂更换后应记录试剂更换日期，并给出下次试剂更换日期；根据试剂消耗量及下次更换日期，及时准备试剂。</w:t>
      </w:r>
    </w:p>
    <w:p w14:paraId="7AF32810">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保养检修：</w:t>
      </w:r>
    </w:p>
    <w:p w14:paraId="6FAC655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水站的监测仪器设备每年至少进行1次检修；按维护手册的要求，根据使用寿命，更换监测仪器中的光源、电极、泵、阀、传感器等关键零部件；对仪器光路、液路、电路板和各种接头及插座等进行检查和清洁处理；根据废液产生量及时进行妥善处理。</w:t>
      </w:r>
    </w:p>
    <w:p w14:paraId="1351EBC5">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3.3.5 控制单元及通讯单元</w:t>
      </w:r>
    </w:p>
    <w:p w14:paraId="2DF83098">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季度强制切断电源复位工控机查看是否可以自动启动，并运行操作系统、加载现场监控软件，查看串口通讯是否正常；每季度对网络通讯设备进行断电重启，查看启动后是否通讯正常；每月检查开机过程中硬件自检过程是否有异常数据传输和报警；禁止在工控机安装除工作软件以外的任何第三方软件，否则以涉嫌数据作假论处。</w:t>
      </w:r>
    </w:p>
    <w:p w14:paraId="56BCB1C7">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3.3.6 辅助单元</w:t>
      </w:r>
    </w:p>
    <w:p w14:paraId="24BC630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月检查稳压电源及UPS的输出是否符合技术要求，异常情况须及时排查处理；每月至少检查一次空气压缩机气泵和清水增压泵的工作状况，并对空气过滤器进行放水；每周检查并清洗自动留样器取样头滤网，检查采样泵、采样分配单元、低温冷藏模块等的工作状况是否正常，采样瓶是否干净、无破损；按厂家提供的使用和维修手册规定的要求，根据使用寿命，更换自动留样器中的泵、阀、传感器等关键零部件；每月检查摄像头是否破损，视频设备功能是否正常，包括摄像机、视频存储、云台控制等。</w:t>
      </w:r>
    </w:p>
    <w:p w14:paraId="452E0CBF">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3.3.7 浮标站辅助单元</w:t>
      </w:r>
    </w:p>
    <w:p w14:paraId="592BA2A5">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每月检查蓄电池工作状态，必要时采用外接电源或发电机进行充电；每周检查舱室漏水报警设备工作状态；每周检查救生圈充气状态。</w:t>
      </w:r>
    </w:p>
    <w:p w14:paraId="2D6BEE2B">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3.3.8 其它</w:t>
      </w:r>
    </w:p>
    <w:p w14:paraId="72C330C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数据备份：每月对监测数据进行一次备份，备份数据单独存储；长时间停机：当分析仪需要停机48小时或更长时间时，关闭分析仪器和进样阀，关闭电源；用纯水清洗分析仪器的蠕动泵以及试剂管路，清洗检测池并排空；再次运行时仪器须重新校准。</w:t>
      </w:r>
    </w:p>
    <w:p w14:paraId="0121B710">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  对运维单位的装备要求</w:t>
      </w:r>
    </w:p>
    <w:p w14:paraId="6C7D447F">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3.4.1 备机配置要求（国家标准10备1），建议5套</w:t>
      </w:r>
    </w:p>
    <w:p w14:paraId="5015F5F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运维单位须配置不少于5套备机满足运维需求，在仪表发生故障不能在短期内维修恢复时可使用运维单位自备的备用机替代工作（需严格调试、校准后使用）。</w:t>
      </w:r>
    </w:p>
    <w:p w14:paraId="69E3C570">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3.4.2 运维单位应配备所需的质控器具及专用工具。</w:t>
      </w:r>
    </w:p>
    <w:p w14:paraId="7087882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质控器具是保证标准物质准确可靠和监测仪器校准质量的重要手段，应由多种质控校准设备、标准设备、量值检定器具组成。质控器具的检定应由运维单位质控中心负责（送省级检定部门付费检定并获取检定报告），确保所使用质控器具均在检定有效期内。</w:t>
      </w:r>
    </w:p>
    <w:p w14:paraId="518929F9">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专用工具为运维工程师、技术支持工程师等现场作业人员日常巡检、解决设备故障及站房设施故障的必备器具，包括便携式电脑、万用表、远程数据查询系统，各种硬件接口线、改线工具、接口调试软件及常用零部件等。</w:t>
      </w:r>
    </w:p>
    <w:p w14:paraId="75804152">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3.5  对运维单位的运行管理要求</w:t>
      </w:r>
    </w:p>
    <w:p w14:paraId="2942538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3.5.1 运行维护管理期内，运维单位应确保有效数据捕捉率≥90%（除去停电，性能测试及其他不可抗力因素引起的故障）。</w:t>
      </w:r>
    </w:p>
    <w:p w14:paraId="2DD78E93">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3.5.2 运维单位需负责水站的日常运行工作，负责每日从平台中查看并监控水站的运行状态与数据情况，一旦发现问题立即响应并到现场处理。</w:t>
      </w:r>
    </w:p>
    <w:p w14:paraId="063C3ABB">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3.5.3 系统出现故障时，运维单位应在4小时内立刻响应，对于采配水系统引起的故障应在8小时内解决，由于泵、阀等易耗件引起的故障应在24小时内解决；对于其它不易诊断和检修的故障或48小时内无法排除的仪器故障，应采用备用仪器替代发生故障的仪器，将发生故障的仪器配件送实验室或仪器厂商进行检查和维修。</w:t>
      </w:r>
    </w:p>
    <w:p w14:paraId="3CED0FA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3.5.4 运维单位应提供完整的水站运行管理实施方案。</w:t>
      </w:r>
    </w:p>
    <w:p w14:paraId="53A736E6">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 技术规格要求</w:t>
      </w:r>
    </w:p>
    <w:p w14:paraId="523BB4A1">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 例行维护要求</w:t>
      </w:r>
    </w:p>
    <w:p w14:paraId="21AFEB06">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例行维护包括站房环境检查、仪器与系统检查、易损件更换、耗材更换、试剂更换、管路清洗等工作。运维单位应每周至少巡检水站1次，记录巡检情况。每次对水站巡检时进行下列工作：</w:t>
      </w:r>
    </w:p>
    <w:p w14:paraId="22561A91">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检查各台分析仪器及辅助设备的运行状态和主要技术参数，判断运行是否正常；检查仪器供电、过程温度、搅拌电机、传感器、电极以及工作时序等是否正常，检查有无漏液、管路里是否有气泡等；</w:t>
      </w:r>
    </w:p>
    <w:p w14:paraId="020FB4A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根据仪器运行情况、断面水质状况和水站环境条件制定易耗品和消耗品（如泵管、接头、密封件等）的更换周期，并保证在耗材使用到期前完成更换；如果需要更换零配件（如电极等），应备有库存保证及时更换；</w:t>
      </w:r>
    </w:p>
    <w:p w14:paraId="0C7ABA16">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试剂状况，定期更换试剂。所用纯水和试剂须达到相关技术要求，更换周期不得超过操作规程或仪器说明规定的试剂保质期，室内温度较高时应缩短更换周期。每次更换主要试剂后应按相应操作规程或仪器说明重新校准仪器；</w:t>
      </w:r>
    </w:p>
    <w:p w14:paraId="7BAAE06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检查上传数据与现场数据的一致性；检查工控机运行状态，有无中毒现象，每月至少备份一次现场数据及控制软件；检查仪器与系统控制单元通讯线路是否正常，传输的数据偏差是否符合要求；</w:t>
      </w:r>
    </w:p>
    <w:p w14:paraId="17BD542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及时整理站房及仪器，完成废液收集并按相关规定要求做好处理处置工作；保持水站站房及各仪器干净整洁，及时关闭门窗，避免日光直射各类分析仪器；</w:t>
      </w:r>
    </w:p>
    <w:p w14:paraId="65CD18A9">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检查采水系统、配水系统是否正常，如采水浮筒固定情况，自吸泵运行情况等；定期清洗采配水系统，包括采水头、吊桶、泵体、沉砂池、过滤头、样水杯、阀门、相关管路等，对于无法清洗干净的应及时更换；</w:t>
      </w:r>
    </w:p>
    <w:p w14:paraId="40C10FF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检查水站电路系统是否正常，接地线路是否可靠，检查采样和排液管路是否有漏液或堵塞现象，排水排气装置工作是否正常；</w:t>
      </w:r>
    </w:p>
    <w:p w14:paraId="64CC43DA">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检查站房空调及保温措施，保持温度稳定；检查水泵及空压机固定情况，避免仪器震动；</w:t>
      </w:r>
    </w:p>
    <w:p w14:paraId="4025116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检查空压机、不间断电源（UPS）、除藻装置、纯水机等辅助设施运行状态，及时更换耗材，并排空空压机积水；</w:t>
      </w:r>
    </w:p>
    <w:p w14:paraId="114357A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每半年至少进行一次仪器性能核查（包括准确度、精密度、检出限、标准曲线等），每月至少进行一次仪器校准，做好记录；</w:t>
      </w:r>
    </w:p>
    <w:p w14:paraId="2D8FB77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站房周围的杂草和积水应及时清除，检查防雷设施是否可靠，站房是否有漏雨现象，站房外的其他设施是否有损坏或被水淹，如遇到以上问题应及时处理，保证系统安全运行。在封冻期来临前做好采水管路和站房保温等维护工作；</w:t>
      </w:r>
    </w:p>
    <w:p w14:paraId="6BBA06D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做好日常例行维护工作记录，重要的工作内容拍照存档；</w:t>
      </w:r>
    </w:p>
    <w:p w14:paraId="54BE50D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其他水站相关辅助设施的维护、保养和维修。</w:t>
      </w:r>
    </w:p>
    <w:p w14:paraId="165B14F6">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  定期养护要求</w:t>
      </w:r>
    </w:p>
    <w:p w14:paraId="312658E0">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运维单位对水站的定期养护项目及最低频次不得低于下表要求。</w:t>
      </w:r>
    </w:p>
    <w:p w14:paraId="7F3FD987">
      <w:pPr>
        <w:pStyle w:val="11"/>
        <w:ind w:firstLine="562"/>
        <w:jc w:val="center"/>
        <w:rPr>
          <w:rFonts w:hint="eastAsia" w:ascii="宋体" w:hAnsi="宋体" w:eastAsia="宋体" w:cs="宋体"/>
          <w:b/>
          <w:color w:val="auto"/>
          <w:sz w:val="24"/>
          <w:szCs w:val="24"/>
          <w:highlight w:val="none"/>
        </w:rPr>
      </w:pPr>
      <w:r>
        <w:rPr>
          <w:rFonts w:hint="eastAsia" w:ascii="宋体" w:hAnsi="宋体" w:eastAsia="宋体" w:cs="宋体"/>
          <w:b/>
          <w:color w:val="auto"/>
          <w:sz w:val="28"/>
          <w:highlight w:val="none"/>
        </w:rPr>
        <w:br w:type="page"/>
      </w:r>
      <w:r>
        <w:rPr>
          <w:rFonts w:hint="eastAsia" w:ascii="宋体" w:hAnsi="宋体" w:eastAsia="宋体" w:cs="宋体"/>
          <w:b/>
          <w:bCs/>
          <w:color w:val="auto"/>
          <w:sz w:val="24"/>
          <w:szCs w:val="24"/>
          <w:highlight w:val="none"/>
          <w:lang w:val="en-US" w:eastAsia="zh-CN"/>
        </w:rPr>
        <w:t>表1 定期养护内容及频次要求</w:t>
      </w:r>
    </w:p>
    <w:tbl>
      <w:tblPr>
        <w:tblStyle w:val="7"/>
        <w:tblW w:w="9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282"/>
        <w:gridCol w:w="517"/>
        <w:gridCol w:w="492"/>
        <w:gridCol w:w="742"/>
        <w:gridCol w:w="770"/>
        <w:gridCol w:w="492"/>
        <w:gridCol w:w="2397"/>
      </w:tblGrid>
      <w:tr w14:paraId="6AA9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766" w:type="dxa"/>
            <w:gridSpan w:val="2"/>
            <w:vAlign w:val="center"/>
          </w:tcPr>
          <w:p w14:paraId="243852F8">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工作内容</w:t>
            </w:r>
          </w:p>
        </w:tc>
        <w:tc>
          <w:tcPr>
            <w:tcW w:w="517" w:type="dxa"/>
            <w:vAlign w:val="center"/>
          </w:tcPr>
          <w:p w14:paraId="6C4D8E68">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周</w:t>
            </w:r>
          </w:p>
        </w:tc>
        <w:tc>
          <w:tcPr>
            <w:tcW w:w="492" w:type="dxa"/>
            <w:vAlign w:val="center"/>
          </w:tcPr>
          <w:p w14:paraId="3BD94C3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月</w:t>
            </w:r>
          </w:p>
        </w:tc>
        <w:tc>
          <w:tcPr>
            <w:tcW w:w="742" w:type="dxa"/>
            <w:vAlign w:val="center"/>
          </w:tcPr>
          <w:p w14:paraId="498E4333">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季度</w:t>
            </w:r>
          </w:p>
        </w:tc>
        <w:tc>
          <w:tcPr>
            <w:tcW w:w="770" w:type="dxa"/>
            <w:vAlign w:val="center"/>
          </w:tcPr>
          <w:p w14:paraId="3B53DE6D">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半年</w:t>
            </w:r>
          </w:p>
        </w:tc>
        <w:tc>
          <w:tcPr>
            <w:tcW w:w="492" w:type="dxa"/>
            <w:vAlign w:val="center"/>
          </w:tcPr>
          <w:p w14:paraId="4DD9C510">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年</w:t>
            </w:r>
          </w:p>
        </w:tc>
        <w:tc>
          <w:tcPr>
            <w:tcW w:w="2397" w:type="dxa"/>
            <w:vAlign w:val="center"/>
          </w:tcPr>
          <w:p w14:paraId="641FD8B1">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18C28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484" w:type="dxa"/>
            <w:vMerge w:val="restart"/>
            <w:vAlign w:val="center"/>
          </w:tcPr>
          <w:p w14:paraId="4459FC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站房</w:t>
            </w:r>
          </w:p>
        </w:tc>
        <w:tc>
          <w:tcPr>
            <w:tcW w:w="2282" w:type="dxa"/>
            <w:vAlign w:val="center"/>
          </w:tcPr>
          <w:p w14:paraId="777EC4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消防设施更换</w:t>
            </w:r>
          </w:p>
        </w:tc>
        <w:tc>
          <w:tcPr>
            <w:tcW w:w="517" w:type="dxa"/>
            <w:vAlign w:val="center"/>
          </w:tcPr>
          <w:p w14:paraId="0E500F22">
            <w:pPr>
              <w:jc w:val="center"/>
              <w:rPr>
                <w:rFonts w:hint="eastAsia" w:ascii="宋体" w:hAnsi="宋体" w:eastAsia="宋体" w:cs="宋体"/>
                <w:color w:val="auto"/>
                <w:sz w:val="21"/>
                <w:szCs w:val="21"/>
                <w:highlight w:val="none"/>
              </w:rPr>
            </w:pPr>
          </w:p>
        </w:tc>
        <w:tc>
          <w:tcPr>
            <w:tcW w:w="492" w:type="dxa"/>
            <w:vAlign w:val="center"/>
          </w:tcPr>
          <w:p w14:paraId="6A81A4A7">
            <w:pPr>
              <w:jc w:val="center"/>
              <w:rPr>
                <w:rFonts w:hint="eastAsia" w:ascii="宋体" w:hAnsi="宋体" w:eastAsia="宋体" w:cs="宋体"/>
                <w:color w:val="auto"/>
                <w:sz w:val="21"/>
                <w:szCs w:val="21"/>
                <w:highlight w:val="none"/>
              </w:rPr>
            </w:pPr>
          </w:p>
        </w:tc>
        <w:tc>
          <w:tcPr>
            <w:tcW w:w="742" w:type="dxa"/>
            <w:vAlign w:val="center"/>
          </w:tcPr>
          <w:p w14:paraId="346E9D15">
            <w:pPr>
              <w:jc w:val="center"/>
              <w:rPr>
                <w:rFonts w:hint="eastAsia" w:ascii="宋体" w:hAnsi="宋体" w:eastAsia="宋体" w:cs="宋体"/>
                <w:color w:val="auto"/>
                <w:sz w:val="21"/>
                <w:szCs w:val="21"/>
                <w:highlight w:val="none"/>
              </w:rPr>
            </w:pPr>
          </w:p>
        </w:tc>
        <w:tc>
          <w:tcPr>
            <w:tcW w:w="770" w:type="dxa"/>
            <w:vAlign w:val="center"/>
          </w:tcPr>
          <w:p w14:paraId="3DF27858">
            <w:pPr>
              <w:jc w:val="center"/>
              <w:rPr>
                <w:rFonts w:hint="eastAsia" w:ascii="宋体" w:hAnsi="宋体" w:eastAsia="宋体" w:cs="宋体"/>
                <w:color w:val="auto"/>
                <w:sz w:val="21"/>
                <w:szCs w:val="21"/>
                <w:highlight w:val="none"/>
              </w:rPr>
            </w:pPr>
          </w:p>
        </w:tc>
        <w:tc>
          <w:tcPr>
            <w:tcW w:w="492" w:type="dxa"/>
            <w:vAlign w:val="center"/>
          </w:tcPr>
          <w:p w14:paraId="6DF51BF9">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2397" w:type="dxa"/>
            <w:vAlign w:val="center"/>
          </w:tcPr>
          <w:p w14:paraId="502BAF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可根据设备</w:t>
            </w:r>
          </w:p>
          <w:p w14:paraId="5259F4F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有效期执行</w:t>
            </w:r>
          </w:p>
        </w:tc>
      </w:tr>
      <w:tr w14:paraId="4EB3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2AA01476">
            <w:pPr>
              <w:jc w:val="center"/>
              <w:rPr>
                <w:rFonts w:hint="eastAsia" w:ascii="宋体" w:hAnsi="宋体" w:eastAsia="宋体" w:cs="宋体"/>
                <w:color w:val="auto"/>
                <w:sz w:val="21"/>
                <w:szCs w:val="21"/>
                <w:highlight w:val="none"/>
              </w:rPr>
            </w:pPr>
          </w:p>
        </w:tc>
        <w:tc>
          <w:tcPr>
            <w:tcW w:w="2282" w:type="dxa"/>
            <w:vAlign w:val="center"/>
          </w:tcPr>
          <w:p w14:paraId="2337806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防雷检定（年检）</w:t>
            </w:r>
          </w:p>
        </w:tc>
        <w:tc>
          <w:tcPr>
            <w:tcW w:w="517" w:type="dxa"/>
            <w:vAlign w:val="center"/>
          </w:tcPr>
          <w:p w14:paraId="12F8AF29">
            <w:pPr>
              <w:jc w:val="center"/>
              <w:rPr>
                <w:rFonts w:hint="eastAsia" w:ascii="宋体" w:hAnsi="宋体" w:eastAsia="宋体" w:cs="宋体"/>
                <w:color w:val="auto"/>
                <w:sz w:val="21"/>
                <w:szCs w:val="21"/>
                <w:highlight w:val="none"/>
              </w:rPr>
            </w:pPr>
          </w:p>
        </w:tc>
        <w:tc>
          <w:tcPr>
            <w:tcW w:w="492" w:type="dxa"/>
            <w:vAlign w:val="center"/>
          </w:tcPr>
          <w:p w14:paraId="3EF0B2C8">
            <w:pPr>
              <w:jc w:val="center"/>
              <w:rPr>
                <w:rFonts w:hint="eastAsia" w:ascii="宋体" w:hAnsi="宋体" w:eastAsia="宋体" w:cs="宋体"/>
                <w:color w:val="auto"/>
                <w:sz w:val="21"/>
                <w:szCs w:val="21"/>
                <w:highlight w:val="none"/>
              </w:rPr>
            </w:pPr>
          </w:p>
        </w:tc>
        <w:tc>
          <w:tcPr>
            <w:tcW w:w="742" w:type="dxa"/>
            <w:vAlign w:val="center"/>
          </w:tcPr>
          <w:p w14:paraId="62FA3589">
            <w:pPr>
              <w:jc w:val="center"/>
              <w:rPr>
                <w:rFonts w:hint="eastAsia" w:ascii="宋体" w:hAnsi="宋体" w:eastAsia="宋体" w:cs="宋体"/>
                <w:color w:val="auto"/>
                <w:sz w:val="21"/>
                <w:szCs w:val="21"/>
                <w:highlight w:val="none"/>
              </w:rPr>
            </w:pPr>
          </w:p>
        </w:tc>
        <w:tc>
          <w:tcPr>
            <w:tcW w:w="770" w:type="dxa"/>
            <w:vAlign w:val="center"/>
          </w:tcPr>
          <w:p w14:paraId="7E1FF5F7">
            <w:pPr>
              <w:jc w:val="center"/>
              <w:rPr>
                <w:rFonts w:hint="eastAsia" w:ascii="宋体" w:hAnsi="宋体" w:eastAsia="宋体" w:cs="宋体"/>
                <w:color w:val="auto"/>
                <w:sz w:val="21"/>
                <w:szCs w:val="21"/>
                <w:highlight w:val="none"/>
              </w:rPr>
            </w:pPr>
          </w:p>
        </w:tc>
        <w:tc>
          <w:tcPr>
            <w:tcW w:w="492" w:type="dxa"/>
            <w:vAlign w:val="center"/>
          </w:tcPr>
          <w:p w14:paraId="0217A95C">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2397" w:type="dxa"/>
            <w:vAlign w:val="center"/>
          </w:tcPr>
          <w:p w14:paraId="1DC415D0">
            <w:pPr>
              <w:jc w:val="center"/>
              <w:rPr>
                <w:rFonts w:hint="eastAsia" w:ascii="宋体" w:hAnsi="宋体" w:eastAsia="宋体" w:cs="宋体"/>
                <w:color w:val="auto"/>
                <w:sz w:val="21"/>
                <w:szCs w:val="21"/>
                <w:highlight w:val="none"/>
              </w:rPr>
            </w:pPr>
          </w:p>
        </w:tc>
      </w:tr>
      <w:tr w14:paraId="27A7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41729AE2">
            <w:pPr>
              <w:jc w:val="center"/>
              <w:rPr>
                <w:rFonts w:hint="eastAsia" w:ascii="宋体" w:hAnsi="宋体" w:eastAsia="宋体" w:cs="宋体"/>
                <w:color w:val="auto"/>
                <w:sz w:val="21"/>
                <w:szCs w:val="21"/>
                <w:highlight w:val="none"/>
              </w:rPr>
            </w:pPr>
          </w:p>
        </w:tc>
        <w:tc>
          <w:tcPr>
            <w:tcW w:w="2282" w:type="dxa"/>
            <w:vAlign w:val="center"/>
          </w:tcPr>
          <w:p w14:paraId="4A9980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空调维护</w:t>
            </w:r>
          </w:p>
        </w:tc>
        <w:tc>
          <w:tcPr>
            <w:tcW w:w="517" w:type="dxa"/>
            <w:vAlign w:val="center"/>
          </w:tcPr>
          <w:p w14:paraId="7A180998">
            <w:pPr>
              <w:jc w:val="center"/>
              <w:rPr>
                <w:rFonts w:hint="eastAsia" w:ascii="宋体" w:hAnsi="宋体" w:eastAsia="宋体" w:cs="宋体"/>
                <w:color w:val="auto"/>
                <w:sz w:val="21"/>
                <w:szCs w:val="21"/>
                <w:highlight w:val="none"/>
              </w:rPr>
            </w:pPr>
          </w:p>
        </w:tc>
        <w:tc>
          <w:tcPr>
            <w:tcW w:w="492" w:type="dxa"/>
            <w:vAlign w:val="center"/>
          </w:tcPr>
          <w:p w14:paraId="4A9107EF">
            <w:pPr>
              <w:jc w:val="center"/>
              <w:rPr>
                <w:rFonts w:hint="eastAsia" w:ascii="宋体" w:hAnsi="宋体" w:eastAsia="宋体" w:cs="宋体"/>
                <w:color w:val="auto"/>
                <w:sz w:val="21"/>
                <w:szCs w:val="21"/>
                <w:highlight w:val="none"/>
              </w:rPr>
            </w:pPr>
          </w:p>
        </w:tc>
        <w:tc>
          <w:tcPr>
            <w:tcW w:w="742" w:type="dxa"/>
            <w:vAlign w:val="center"/>
          </w:tcPr>
          <w:p w14:paraId="793DC4E4">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70" w:type="dxa"/>
            <w:vAlign w:val="center"/>
          </w:tcPr>
          <w:p w14:paraId="77606054">
            <w:pPr>
              <w:jc w:val="center"/>
              <w:rPr>
                <w:rFonts w:hint="eastAsia" w:ascii="宋体" w:hAnsi="宋体" w:eastAsia="宋体" w:cs="宋体"/>
                <w:color w:val="auto"/>
                <w:sz w:val="21"/>
                <w:szCs w:val="21"/>
                <w:highlight w:val="none"/>
              </w:rPr>
            </w:pPr>
          </w:p>
        </w:tc>
        <w:tc>
          <w:tcPr>
            <w:tcW w:w="492" w:type="dxa"/>
            <w:vAlign w:val="center"/>
          </w:tcPr>
          <w:p w14:paraId="7BCA29C5">
            <w:pPr>
              <w:jc w:val="center"/>
              <w:rPr>
                <w:rFonts w:hint="eastAsia" w:ascii="宋体" w:hAnsi="宋体" w:eastAsia="宋体" w:cs="宋体"/>
                <w:color w:val="auto"/>
                <w:sz w:val="21"/>
                <w:szCs w:val="21"/>
                <w:highlight w:val="none"/>
              </w:rPr>
            </w:pPr>
          </w:p>
        </w:tc>
        <w:tc>
          <w:tcPr>
            <w:tcW w:w="2397" w:type="dxa"/>
            <w:vAlign w:val="center"/>
          </w:tcPr>
          <w:p w14:paraId="69A785F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浮标站除外</w:t>
            </w:r>
          </w:p>
        </w:tc>
      </w:tr>
      <w:tr w14:paraId="2618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14C5F9AF">
            <w:pPr>
              <w:jc w:val="center"/>
              <w:rPr>
                <w:rFonts w:hint="eastAsia" w:ascii="宋体" w:hAnsi="宋体" w:eastAsia="宋体" w:cs="宋体"/>
                <w:color w:val="auto"/>
                <w:sz w:val="21"/>
                <w:szCs w:val="21"/>
                <w:highlight w:val="none"/>
              </w:rPr>
            </w:pPr>
          </w:p>
        </w:tc>
        <w:tc>
          <w:tcPr>
            <w:tcW w:w="2282" w:type="dxa"/>
            <w:vAlign w:val="center"/>
          </w:tcPr>
          <w:p w14:paraId="3903E9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浮标体清洗</w:t>
            </w:r>
          </w:p>
        </w:tc>
        <w:tc>
          <w:tcPr>
            <w:tcW w:w="517" w:type="dxa"/>
            <w:vAlign w:val="center"/>
          </w:tcPr>
          <w:p w14:paraId="260645C2">
            <w:pPr>
              <w:jc w:val="center"/>
              <w:rPr>
                <w:rFonts w:hint="eastAsia" w:ascii="宋体" w:hAnsi="宋体" w:eastAsia="宋体" w:cs="宋体"/>
                <w:color w:val="auto"/>
                <w:sz w:val="21"/>
                <w:szCs w:val="21"/>
                <w:highlight w:val="none"/>
              </w:rPr>
            </w:pPr>
          </w:p>
        </w:tc>
        <w:tc>
          <w:tcPr>
            <w:tcW w:w="492" w:type="dxa"/>
            <w:vAlign w:val="center"/>
          </w:tcPr>
          <w:p w14:paraId="385872E8">
            <w:pPr>
              <w:jc w:val="center"/>
              <w:rPr>
                <w:rFonts w:hint="eastAsia" w:ascii="宋体" w:hAnsi="宋体" w:eastAsia="宋体" w:cs="宋体"/>
                <w:color w:val="auto"/>
                <w:sz w:val="21"/>
                <w:szCs w:val="21"/>
                <w:highlight w:val="none"/>
              </w:rPr>
            </w:pPr>
          </w:p>
        </w:tc>
        <w:tc>
          <w:tcPr>
            <w:tcW w:w="742" w:type="dxa"/>
            <w:vAlign w:val="center"/>
          </w:tcPr>
          <w:p w14:paraId="2BAE23FE">
            <w:pPr>
              <w:jc w:val="center"/>
              <w:rPr>
                <w:rFonts w:hint="eastAsia" w:ascii="宋体" w:hAnsi="宋体" w:eastAsia="宋体" w:cs="宋体"/>
                <w:color w:val="auto"/>
                <w:sz w:val="21"/>
                <w:szCs w:val="21"/>
                <w:highlight w:val="none"/>
              </w:rPr>
            </w:pPr>
          </w:p>
        </w:tc>
        <w:tc>
          <w:tcPr>
            <w:tcW w:w="770" w:type="dxa"/>
            <w:vAlign w:val="center"/>
          </w:tcPr>
          <w:p w14:paraId="50FFBD42">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6C40A6B7">
            <w:pPr>
              <w:jc w:val="center"/>
              <w:rPr>
                <w:rFonts w:hint="eastAsia" w:ascii="宋体" w:hAnsi="宋体" w:eastAsia="宋体" w:cs="宋体"/>
                <w:color w:val="auto"/>
                <w:sz w:val="21"/>
                <w:szCs w:val="21"/>
                <w:highlight w:val="none"/>
              </w:rPr>
            </w:pPr>
          </w:p>
        </w:tc>
        <w:tc>
          <w:tcPr>
            <w:tcW w:w="2397" w:type="dxa"/>
            <w:vAlign w:val="center"/>
          </w:tcPr>
          <w:p w14:paraId="43E6DC37">
            <w:pPr>
              <w:jc w:val="center"/>
              <w:rPr>
                <w:rFonts w:hint="eastAsia" w:ascii="宋体" w:hAnsi="宋体" w:eastAsia="宋体" w:cs="宋体"/>
                <w:color w:val="auto"/>
                <w:sz w:val="21"/>
                <w:szCs w:val="21"/>
                <w:highlight w:val="none"/>
              </w:rPr>
            </w:pPr>
          </w:p>
        </w:tc>
      </w:tr>
      <w:tr w14:paraId="4ED4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restart"/>
            <w:vAlign w:val="center"/>
          </w:tcPr>
          <w:p w14:paraId="3356322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采配水单元</w:t>
            </w:r>
          </w:p>
        </w:tc>
        <w:tc>
          <w:tcPr>
            <w:tcW w:w="2282" w:type="dxa"/>
            <w:vAlign w:val="center"/>
          </w:tcPr>
          <w:p w14:paraId="5F0E89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潜水泵清洗</w:t>
            </w:r>
          </w:p>
        </w:tc>
        <w:tc>
          <w:tcPr>
            <w:tcW w:w="517" w:type="dxa"/>
            <w:vAlign w:val="center"/>
          </w:tcPr>
          <w:p w14:paraId="1E6BCE84">
            <w:pPr>
              <w:jc w:val="center"/>
              <w:rPr>
                <w:rFonts w:hint="eastAsia" w:ascii="宋体" w:hAnsi="宋体" w:eastAsia="宋体" w:cs="宋体"/>
                <w:color w:val="auto"/>
                <w:sz w:val="21"/>
                <w:szCs w:val="21"/>
                <w:highlight w:val="none"/>
              </w:rPr>
            </w:pPr>
          </w:p>
        </w:tc>
        <w:tc>
          <w:tcPr>
            <w:tcW w:w="492" w:type="dxa"/>
            <w:vAlign w:val="center"/>
          </w:tcPr>
          <w:p w14:paraId="1BD00479">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58964952">
            <w:pPr>
              <w:jc w:val="center"/>
              <w:rPr>
                <w:rFonts w:hint="eastAsia" w:ascii="宋体" w:hAnsi="宋体" w:eastAsia="宋体" w:cs="宋体"/>
                <w:color w:val="auto"/>
                <w:sz w:val="21"/>
                <w:szCs w:val="21"/>
                <w:highlight w:val="none"/>
              </w:rPr>
            </w:pPr>
          </w:p>
        </w:tc>
        <w:tc>
          <w:tcPr>
            <w:tcW w:w="770" w:type="dxa"/>
            <w:vAlign w:val="center"/>
          </w:tcPr>
          <w:p w14:paraId="5A857465">
            <w:pPr>
              <w:jc w:val="center"/>
              <w:rPr>
                <w:rFonts w:hint="eastAsia" w:ascii="宋体" w:hAnsi="宋体" w:eastAsia="宋体" w:cs="宋体"/>
                <w:color w:val="auto"/>
                <w:sz w:val="21"/>
                <w:szCs w:val="21"/>
                <w:highlight w:val="none"/>
              </w:rPr>
            </w:pPr>
          </w:p>
        </w:tc>
        <w:tc>
          <w:tcPr>
            <w:tcW w:w="492" w:type="dxa"/>
            <w:vAlign w:val="center"/>
          </w:tcPr>
          <w:p w14:paraId="26EA30E5">
            <w:pPr>
              <w:jc w:val="center"/>
              <w:rPr>
                <w:rFonts w:hint="eastAsia" w:ascii="宋体" w:hAnsi="宋体" w:eastAsia="宋体" w:cs="宋体"/>
                <w:color w:val="auto"/>
                <w:sz w:val="21"/>
                <w:szCs w:val="21"/>
                <w:highlight w:val="none"/>
              </w:rPr>
            </w:pPr>
          </w:p>
        </w:tc>
        <w:tc>
          <w:tcPr>
            <w:tcW w:w="2397" w:type="dxa"/>
            <w:vAlign w:val="center"/>
          </w:tcPr>
          <w:p w14:paraId="7361C85F">
            <w:pPr>
              <w:jc w:val="center"/>
              <w:rPr>
                <w:rFonts w:hint="eastAsia" w:ascii="宋体" w:hAnsi="宋体" w:eastAsia="宋体" w:cs="宋体"/>
                <w:color w:val="auto"/>
                <w:sz w:val="21"/>
                <w:szCs w:val="21"/>
                <w:highlight w:val="none"/>
              </w:rPr>
            </w:pPr>
          </w:p>
        </w:tc>
      </w:tr>
      <w:tr w14:paraId="5719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2C24DD50">
            <w:pPr>
              <w:jc w:val="center"/>
              <w:rPr>
                <w:rFonts w:hint="eastAsia" w:ascii="宋体" w:hAnsi="宋体" w:eastAsia="宋体" w:cs="宋体"/>
                <w:color w:val="auto"/>
                <w:sz w:val="21"/>
                <w:szCs w:val="21"/>
                <w:highlight w:val="none"/>
              </w:rPr>
            </w:pPr>
          </w:p>
        </w:tc>
        <w:tc>
          <w:tcPr>
            <w:tcW w:w="2282" w:type="dxa"/>
            <w:vAlign w:val="center"/>
          </w:tcPr>
          <w:p w14:paraId="29625A7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采水辅助设施检查</w:t>
            </w:r>
          </w:p>
        </w:tc>
        <w:tc>
          <w:tcPr>
            <w:tcW w:w="517" w:type="dxa"/>
            <w:vAlign w:val="center"/>
          </w:tcPr>
          <w:p w14:paraId="16112343">
            <w:pPr>
              <w:jc w:val="center"/>
              <w:rPr>
                <w:rFonts w:hint="eastAsia" w:ascii="宋体" w:hAnsi="宋体" w:eastAsia="宋体" w:cs="宋体"/>
                <w:color w:val="auto"/>
                <w:sz w:val="21"/>
                <w:szCs w:val="21"/>
                <w:highlight w:val="none"/>
              </w:rPr>
            </w:pPr>
          </w:p>
        </w:tc>
        <w:tc>
          <w:tcPr>
            <w:tcW w:w="492" w:type="dxa"/>
            <w:vAlign w:val="center"/>
          </w:tcPr>
          <w:p w14:paraId="75B03E97">
            <w:pPr>
              <w:jc w:val="center"/>
              <w:rPr>
                <w:rFonts w:hint="eastAsia" w:ascii="宋体" w:hAnsi="宋体" w:eastAsia="宋体" w:cs="宋体"/>
                <w:color w:val="auto"/>
                <w:sz w:val="21"/>
                <w:szCs w:val="21"/>
                <w:highlight w:val="none"/>
              </w:rPr>
            </w:pPr>
          </w:p>
        </w:tc>
        <w:tc>
          <w:tcPr>
            <w:tcW w:w="742" w:type="dxa"/>
            <w:vAlign w:val="center"/>
          </w:tcPr>
          <w:p w14:paraId="78FFF75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70" w:type="dxa"/>
            <w:vAlign w:val="center"/>
          </w:tcPr>
          <w:p w14:paraId="525329FE">
            <w:pPr>
              <w:jc w:val="center"/>
              <w:rPr>
                <w:rFonts w:hint="eastAsia" w:ascii="宋体" w:hAnsi="宋体" w:eastAsia="宋体" w:cs="宋体"/>
                <w:color w:val="auto"/>
                <w:sz w:val="21"/>
                <w:szCs w:val="21"/>
                <w:highlight w:val="none"/>
              </w:rPr>
            </w:pPr>
          </w:p>
        </w:tc>
        <w:tc>
          <w:tcPr>
            <w:tcW w:w="492" w:type="dxa"/>
            <w:vAlign w:val="center"/>
          </w:tcPr>
          <w:p w14:paraId="41B0D8B3">
            <w:pPr>
              <w:jc w:val="center"/>
              <w:rPr>
                <w:rFonts w:hint="eastAsia" w:ascii="宋体" w:hAnsi="宋体" w:eastAsia="宋体" w:cs="宋体"/>
                <w:color w:val="auto"/>
                <w:sz w:val="21"/>
                <w:szCs w:val="21"/>
                <w:highlight w:val="none"/>
              </w:rPr>
            </w:pPr>
          </w:p>
        </w:tc>
        <w:tc>
          <w:tcPr>
            <w:tcW w:w="2397" w:type="dxa"/>
            <w:vAlign w:val="center"/>
          </w:tcPr>
          <w:p w14:paraId="00043A26">
            <w:pPr>
              <w:jc w:val="center"/>
              <w:rPr>
                <w:rFonts w:hint="eastAsia" w:ascii="宋体" w:hAnsi="宋体" w:eastAsia="宋体" w:cs="宋体"/>
                <w:color w:val="auto"/>
                <w:sz w:val="21"/>
                <w:szCs w:val="21"/>
                <w:highlight w:val="none"/>
              </w:rPr>
            </w:pPr>
          </w:p>
        </w:tc>
      </w:tr>
      <w:tr w14:paraId="174C1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385E6E33">
            <w:pPr>
              <w:jc w:val="center"/>
              <w:rPr>
                <w:rFonts w:hint="eastAsia" w:ascii="宋体" w:hAnsi="宋体" w:eastAsia="宋体" w:cs="宋体"/>
                <w:color w:val="auto"/>
                <w:sz w:val="21"/>
                <w:szCs w:val="21"/>
                <w:highlight w:val="none"/>
              </w:rPr>
            </w:pPr>
          </w:p>
        </w:tc>
        <w:tc>
          <w:tcPr>
            <w:tcW w:w="2282" w:type="dxa"/>
            <w:vAlign w:val="center"/>
          </w:tcPr>
          <w:p w14:paraId="308C10E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五参数检测池清洗</w:t>
            </w:r>
          </w:p>
        </w:tc>
        <w:tc>
          <w:tcPr>
            <w:tcW w:w="517" w:type="dxa"/>
            <w:vAlign w:val="center"/>
          </w:tcPr>
          <w:p w14:paraId="6FF17C3C">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5C0B73BC">
            <w:pPr>
              <w:jc w:val="center"/>
              <w:rPr>
                <w:rFonts w:hint="eastAsia" w:ascii="宋体" w:hAnsi="宋体" w:eastAsia="宋体" w:cs="宋体"/>
                <w:color w:val="auto"/>
                <w:sz w:val="21"/>
                <w:szCs w:val="21"/>
                <w:highlight w:val="none"/>
              </w:rPr>
            </w:pPr>
          </w:p>
        </w:tc>
        <w:tc>
          <w:tcPr>
            <w:tcW w:w="742" w:type="dxa"/>
            <w:vAlign w:val="center"/>
          </w:tcPr>
          <w:p w14:paraId="19B74697">
            <w:pPr>
              <w:jc w:val="center"/>
              <w:rPr>
                <w:rFonts w:hint="eastAsia" w:ascii="宋体" w:hAnsi="宋体" w:eastAsia="宋体" w:cs="宋体"/>
                <w:color w:val="auto"/>
                <w:sz w:val="21"/>
                <w:szCs w:val="21"/>
                <w:highlight w:val="none"/>
              </w:rPr>
            </w:pPr>
          </w:p>
        </w:tc>
        <w:tc>
          <w:tcPr>
            <w:tcW w:w="770" w:type="dxa"/>
            <w:vAlign w:val="center"/>
          </w:tcPr>
          <w:p w14:paraId="768B461C">
            <w:pPr>
              <w:jc w:val="center"/>
              <w:rPr>
                <w:rFonts w:hint="eastAsia" w:ascii="宋体" w:hAnsi="宋体" w:eastAsia="宋体" w:cs="宋体"/>
                <w:color w:val="auto"/>
                <w:sz w:val="21"/>
                <w:szCs w:val="21"/>
                <w:highlight w:val="none"/>
              </w:rPr>
            </w:pPr>
          </w:p>
        </w:tc>
        <w:tc>
          <w:tcPr>
            <w:tcW w:w="492" w:type="dxa"/>
            <w:vAlign w:val="center"/>
          </w:tcPr>
          <w:p w14:paraId="68F9FC09">
            <w:pPr>
              <w:jc w:val="center"/>
              <w:rPr>
                <w:rFonts w:hint="eastAsia" w:ascii="宋体" w:hAnsi="宋体" w:eastAsia="宋体" w:cs="宋体"/>
                <w:color w:val="auto"/>
                <w:sz w:val="21"/>
                <w:szCs w:val="21"/>
                <w:highlight w:val="none"/>
              </w:rPr>
            </w:pPr>
          </w:p>
        </w:tc>
        <w:tc>
          <w:tcPr>
            <w:tcW w:w="2397" w:type="dxa"/>
            <w:vAlign w:val="center"/>
          </w:tcPr>
          <w:p w14:paraId="5633FB70">
            <w:pPr>
              <w:jc w:val="center"/>
              <w:rPr>
                <w:rFonts w:hint="eastAsia" w:ascii="宋体" w:hAnsi="宋体" w:eastAsia="宋体" w:cs="宋体"/>
                <w:color w:val="auto"/>
                <w:sz w:val="21"/>
                <w:szCs w:val="21"/>
                <w:highlight w:val="none"/>
              </w:rPr>
            </w:pPr>
          </w:p>
        </w:tc>
      </w:tr>
      <w:tr w14:paraId="7E42A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6565F6F2">
            <w:pPr>
              <w:jc w:val="center"/>
              <w:rPr>
                <w:rFonts w:hint="eastAsia" w:ascii="宋体" w:hAnsi="宋体" w:eastAsia="宋体" w:cs="宋体"/>
                <w:color w:val="auto"/>
                <w:sz w:val="21"/>
                <w:szCs w:val="21"/>
                <w:highlight w:val="none"/>
              </w:rPr>
            </w:pPr>
          </w:p>
        </w:tc>
        <w:tc>
          <w:tcPr>
            <w:tcW w:w="2282" w:type="dxa"/>
            <w:vAlign w:val="center"/>
          </w:tcPr>
          <w:p w14:paraId="692552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沉淀池清洗</w:t>
            </w:r>
          </w:p>
        </w:tc>
        <w:tc>
          <w:tcPr>
            <w:tcW w:w="517" w:type="dxa"/>
            <w:vAlign w:val="center"/>
          </w:tcPr>
          <w:p w14:paraId="7A4ABBFE">
            <w:pPr>
              <w:jc w:val="center"/>
              <w:rPr>
                <w:rFonts w:hint="eastAsia" w:ascii="宋体" w:hAnsi="宋体" w:eastAsia="宋体" w:cs="宋体"/>
                <w:color w:val="auto"/>
                <w:sz w:val="21"/>
                <w:szCs w:val="21"/>
                <w:highlight w:val="none"/>
              </w:rPr>
            </w:pPr>
          </w:p>
        </w:tc>
        <w:tc>
          <w:tcPr>
            <w:tcW w:w="492" w:type="dxa"/>
            <w:vAlign w:val="center"/>
          </w:tcPr>
          <w:p w14:paraId="362B213F">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21454F4C">
            <w:pPr>
              <w:jc w:val="center"/>
              <w:rPr>
                <w:rFonts w:hint="eastAsia" w:ascii="宋体" w:hAnsi="宋体" w:eastAsia="宋体" w:cs="宋体"/>
                <w:color w:val="auto"/>
                <w:sz w:val="21"/>
                <w:szCs w:val="21"/>
                <w:highlight w:val="none"/>
              </w:rPr>
            </w:pPr>
          </w:p>
        </w:tc>
        <w:tc>
          <w:tcPr>
            <w:tcW w:w="770" w:type="dxa"/>
            <w:vAlign w:val="center"/>
          </w:tcPr>
          <w:p w14:paraId="34058E42">
            <w:pPr>
              <w:jc w:val="center"/>
              <w:rPr>
                <w:rFonts w:hint="eastAsia" w:ascii="宋体" w:hAnsi="宋体" w:eastAsia="宋体" w:cs="宋体"/>
                <w:color w:val="auto"/>
                <w:sz w:val="21"/>
                <w:szCs w:val="21"/>
                <w:highlight w:val="none"/>
              </w:rPr>
            </w:pPr>
          </w:p>
        </w:tc>
        <w:tc>
          <w:tcPr>
            <w:tcW w:w="492" w:type="dxa"/>
            <w:vAlign w:val="center"/>
          </w:tcPr>
          <w:p w14:paraId="0889B101">
            <w:pPr>
              <w:jc w:val="center"/>
              <w:rPr>
                <w:rFonts w:hint="eastAsia" w:ascii="宋体" w:hAnsi="宋体" w:eastAsia="宋体" w:cs="宋体"/>
                <w:color w:val="auto"/>
                <w:sz w:val="21"/>
                <w:szCs w:val="21"/>
                <w:highlight w:val="none"/>
              </w:rPr>
            </w:pPr>
          </w:p>
        </w:tc>
        <w:tc>
          <w:tcPr>
            <w:tcW w:w="2397" w:type="dxa"/>
            <w:vAlign w:val="center"/>
          </w:tcPr>
          <w:p w14:paraId="374A396D">
            <w:pPr>
              <w:jc w:val="center"/>
              <w:rPr>
                <w:rFonts w:hint="eastAsia" w:ascii="宋体" w:hAnsi="宋体" w:eastAsia="宋体" w:cs="宋体"/>
                <w:color w:val="auto"/>
                <w:sz w:val="21"/>
                <w:szCs w:val="21"/>
                <w:highlight w:val="none"/>
              </w:rPr>
            </w:pPr>
          </w:p>
        </w:tc>
      </w:tr>
      <w:tr w14:paraId="01524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7C89DE4A">
            <w:pPr>
              <w:jc w:val="center"/>
              <w:rPr>
                <w:rFonts w:hint="eastAsia" w:ascii="宋体" w:hAnsi="宋体" w:eastAsia="宋体" w:cs="宋体"/>
                <w:color w:val="auto"/>
                <w:sz w:val="21"/>
                <w:szCs w:val="21"/>
                <w:highlight w:val="none"/>
              </w:rPr>
            </w:pPr>
          </w:p>
        </w:tc>
        <w:tc>
          <w:tcPr>
            <w:tcW w:w="2282" w:type="dxa"/>
            <w:vAlign w:val="center"/>
          </w:tcPr>
          <w:p w14:paraId="6DED33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过滤器清洗</w:t>
            </w:r>
          </w:p>
        </w:tc>
        <w:tc>
          <w:tcPr>
            <w:tcW w:w="517" w:type="dxa"/>
            <w:vAlign w:val="center"/>
          </w:tcPr>
          <w:p w14:paraId="10FFE6E9">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64BE2FCD">
            <w:pPr>
              <w:jc w:val="center"/>
              <w:rPr>
                <w:rFonts w:hint="eastAsia" w:ascii="宋体" w:hAnsi="宋体" w:eastAsia="宋体" w:cs="宋体"/>
                <w:color w:val="auto"/>
                <w:sz w:val="21"/>
                <w:szCs w:val="21"/>
                <w:highlight w:val="none"/>
              </w:rPr>
            </w:pPr>
          </w:p>
        </w:tc>
        <w:tc>
          <w:tcPr>
            <w:tcW w:w="742" w:type="dxa"/>
            <w:vAlign w:val="center"/>
          </w:tcPr>
          <w:p w14:paraId="503F8C1F">
            <w:pPr>
              <w:jc w:val="center"/>
              <w:rPr>
                <w:rFonts w:hint="eastAsia" w:ascii="宋体" w:hAnsi="宋体" w:eastAsia="宋体" w:cs="宋体"/>
                <w:color w:val="auto"/>
                <w:sz w:val="21"/>
                <w:szCs w:val="21"/>
                <w:highlight w:val="none"/>
              </w:rPr>
            </w:pPr>
          </w:p>
        </w:tc>
        <w:tc>
          <w:tcPr>
            <w:tcW w:w="770" w:type="dxa"/>
            <w:vAlign w:val="center"/>
          </w:tcPr>
          <w:p w14:paraId="44295F53">
            <w:pPr>
              <w:jc w:val="center"/>
              <w:rPr>
                <w:rFonts w:hint="eastAsia" w:ascii="宋体" w:hAnsi="宋体" w:eastAsia="宋体" w:cs="宋体"/>
                <w:color w:val="auto"/>
                <w:sz w:val="21"/>
                <w:szCs w:val="21"/>
                <w:highlight w:val="none"/>
              </w:rPr>
            </w:pPr>
          </w:p>
        </w:tc>
        <w:tc>
          <w:tcPr>
            <w:tcW w:w="492" w:type="dxa"/>
            <w:vAlign w:val="center"/>
          </w:tcPr>
          <w:p w14:paraId="515262EE">
            <w:pPr>
              <w:jc w:val="center"/>
              <w:rPr>
                <w:rFonts w:hint="eastAsia" w:ascii="宋体" w:hAnsi="宋体" w:eastAsia="宋体" w:cs="宋体"/>
                <w:color w:val="auto"/>
                <w:sz w:val="21"/>
                <w:szCs w:val="21"/>
                <w:highlight w:val="none"/>
              </w:rPr>
            </w:pPr>
          </w:p>
        </w:tc>
        <w:tc>
          <w:tcPr>
            <w:tcW w:w="2397" w:type="dxa"/>
            <w:vAlign w:val="center"/>
          </w:tcPr>
          <w:p w14:paraId="346480AE">
            <w:pPr>
              <w:jc w:val="center"/>
              <w:rPr>
                <w:rFonts w:hint="eastAsia" w:ascii="宋体" w:hAnsi="宋体" w:eastAsia="宋体" w:cs="宋体"/>
                <w:color w:val="auto"/>
                <w:sz w:val="21"/>
                <w:szCs w:val="21"/>
                <w:highlight w:val="none"/>
              </w:rPr>
            </w:pPr>
          </w:p>
        </w:tc>
      </w:tr>
      <w:tr w14:paraId="3830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050E1C81">
            <w:pPr>
              <w:jc w:val="center"/>
              <w:rPr>
                <w:rFonts w:hint="eastAsia" w:ascii="宋体" w:hAnsi="宋体" w:eastAsia="宋体" w:cs="宋体"/>
                <w:color w:val="auto"/>
                <w:sz w:val="21"/>
                <w:szCs w:val="21"/>
                <w:highlight w:val="none"/>
              </w:rPr>
            </w:pPr>
          </w:p>
        </w:tc>
        <w:tc>
          <w:tcPr>
            <w:tcW w:w="2282" w:type="dxa"/>
            <w:vAlign w:val="center"/>
          </w:tcPr>
          <w:p w14:paraId="5FE7F0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水样杯清洗</w:t>
            </w:r>
          </w:p>
        </w:tc>
        <w:tc>
          <w:tcPr>
            <w:tcW w:w="517" w:type="dxa"/>
            <w:vAlign w:val="center"/>
          </w:tcPr>
          <w:p w14:paraId="4F15D2C2">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5242DDC6">
            <w:pPr>
              <w:jc w:val="center"/>
              <w:rPr>
                <w:rFonts w:hint="eastAsia" w:ascii="宋体" w:hAnsi="宋体" w:eastAsia="宋体" w:cs="宋体"/>
                <w:color w:val="auto"/>
                <w:sz w:val="21"/>
                <w:szCs w:val="21"/>
                <w:highlight w:val="none"/>
              </w:rPr>
            </w:pPr>
          </w:p>
        </w:tc>
        <w:tc>
          <w:tcPr>
            <w:tcW w:w="742" w:type="dxa"/>
            <w:vAlign w:val="center"/>
          </w:tcPr>
          <w:p w14:paraId="39748228">
            <w:pPr>
              <w:jc w:val="center"/>
              <w:rPr>
                <w:rFonts w:hint="eastAsia" w:ascii="宋体" w:hAnsi="宋体" w:eastAsia="宋体" w:cs="宋体"/>
                <w:color w:val="auto"/>
                <w:sz w:val="21"/>
                <w:szCs w:val="21"/>
                <w:highlight w:val="none"/>
              </w:rPr>
            </w:pPr>
          </w:p>
        </w:tc>
        <w:tc>
          <w:tcPr>
            <w:tcW w:w="770" w:type="dxa"/>
            <w:vAlign w:val="center"/>
          </w:tcPr>
          <w:p w14:paraId="1294C560">
            <w:pPr>
              <w:jc w:val="center"/>
              <w:rPr>
                <w:rFonts w:hint="eastAsia" w:ascii="宋体" w:hAnsi="宋体" w:eastAsia="宋体" w:cs="宋体"/>
                <w:color w:val="auto"/>
                <w:sz w:val="21"/>
                <w:szCs w:val="21"/>
                <w:highlight w:val="none"/>
              </w:rPr>
            </w:pPr>
          </w:p>
        </w:tc>
        <w:tc>
          <w:tcPr>
            <w:tcW w:w="492" w:type="dxa"/>
            <w:vAlign w:val="center"/>
          </w:tcPr>
          <w:p w14:paraId="0587DA7A">
            <w:pPr>
              <w:jc w:val="center"/>
              <w:rPr>
                <w:rFonts w:hint="eastAsia" w:ascii="宋体" w:hAnsi="宋体" w:eastAsia="宋体" w:cs="宋体"/>
                <w:color w:val="auto"/>
                <w:sz w:val="21"/>
                <w:szCs w:val="21"/>
                <w:highlight w:val="none"/>
              </w:rPr>
            </w:pPr>
          </w:p>
        </w:tc>
        <w:tc>
          <w:tcPr>
            <w:tcW w:w="2397" w:type="dxa"/>
            <w:vAlign w:val="center"/>
          </w:tcPr>
          <w:p w14:paraId="59634EBD">
            <w:pPr>
              <w:jc w:val="center"/>
              <w:rPr>
                <w:rFonts w:hint="eastAsia" w:ascii="宋体" w:hAnsi="宋体" w:eastAsia="宋体" w:cs="宋体"/>
                <w:color w:val="auto"/>
                <w:sz w:val="21"/>
                <w:szCs w:val="21"/>
                <w:highlight w:val="none"/>
              </w:rPr>
            </w:pPr>
          </w:p>
        </w:tc>
      </w:tr>
      <w:tr w14:paraId="1D592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restart"/>
            <w:vAlign w:val="center"/>
          </w:tcPr>
          <w:p w14:paraId="4EE385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分析单元</w:t>
            </w:r>
          </w:p>
        </w:tc>
        <w:tc>
          <w:tcPr>
            <w:tcW w:w="2282" w:type="dxa"/>
            <w:vAlign w:val="center"/>
          </w:tcPr>
          <w:p w14:paraId="1785240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试剂更换</w:t>
            </w:r>
          </w:p>
        </w:tc>
        <w:tc>
          <w:tcPr>
            <w:tcW w:w="517" w:type="dxa"/>
            <w:vAlign w:val="center"/>
          </w:tcPr>
          <w:p w14:paraId="6D5F35F7">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23CFE12A">
            <w:pPr>
              <w:jc w:val="center"/>
              <w:rPr>
                <w:rFonts w:hint="eastAsia" w:ascii="宋体" w:hAnsi="宋体" w:eastAsia="宋体" w:cs="宋体"/>
                <w:color w:val="auto"/>
                <w:sz w:val="21"/>
                <w:szCs w:val="21"/>
                <w:highlight w:val="none"/>
              </w:rPr>
            </w:pPr>
          </w:p>
        </w:tc>
        <w:tc>
          <w:tcPr>
            <w:tcW w:w="742" w:type="dxa"/>
            <w:vAlign w:val="center"/>
          </w:tcPr>
          <w:p w14:paraId="69494478">
            <w:pPr>
              <w:jc w:val="center"/>
              <w:rPr>
                <w:rFonts w:hint="eastAsia" w:ascii="宋体" w:hAnsi="宋体" w:eastAsia="宋体" w:cs="宋体"/>
                <w:color w:val="auto"/>
                <w:sz w:val="21"/>
                <w:szCs w:val="21"/>
                <w:highlight w:val="none"/>
              </w:rPr>
            </w:pPr>
          </w:p>
        </w:tc>
        <w:tc>
          <w:tcPr>
            <w:tcW w:w="770" w:type="dxa"/>
            <w:vAlign w:val="center"/>
          </w:tcPr>
          <w:p w14:paraId="031C4002">
            <w:pPr>
              <w:jc w:val="center"/>
              <w:rPr>
                <w:rFonts w:hint="eastAsia" w:ascii="宋体" w:hAnsi="宋体" w:eastAsia="宋体" w:cs="宋体"/>
                <w:color w:val="auto"/>
                <w:sz w:val="21"/>
                <w:szCs w:val="21"/>
                <w:highlight w:val="none"/>
              </w:rPr>
            </w:pPr>
          </w:p>
        </w:tc>
        <w:tc>
          <w:tcPr>
            <w:tcW w:w="492" w:type="dxa"/>
            <w:vAlign w:val="center"/>
          </w:tcPr>
          <w:p w14:paraId="07DFC150">
            <w:pPr>
              <w:jc w:val="center"/>
              <w:rPr>
                <w:rFonts w:hint="eastAsia" w:ascii="宋体" w:hAnsi="宋体" w:eastAsia="宋体" w:cs="宋体"/>
                <w:color w:val="auto"/>
                <w:sz w:val="21"/>
                <w:szCs w:val="21"/>
                <w:highlight w:val="none"/>
              </w:rPr>
            </w:pPr>
          </w:p>
        </w:tc>
        <w:tc>
          <w:tcPr>
            <w:tcW w:w="2397" w:type="dxa"/>
            <w:vAlign w:val="center"/>
          </w:tcPr>
          <w:p w14:paraId="0350A7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可根据仪器要求执行</w:t>
            </w:r>
          </w:p>
        </w:tc>
      </w:tr>
      <w:tr w14:paraId="6701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0CE18143">
            <w:pPr>
              <w:jc w:val="center"/>
              <w:rPr>
                <w:rFonts w:hint="eastAsia" w:ascii="宋体" w:hAnsi="宋体" w:eastAsia="宋体" w:cs="宋体"/>
                <w:color w:val="auto"/>
                <w:sz w:val="21"/>
                <w:szCs w:val="21"/>
                <w:highlight w:val="none"/>
              </w:rPr>
            </w:pPr>
          </w:p>
        </w:tc>
        <w:tc>
          <w:tcPr>
            <w:tcW w:w="2282" w:type="dxa"/>
            <w:vAlign w:val="center"/>
          </w:tcPr>
          <w:p w14:paraId="4318347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易损易耗件更换</w:t>
            </w:r>
          </w:p>
        </w:tc>
        <w:tc>
          <w:tcPr>
            <w:tcW w:w="517" w:type="dxa"/>
            <w:vAlign w:val="center"/>
          </w:tcPr>
          <w:p w14:paraId="1F4E3ED6">
            <w:pPr>
              <w:jc w:val="center"/>
              <w:rPr>
                <w:rFonts w:hint="eastAsia" w:ascii="宋体" w:hAnsi="宋体" w:eastAsia="宋体" w:cs="宋体"/>
                <w:color w:val="auto"/>
                <w:sz w:val="21"/>
                <w:szCs w:val="21"/>
                <w:highlight w:val="none"/>
              </w:rPr>
            </w:pPr>
          </w:p>
        </w:tc>
        <w:tc>
          <w:tcPr>
            <w:tcW w:w="492" w:type="dxa"/>
            <w:vAlign w:val="center"/>
          </w:tcPr>
          <w:p w14:paraId="5E8ACB9D">
            <w:pPr>
              <w:jc w:val="center"/>
              <w:rPr>
                <w:rFonts w:hint="eastAsia" w:ascii="宋体" w:hAnsi="宋体" w:eastAsia="宋体" w:cs="宋体"/>
                <w:color w:val="auto"/>
                <w:sz w:val="21"/>
                <w:szCs w:val="21"/>
                <w:highlight w:val="none"/>
              </w:rPr>
            </w:pPr>
          </w:p>
        </w:tc>
        <w:tc>
          <w:tcPr>
            <w:tcW w:w="742" w:type="dxa"/>
            <w:vAlign w:val="center"/>
          </w:tcPr>
          <w:p w14:paraId="49F456EC">
            <w:pPr>
              <w:jc w:val="center"/>
              <w:rPr>
                <w:rFonts w:hint="eastAsia" w:ascii="宋体" w:hAnsi="宋体" w:eastAsia="宋体" w:cs="宋体"/>
                <w:color w:val="auto"/>
                <w:sz w:val="21"/>
                <w:szCs w:val="21"/>
                <w:highlight w:val="none"/>
              </w:rPr>
            </w:pPr>
          </w:p>
        </w:tc>
        <w:tc>
          <w:tcPr>
            <w:tcW w:w="770" w:type="dxa"/>
            <w:vAlign w:val="center"/>
          </w:tcPr>
          <w:p w14:paraId="76FF71F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546FF41B">
            <w:pPr>
              <w:jc w:val="center"/>
              <w:rPr>
                <w:rFonts w:hint="eastAsia" w:ascii="宋体" w:hAnsi="宋体" w:eastAsia="宋体" w:cs="宋体"/>
                <w:color w:val="auto"/>
                <w:sz w:val="21"/>
                <w:szCs w:val="21"/>
                <w:highlight w:val="none"/>
              </w:rPr>
            </w:pPr>
          </w:p>
        </w:tc>
        <w:tc>
          <w:tcPr>
            <w:tcW w:w="2397" w:type="dxa"/>
            <w:vAlign w:val="center"/>
          </w:tcPr>
          <w:p w14:paraId="027F9A97">
            <w:pPr>
              <w:jc w:val="center"/>
              <w:rPr>
                <w:rFonts w:hint="eastAsia" w:ascii="宋体" w:hAnsi="宋体" w:eastAsia="宋体" w:cs="宋体"/>
                <w:color w:val="auto"/>
                <w:sz w:val="21"/>
                <w:szCs w:val="21"/>
                <w:highlight w:val="none"/>
              </w:rPr>
            </w:pPr>
          </w:p>
        </w:tc>
      </w:tr>
      <w:tr w14:paraId="3A2D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2E0F03B8">
            <w:pPr>
              <w:jc w:val="center"/>
              <w:rPr>
                <w:rFonts w:hint="eastAsia" w:ascii="宋体" w:hAnsi="宋体" w:eastAsia="宋体" w:cs="宋体"/>
                <w:color w:val="auto"/>
                <w:sz w:val="21"/>
                <w:szCs w:val="21"/>
                <w:highlight w:val="none"/>
              </w:rPr>
            </w:pPr>
          </w:p>
        </w:tc>
        <w:tc>
          <w:tcPr>
            <w:tcW w:w="2282" w:type="dxa"/>
            <w:vAlign w:val="center"/>
          </w:tcPr>
          <w:p w14:paraId="1B23CC6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废液处置</w:t>
            </w:r>
          </w:p>
        </w:tc>
        <w:tc>
          <w:tcPr>
            <w:tcW w:w="517" w:type="dxa"/>
            <w:vAlign w:val="center"/>
          </w:tcPr>
          <w:p w14:paraId="26055729">
            <w:pPr>
              <w:jc w:val="center"/>
              <w:rPr>
                <w:rFonts w:hint="eastAsia" w:ascii="宋体" w:hAnsi="宋体" w:eastAsia="宋体" w:cs="宋体"/>
                <w:color w:val="auto"/>
                <w:sz w:val="21"/>
                <w:szCs w:val="21"/>
                <w:highlight w:val="none"/>
              </w:rPr>
            </w:pPr>
          </w:p>
        </w:tc>
        <w:tc>
          <w:tcPr>
            <w:tcW w:w="492" w:type="dxa"/>
            <w:vAlign w:val="center"/>
          </w:tcPr>
          <w:p w14:paraId="655AC067">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0E3E79A2">
            <w:pPr>
              <w:jc w:val="center"/>
              <w:rPr>
                <w:rFonts w:hint="eastAsia" w:ascii="宋体" w:hAnsi="宋体" w:eastAsia="宋体" w:cs="宋体"/>
                <w:color w:val="auto"/>
                <w:sz w:val="21"/>
                <w:szCs w:val="21"/>
                <w:highlight w:val="none"/>
              </w:rPr>
            </w:pPr>
          </w:p>
        </w:tc>
        <w:tc>
          <w:tcPr>
            <w:tcW w:w="770" w:type="dxa"/>
            <w:vAlign w:val="center"/>
          </w:tcPr>
          <w:p w14:paraId="1AF53BEC">
            <w:pPr>
              <w:jc w:val="center"/>
              <w:rPr>
                <w:rFonts w:hint="eastAsia" w:ascii="宋体" w:hAnsi="宋体" w:eastAsia="宋体" w:cs="宋体"/>
                <w:color w:val="auto"/>
                <w:sz w:val="21"/>
                <w:szCs w:val="21"/>
                <w:highlight w:val="none"/>
              </w:rPr>
            </w:pPr>
          </w:p>
        </w:tc>
        <w:tc>
          <w:tcPr>
            <w:tcW w:w="492" w:type="dxa"/>
            <w:vAlign w:val="center"/>
          </w:tcPr>
          <w:p w14:paraId="4F3826FA">
            <w:pPr>
              <w:jc w:val="center"/>
              <w:rPr>
                <w:rFonts w:hint="eastAsia" w:ascii="宋体" w:hAnsi="宋体" w:eastAsia="宋体" w:cs="宋体"/>
                <w:color w:val="auto"/>
                <w:sz w:val="21"/>
                <w:szCs w:val="21"/>
                <w:highlight w:val="none"/>
              </w:rPr>
            </w:pPr>
          </w:p>
        </w:tc>
        <w:tc>
          <w:tcPr>
            <w:tcW w:w="2397" w:type="dxa"/>
            <w:vAlign w:val="center"/>
          </w:tcPr>
          <w:p w14:paraId="6C48DD9A">
            <w:pPr>
              <w:jc w:val="center"/>
              <w:rPr>
                <w:rFonts w:hint="eastAsia" w:ascii="宋体" w:hAnsi="宋体" w:eastAsia="宋体" w:cs="宋体"/>
                <w:color w:val="auto"/>
                <w:sz w:val="21"/>
                <w:szCs w:val="21"/>
                <w:highlight w:val="none"/>
              </w:rPr>
            </w:pPr>
          </w:p>
        </w:tc>
      </w:tr>
      <w:tr w14:paraId="23CD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43B5F98F">
            <w:pPr>
              <w:jc w:val="center"/>
              <w:rPr>
                <w:rFonts w:hint="eastAsia" w:ascii="宋体" w:hAnsi="宋体" w:eastAsia="宋体" w:cs="宋体"/>
                <w:color w:val="auto"/>
                <w:sz w:val="21"/>
                <w:szCs w:val="21"/>
                <w:highlight w:val="none"/>
              </w:rPr>
            </w:pPr>
          </w:p>
        </w:tc>
        <w:tc>
          <w:tcPr>
            <w:tcW w:w="2282" w:type="dxa"/>
            <w:vAlign w:val="center"/>
          </w:tcPr>
          <w:p w14:paraId="1060FB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保养检修</w:t>
            </w:r>
          </w:p>
        </w:tc>
        <w:tc>
          <w:tcPr>
            <w:tcW w:w="517" w:type="dxa"/>
            <w:vAlign w:val="center"/>
          </w:tcPr>
          <w:p w14:paraId="2B70D656">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72473BAA">
            <w:pPr>
              <w:jc w:val="center"/>
              <w:rPr>
                <w:rFonts w:hint="eastAsia" w:ascii="宋体" w:hAnsi="宋体" w:eastAsia="宋体" w:cs="宋体"/>
                <w:color w:val="auto"/>
                <w:sz w:val="21"/>
                <w:szCs w:val="21"/>
                <w:highlight w:val="none"/>
              </w:rPr>
            </w:pPr>
          </w:p>
        </w:tc>
        <w:tc>
          <w:tcPr>
            <w:tcW w:w="742" w:type="dxa"/>
            <w:vAlign w:val="center"/>
          </w:tcPr>
          <w:p w14:paraId="01C86FB0">
            <w:pPr>
              <w:jc w:val="center"/>
              <w:rPr>
                <w:rFonts w:hint="eastAsia" w:ascii="宋体" w:hAnsi="宋体" w:eastAsia="宋体" w:cs="宋体"/>
                <w:color w:val="auto"/>
                <w:sz w:val="21"/>
                <w:szCs w:val="21"/>
                <w:highlight w:val="none"/>
              </w:rPr>
            </w:pPr>
          </w:p>
        </w:tc>
        <w:tc>
          <w:tcPr>
            <w:tcW w:w="770" w:type="dxa"/>
            <w:vAlign w:val="center"/>
          </w:tcPr>
          <w:p w14:paraId="3C79C8BC">
            <w:pPr>
              <w:jc w:val="center"/>
              <w:rPr>
                <w:rFonts w:hint="eastAsia" w:ascii="宋体" w:hAnsi="宋体" w:eastAsia="宋体" w:cs="宋体"/>
                <w:color w:val="auto"/>
                <w:sz w:val="21"/>
                <w:szCs w:val="21"/>
                <w:highlight w:val="none"/>
              </w:rPr>
            </w:pPr>
          </w:p>
        </w:tc>
        <w:tc>
          <w:tcPr>
            <w:tcW w:w="492" w:type="dxa"/>
            <w:vAlign w:val="center"/>
          </w:tcPr>
          <w:p w14:paraId="5613537B">
            <w:pPr>
              <w:jc w:val="center"/>
              <w:rPr>
                <w:rFonts w:hint="eastAsia" w:ascii="宋体" w:hAnsi="宋体" w:eastAsia="宋体" w:cs="宋体"/>
                <w:color w:val="auto"/>
                <w:sz w:val="21"/>
                <w:szCs w:val="21"/>
                <w:highlight w:val="none"/>
              </w:rPr>
            </w:pPr>
          </w:p>
        </w:tc>
        <w:tc>
          <w:tcPr>
            <w:tcW w:w="2397" w:type="dxa"/>
            <w:vAlign w:val="center"/>
          </w:tcPr>
          <w:p w14:paraId="3199635C">
            <w:pPr>
              <w:jc w:val="center"/>
              <w:rPr>
                <w:rFonts w:hint="eastAsia" w:ascii="宋体" w:hAnsi="宋体" w:eastAsia="宋体" w:cs="宋体"/>
                <w:color w:val="auto"/>
                <w:sz w:val="21"/>
                <w:szCs w:val="21"/>
                <w:highlight w:val="none"/>
              </w:rPr>
            </w:pPr>
          </w:p>
        </w:tc>
      </w:tr>
      <w:tr w14:paraId="44824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6FB44769">
            <w:pPr>
              <w:jc w:val="center"/>
              <w:rPr>
                <w:rFonts w:hint="eastAsia" w:ascii="宋体" w:hAnsi="宋体" w:eastAsia="宋体" w:cs="宋体"/>
                <w:color w:val="auto"/>
                <w:sz w:val="21"/>
                <w:szCs w:val="21"/>
                <w:highlight w:val="none"/>
              </w:rPr>
            </w:pPr>
          </w:p>
        </w:tc>
        <w:tc>
          <w:tcPr>
            <w:tcW w:w="2282" w:type="dxa"/>
            <w:vAlign w:val="center"/>
          </w:tcPr>
          <w:p w14:paraId="2F47B2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试剂贮存箱温度检查</w:t>
            </w:r>
          </w:p>
        </w:tc>
        <w:tc>
          <w:tcPr>
            <w:tcW w:w="517" w:type="dxa"/>
            <w:vAlign w:val="center"/>
          </w:tcPr>
          <w:p w14:paraId="1AAA3BF1">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6114FFB7">
            <w:pPr>
              <w:jc w:val="center"/>
              <w:rPr>
                <w:rFonts w:hint="eastAsia" w:ascii="宋体" w:hAnsi="宋体" w:eastAsia="宋体" w:cs="宋体"/>
                <w:color w:val="auto"/>
                <w:sz w:val="21"/>
                <w:szCs w:val="21"/>
                <w:highlight w:val="none"/>
              </w:rPr>
            </w:pPr>
          </w:p>
        </w:tc>
        <w:tc>
          <w:tcPr>
            <w:tcW w:w="742" w:type="dxa"/>
            <w:vAlign w:val="center"/>
          </w:tcPr>
          <w:p w14:paraId="097244F3">
            <w:pPr>
              <w:jc w:val="center"/>
              <w:rPr>
                <w:rFonts w:hint="eastAsia" w:ascii="宋体" w:hAnsi="宋体" w:eastAsia="宋体" w:cs="宋体"/>
                <w:color w:val="auto"/>
                <w:sz w:val="21"/>
                <w:szCs w:val="21"/>
                <w:highlight w:val="none"/>
              </w:rPr>
            </w:pPr>
          </w:p>
        </w:tc>
        <w:tc>
          <w:tcPr>
            <w:tcW w:w="770" w:type="dxa"/>
            <w:vAlign w:val="center"/>
          </w:tcPr>
          <w:p w14:paraId="2168B5A5">
            <w:pPr>
              <w:jc w:val="center"/>
              <w:rPr>
                <w:rFonts w:hint="eastAsia" w:ascii="宋体" w:hAnsi="宋体" w:eastAsia="宋体" w:cs="宋体"/>
                <w:color w:val="auto"/>
                <w:sz w:val="21"/>
                <w:szCs w:val="21"/>
                <w:highlight w:val="none"/>
              </w:rPr>
            </w:pPr>
          </w:p>
        </w:tc>
        <w:tc>
          <w:tcPr>
            <w:tcW w:w="492" w:type="dxa"/>
            <w:vAlign w:val="center"/>
          </w:tcPr>
          <w:p w14:paraId="666D584D">
            <w:pPr>
              <w:jc w:val="center"/>
              <w:rPr>
                <w:rFonts w:hint="eastAsia" w:ascii="宋体" w:hAnsi="宋体" w:eastAsia="宋体" w:cs="宋体"/>
                <w:color w:val="auto"/>
                <w:sz w:val="21"/>
                <w:szCs w:val="21"/>
                <w:highlight w:val="none"/>
              </w:rPr>
            </w:pPr>
          </w:p>
        </w:tc>
        <w:tc>
          <w:tcPr>
            <w:tcW w:w="2397" w:type="dxa"/>
            <w:vAlign w:val="center"/>
          </w:tcPr>
          <w:p w14:paraId="18943B4C">
            <w:pPr>
              <w:jc w:val="center"/>
              <w:rPr>
                <w:rFonts w:hint="eastAsia" w:ascii="宋体" w:hAnsi="宋体" w:eastAsia="宋体" w:cs="宋体"/>
                <w:color w:val="auto"/>
                <w:sz w:val="21"/>
                <w:szCs w:val="21"/>
                <w:highlight w:val="none"/>
              </w:rPr>
            </w:pPr>
          </w:p>
        </w:tc>
      </w:tr>
      <w:tr w14:paraId="6E6A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restart"/>
            <w:vAlign w:val="center"/>
          </w:tcPr>
          <w:p w14:paraId="2F129C1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控制单元及通讯单元</w:t>
            </w:r>
          </w:p>
        </w:tc>
        <w:tc>
          <w:tcPr>
            <w:tcW w:w="2282" w:type="dxa"/>
            <w:vAlign w:val="center"/>
          </w:tcPr>
          <w:p w14:paraId="466951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网络通讯设备检查</w:t>
            </w:r>
          </w:p>
        </w:tc>
        <w:tc>
          <w:tcPr>
            <w:tcW w:w="517" w:type="dxa"/>
            <w:vAlign w:val="center"/>
          </w:tcPr>
          <w:p w14:paraId="1979DE00">
            <w:pPr>
              <w:jc w:val="center"/>
              <w:rPr>
                <w:rFonts w:hint="eastAsia" w:ascii="宋体" w:hAnsi="宋体" w:eastAsia="宋体" w:cs="宋体"/>
                <w:color w:val="auto"/>
                <w:sz w:val="21"/>
                <w:szCs w:val="21"/>
                <w:highlight w:val="none"/>
              </w:rPr>
            </w:pPr>
          </w:p>
        </w:tc>
        <w:tc>
          <w:tcPr>
            <w:tcW w:w="492" w:type="dxa"/>
            <w:vAlign w:val="center"/>
          </w:tcPr>
          <w:p w14:paraId="5726CE68">
            <w:pPr>
              <w:jc w:val="center"/>
              <w:rPr>
                <w:rFonts w:hint="eastAsia" w:ascii="宋体" w:hAnsi="宋体" w:eastAsia="宋体" w:cs="宋体"/>
                <w:color w:val="auto"/>
                <w:sz w:val="21"/>
                <w:szCs w:val="21"/>
                <w:highlight w:val="none"/>
              </w:rPr>
            </w:pPr>
          </w:p>
        </w:tc>
        <w:tc>
          <w:tcPr>
            <w:tcW w:w="742" w:type="dxa"/>
            <w:vAlign w:val="center"/>
          </w:tcPr>
          <w:p w14:paraId="7C91A41D">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70" w:type="dxa"/>
            <w:vAlign w:val="center"/>
          </w:tcPr>
          <w:p w14:paraId="0010A7D5">
            <w:pPr>
              <w:jc w:val="center"/>
              <w:rPr>
                <w:rFonts w:hint="eastAsia" w:ascii="宋体" w:hAnsi="宋体" w:eastAsia="宋体" w:cs="宋体"/>
                <w:color w:val="auto"/>
                <w:sz w:val="21"/>
                <w:szCs w:val="21"/>
                <w:highlight w:val="none"/>
              </w:rPr>
            </w:pPr>
          </w:p>
        </w:tc>
        <w:tc>
          <w:tcPr>
            <w:tcW w:w="492" w:type="dxa"/>
            <w:vAlign w:val="center"/>
          </w:tcPr>
          <w:p w14:paraId="2ADD76B9">
            <w:pPr>
              <w:jc w:val="center"/>
              <w:rPr>
                <w:rFonts w:hint="eastAsia" w:ascii="宋体" w:hAnsi="宋体" w:eastAsia="宋体" w:cs="宋体"/>
                <w:color w:val="auto"/>
                <w:sz w:val="21"/>
                <w:szCs w:val="21"/>
                <w:highlight w:val="none"/>
              </w:rPr>
            </w:pPr>
          </w:p>
        </w:tc>
        <w:tc>
          <w:tcPr>
            <w:tcW w:w="2397" w:type="dxa"/>
            <w:vAlign w:val="center"/>
          </w:tcPr>
          <w:p w14:paraId="2994D6E2">
            <w:pPr>
              <w:jc w:val="center"/>
              <w:rPr>
                <w:rFonts w:hint="eastAsia" w:ascii="宋体" w:hAnsi="宋体" w:eastAsia="宋体" w:cs="宋体"/>
                <w:color w:val="auto"/>
                <w:sz w:val="21"/>
                <w:szCs w:val="21"/>
                <w:highlight w:val="none"/>
              </w:rPr>
            </w:pPr>
          </w:p>
        </w:tc>
      </w:tr>
      <w:tr w14:paraId="04BA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15ABEB2C">
            <w:pPr>
              <w:jc w:val="center"/>
              <w:rPr>
                <w:rFonts w:hint="eastAsia" w:ascii="宋体" w:hAnsi="宋体" w:eastAsia="宋体" w:cs="宋体"/>
                <w:color w:val="auto"/>
                <w:sz w:val="21"/>
                <w:szCs w:val="21"/>
                <w:highlight w:val="none"/>
              </w:rPr>
            </w:pPr>
          </w:p>
        </w:tc>
        <w:tc>
          <w:tcPr>
            <w:tcW w:w="2282" w:type="dxa"/>
            <w:vAlign w:val="center"/>
          </w:tcPr>
          <w:p w14:paraId="3A4A208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工控机检查</w:t>
            </w:r>
          </w:p>
        </w:tc>
        <w:tc>
          <w:tcPr>
            <w:tcW w:w="517" w:type="dxa"/>
            <w:vAlign w:val="center"/>
          </w:tcPr>
          <w:p w14:paraId="42A33AF7">
            <w:pPr>
              <w:jc w:val="center"/>
              <w:rPr>
                <w:rFonts w:hint="eastAsia" w:ascii="宋体" w:hAnsi="宋体" w:eastAsia="宋体" w:cs="宋体"/>
                <w:color w:val="auto"/>
                <w:sz w:val="21"/>
                <w:szCs w:val="21"/>
                <w:highlight w:val="none"/>
              </w:rPr>
            </w:pPr>
          </w:p>
        </w:tc>
        <w:tc>
          <w:tcPr>
            <w:tcW w:w="492" w:type="dxa"/>
            <w:vAlign w:val="center"/>
          </w:tcPr>
          <w:p w14:paraId="0C9ED857">
            <w:pPr>
              <w:jc w:val="center"/>
              <w:rPr>
                <w:rFonts w:hint="eastAsia" w:ascii="宋体" w:hAnsi="宋体" w:eastAsia="宋体" w:cs="宋体"/>
                <w:color w:val="auto"/>
                <w:sz w:val="21"/>
                <w:szCs w:val="21"/>
                <w:highlight w:val="none"/>
              </w:rPr>
            </w:pPr>
          </w:p>
        </w:tc>
        <w:tc>
          <w:tcPr>
            <w:tcW w:w="742" w:type="dxa"/>
            <w:vAlign w:val="center"/>
          </w:tcPr>
          <w:p w14:paraId="2557069C">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70" w:type="dxa"/>
            <w:vAlign w:val="center"/>
          </w:tcPr>
          <w:p w14:paraId="7E40894B">
            <w:pPr>
              <w:jc w:val="center"/>
              <w:rPr>
                <w:rFonts w:hint="eastAsia" w:ascii="宋体" w:hAnsi="宋体" w:eastAsia="宋体" w:cs="宋体"/>
                <w:color w:val="auto"/>
                <w:sz w:val="21"/>
                <w:szCs w:val="21"/>
                <w:highlight w:val="none"/>
              </w:rPr>
            </w:pPr>
          </w:p>
        </w:tc>
        <w:tc>
          <w:tcPr>
            <w:tcW w:w="492" w:type="dxa"/>
            <w:vAlign w:val="center"/>
          </w:tcPr>
          <w:p w14:paraId="751AC411">
            <w:pPr>
              <w:jc w:val="center"/>
              <w:rPr>
                <w:rFonts w:hint="eastAsia" w:ascii="宋体" w:hAnsi="宋体" w:eastAsia="宋体" w:cs="宋体"/>
                <w:color w:val="auto"/>
                <w:sz w:val="21"/>
                <w:szCs w:val="21"/>
                <w:highlight w:val="none"/>
              </w:rPr>
            </w:pPr>
          </w:p>
        </w:tc>
        <w:tc>
          <w:tcPr>
            <w:tcW w:w="2397" w:type="dxa"/>
            <w:vAlign w:val="center"/>
          </w:tcPr>
          <w:p w14:paraId="6DBF2D95">
            <w:pPr>
              <w:jc w:val="center"/>
              <w:rPr>
                <w:rFonts w:hint="eastAsia" w:ascii="宋体" w:hAnsi="宋体" w:eastAsia="宋体" w:cs="宋体"/>
                <w:color w:val="auto"/>
                <w:sz w:val="21"/>
                <w:szCs w:val="21"/>
                <w:highlight w:val="none"/>
              </w:rPr>
            </w:pPr>
          </w:p>
        </w:tc>
      </w:tr>
      <w:tr w14:paraId="3321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restart"/>
            <w:vAlign w:val="center"/>
          </w:tcPr>
          <w:p w14:paraId="113DFF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辅助设备</w:t>
            </w:r>
          </w:p>
        </w:tc>
        <w:tc>
          <w:tcPr>
            <w:tcW w:w="2282" w:type="dxa"/>
            <w:vAlign w:val="center"/>
          </w:tcPr>
          <w:p w14:paraId="660AD5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稳压电源检查</w:t>
            </w:r>
          </w:p>
        </w:tc>
        <w:tc>
          <w:tcPr>
            <w:tcW w:w="517" w:type="dxa"/>
            <w:vAlign w:val="center"/>
          </w:tcPr>
          <w:p w14:paraId="443B8F0C">
            <w:pPr>
              <w:jc w:val="center"/>
              <w:rPr>
                <w:rFonts w:hint="eastAsia" w:ascii="宋体" w:hAnsi="宋体" w:eastAsia="宋体" w:cs="宋体"/>
                <w:color w:val="auto"/>
                <w:sz w:val="21"/>
                <w:szCs w:val="21"/>
                <w:highlight w:val="none"/>
              </w:rPr>
            </w:pPr>
          </w:p>
        </w:tc>
        <w:tc>
          <w:tcPr>
            <w:tcW w:w="492" w:type="dxa"/>
            <w:vAlign w:val="center"/>
          </w:tcPr>
          <w:p w14:paraId="669DC1D9">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29D84352">
            <w:pPr>
              <w:jc w:val="center"/>
              <w:rPr>
                <w:rFonts w:hint="eastAsia" w:ascii="宋体" w:hAnsi="宋体" w:eastAsia="宋体" w:cs="宋体"/>
                <w:color w:val="auto"/>
                <w:sz w:val="21"/>
                <w:szCs w:val="21"/>
                <w:highlight w:val="none"/>
              </w:rPr>
            </w:pPr>
          </w:p>
        </w:tc>
        <w:tc>
          <w:tcPr>
            <w:tcW w:w="770" w:type="dxa"/>
            <w:vAlign w:val="center"/>
          </w:tcPr>
          <w:p w14:paraId="0EB846CC">
            <w:pPr>
              <w:jc w:val="center"/>
              <w:rPr>
                <w:rFonts w:hint="eastAsia" w:ascii="宋体" w:hAnsi="宋体" w:eastAsia="宋体" w:cs="宋体"/>
                <w:color w:val="auto"/>
                <w:sz w:val="21"/>
                <w:szCs w:val="21"/>
                <w:highlight w:val="none"/>
              </w:rPr>
            </w:pPr>
          </w:p>
        </w:tc>
        <w:tc>
          <w:tcPr>
            <w:tcW w:w="492" w:type="dxa"/>
            <w:vAlign w:val="center"/>
          </w:tcPr>
          <w:p w14:paraId="7165BAD4">
            <w:pPr>
              <w:jc w:val="center"/>
              <w:rPr>
                <w:rFonts w:hint="eastAsia" w:ascii="宋体" w:hAnsi="宋体" w:eastAsia="宋体" w:cs="宋体"/>
                <w:color w:val="auto"/>
                <w:sz w:val="21"/>
                <w:szCs w:val="21"/>
                <w:highlight w:val="none"/>
              </w:rPr>
            </w:pPr>
          </w:p>
        </w:tc>
        <w:tc>
          <w:tcPr>
            <w:tcW w:w="2397" w:type="dxa"/>
            <w:vAlign w:val="center"/>
          </w:tcPr>
          <w:p w14:paraId="769B2AA6">
            <w:pPr>
              <w:jc w:val="center"/>
              <w:rPr>
                <w:rFonts w:hint="eastAsia" w:ascii="宋体" w:hAnsi="宋体" w:eastAsia="宋体" w:cs="宋体"/>
                <w:color w:val="auto"/>
                <w:sz w:val="21"/>
                <w:szCs w:val="21"/>
                <w:highlight w:val="none"/>
              </w:rPr>
            </w:pPr>
          </w:p>
        </w:tc>
      </w:tr>
      <w:tr w14:paraId="306B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0914ECD6">
            <w:pPr>
              <w:jc w:val="center"/>
              <w:rPr>
                <w:rFonts w:hint="eastAsia" w:ascii="宋体" w:hAnsi="宋体" w:eastAsia="宋体" w:cs="宋体"/>
                <w:color w:val="auto"/>
                <w:sz w:val="21"/>
                <w:szCs w:val="21"/>
                <w:highlight w:val="none"/>
              </w:rPr>
            </w:pPr>
          </w:p>
        </w:tc>
        <w:tc>
          <w:tcPr>
            <w:tcW w:w="2282" w:type="dxa"/>
            <w:vAlign w:val="center"/>
          </w:tcPr>
          <w:p w14:paraId="0CB993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UPS检查</w:t>
            </w:r>
          </w:p>
        </w:tc>
        <w:tc>
          <w:tcPr>
            <w:tcW w:w="517" w:type="dxa"/>
            <w:vAlign w:val="center"/>
          </w:tcPr>
          <w:p w14:paraId="0EAE4C95">
            <w:pPr>
              <w:jc w:val="center"/>
              <w:rPr>
                <w:rFonts w:hint="eastAsia" w:ascii="宋体" w:hAnsi="宋体" w:eastAsia="宋体" w:cs="宋体"/>
                <w:color w:val="auto"/>
                <w:sz w:val="21"/>
                <w:szCs w:val="21"/>
                <w:highlight w:val="none"/>
              </w:rPr>
            </w:pPr>
          </w:p>
        </w:tc>
        <w:tc>
          <w:tcPr>
            <w:tcW w:w="492" w:type="dxa"/>
            <w:vAlign w:val="center"/>
          </w:tcPr>
          <w:p w14:paraId="0964F56E">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6A0000F6">
            <w:pPr>
              <w:jc w:val="center"/>
              <w:rPr>
                <w:rFonts w:hint="eastAsia" w:ascii="宋体" w:hAnsi="宋体" w:eastAsia="宋体" w:cs="宋体"/>
                <w:color w:val="auto"/>
                <w:sz w:val="21"/>
                <w:szCs w:val="21"/>
                <w:highlight w:val="none"/>
              </w:rPr>
            </w:pPr>
          </w:p>
        </w:tc>
        <w:tc>
          <w:tcPr>
            <w:tcW w:w="770" w:type="dxa"/>
            <w:vAlign w:val="center"/>
          </w:tcPr>
          <w:p w14:paraId="3DC7873F">
            <w:pPr>
              <w:jc w:val="center"/>
              <w:rPr>
                <w:rFonts w:hint="eastAsia" w:ascii="宋体" w:hAnsi="宋体" w:eastAsia="宋体" w:cs="宋体"/>
                <w:color w:val="auto"/>
                <w:sz w:val="21"/>
                <w:szCs w:val="21"/>
                <w:highlight w:val="none"/>
              </w:rPr>
            </w:pPr>
          </w:p>
        </w:tc>
        <w:tc>
          <w:tcPr>
            <w:tcW w:w="492" w:type="dxa"/>
            <w:vAlign w:val="center"/>
          </w:tcPr>
          <w:p w14:paraId="4787AF69">
            <w:pPr>
              <w:jc w:val="center"/>
              <w:rPr>
                <w:rFonts w:hint="eastAsia" w:ascii="宋体" w:hAnsi="宋体" w:eastAsia="宋体" w:cs="宋体"/>
                <w:color w:val="auto"/>
                <w:sz w:val="21"/>
                <w:szCs w:val="21"/>
                <w:highlight w:val="none"/>
              </w:rPr>
            </w:pPr>
          </w:p>
        </w:tc>
        <w:tc>
          <w:tcPr>
            <w:tcW w:w="2397" w:type="dxa"/>
            <w:vAlign w:val="center"/>
          </w:tcPr>
          <w:p w14:paraId="29EBE1EA">
            <w:pPr>
              <w:jc w:val="center"/>
              <w:rPr>
                <w:rFonts w:hint="eastAsia" w:ascii="宋体" w:hAnsi="宋体" w:eastAsia="宋体" w:cs="宋体"/>
                <w:color w:val="auto"/>
                <w:sz w:val="21"/>
                <w:szCs w:val="21"/>
                <w:highlight w:val="none"/>
              </w:rPr>
            </w:pPr>
          </w:p>
        </w:tc>
      </w:tr>
      <w:tr w14:paraId="262D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45C7C9FA">
            <w:pPr>
              <w:jc w:val="center"/>
              <w:rPr>
                <w:rFonts w:hint="eastAsia" w:ascii="宋体" w:hAnsi="宋体" w:eastAsia="宋体" w:cs="宋体"/>
                <w:color w:val="auto"/>
                <w:sz w:val="21"/>
                <w:szCs w:val="21"/>
                <w:highlight w:val="none"/>
              </w:rPr>
            </w:pPr>
          </w:p>
        </w:tc>
        <w:tc>
          <w:tcPr>
            <w:tcW w:w="2282" w:type="dxa"/>
            <w:vAlign w:val="center"/>
          </w:tcPr>
          <w:p w14:paraId="17849F7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空压机检查</w:t>
            </w:r>
          </w:p>
        </w:tc>
        <w:tc>
          <w:tcPr>
            <w:tcW w:w="517" w:type="dxa"/>
            <w:vAlign w:val="center"/>
          </w:tcPr>
          <w:p w14:paraId="34C603EC">
            <w:pPr>
              <w:jc w:val="center"/>
              <w:rPr>
                <w:rFonts w:hint="eastAsia" w:ascii="宋体" w:hAnsi="宋体" w:eastAsia="宋体" w:cs="宋体"/>
                <w:color w:val="auto"/>
                <w:sz w:val="21"/>
                <w:szCs w:val="21"/>
                <w:highlight w:val="none"/>
              </w:rPr>
            </w:pPr>
          </w:p>
        </w:tc>
        <w:tc>
          <w:tcPr>
            <w:tcW w:w="492" w:type="dxa"/>
            <w:vAlign w:val="center"/>
          </w:tcPr>
          <w:p w14:paraId="2E660A7B">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324177B8">
            <w:pPr>
              <w:jc w:val="center"/>
              <w:rPr>
                <w:rFonts w:hint="eastAsia" w:ascii="宋体" w:hAnsi="宋体" w:eastAsia="宋体" w:cs="宋体"/>
                <w:color w:val="auto"/>
                <w:sz w:val="21"/>
                <w:szCs w:val="21"/>
                <w:highlight w:val="none"/>
              </w:rPr>
            </w:pPr>
          </w:p>
        </w:tc>
        <w:tc>
          <w:tcPr>
            <w:tcW w:w="770" w:type="dxa"/>
            <w:vAlign w:val="center"/>
          </w:tcPr>
          <w:p w14:paraId="7426CC72">
            <w:pPr>
              <w:jc w:val="center"/>
              <w:rPr>
                <w:rFonts w:hint="eastAsia" w:ascii="宋体" w:hAnsi="宋体" w:eastAsia="宋体" w:cs="宋体"/>
                <w:color w:val="auto"/>
                <w:sz w:val="21"/>
                <w:szCs w:val="21"/>
                <w:highlight w:val="none"/>
              </w:rPr>
            </w:pPr>
          </w:p>
        </w:tc>
        <w:tc>
          <w:tcPr>
            <w:tcW w:w="492" w:type="dxa"/>
            <w:vAlign w:val="center"/>
          </w:tcPr>
          <w:p w14:paraId="36AAA6FE">
            <w:pPr>
              <w:jc w:val="center"/>
              <w:rPr>
                <w:rFonts w:hint="eastAsia" w:ascii="宋体" w:hAnsi="宋体" w:eastAsia="宋体" w:cs="宋体"/>
                <w:color w:val="auto"/>
                <w:sz w:val="21"/>
                <w:szCs w:val="21"/>
                <w:highlight w:val="none"/>
              </w:rPr>
            </w:pPr>
          </w:p>
        </w:tc>
        <w:tc>
          <w:tcPr>
            <w:tcW w:w="2397" w:type="dxa"/>
            <w:vAlign w:val="center"/>
          </w:tcPr>
          <w:p w14:paraId="3F1D36C3">
            <w:pPr>
              <w:jc w:val="center"/>
              <w:rPr>
                <w:rFonts w:hint="eastAsia" w:ascii="宋体" w:hAnsi="宋体" w:eastAsia="宋体" w:cs="宋体"/>
                <w:color w:val="auto"/>
                <w:sz w:val="21"/>
                <w:szCs w:val="21"/>
                <w:highlight w:val="none"/>
              </w:rPr>
            </w:pPr>
          </w:p>
        </w:tc>
      </w:tr>
      <w:tr w14:paraId="7C041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4389AE33">
            <w:pPr>
              <w:jc w:val="center"/>
              <w:rPr>
                <w:rFonts w:hint="eastAsia" w:ascii="宋体" w:hAnsi="宋体" w:eastAsia="宋体" w:cs="宋体"/>
                <w:color w:val="auto"/>
                <w:sz w:val="21"/>
                <w:szCs w:val="21"/>
                <w:highlight w:val="none"/>
              </w:rPr>
            </w:pPr>
          </w:p>
        </w:tc>
        <w:tc>
          <w:tcPr>
            <w:tcW w:w="2282" w:type="dxa"/>
            <w:vAlign w:val="center"/>
          </w:tcPr>
          <w:p w14:paraId="14A6D9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纯水机滤芯维护</w:t>
            </w:r>
          </w:p>
        </w:tc>
        <w:tc>
          <w:tcPr>
            <w:tcW w:w="517" w:type="dxa"/>
            <w:vAlign w:val="center"/>
          </w:tcPr>
          <w:p w14:paraId="2AC93154">
            <w:pPr>
              <w:jc w:val="center"/>
              <w:rPr>
                <w:rFonts w:hint="eastAsia" w:ascii="宋体" w:hAnsi="宋体" w:eastAsia="宋体" w:cs="宋体"/>
                <w:color w:val="auto"/>
                <w:sz w:val="21"/>
                <w:szCs w:val="21"/>
                <w:highlight w:val="none"/>
              </w:rPr>
            </w:pPr>
          </w:p>
        </w:tc>
        <w:tc>
          <w:tcPr>
            <w:tcW w:w="492" w:type="dxa"/>
            <w:vAlign w:val="center"/>
          </w:tcPr>
          <w:p w14:paraId="785044B7">
            <w:pPr>
              <w:jc w:val="center"/>
              <w:rPr>
                <w:rFonts w:hint="eastAsia" w:ascii="宋体" w:hAnsi="宋体" w:eastAsia="宋体" w:cs="宋体"/>
                <w:color w:val="auto"/>
                <w:sz w:val="21"/>
                <w:szCs w:val="21"/>
                <w:highlight w:val="none"/>
              </w:rPr>
            </w:pPr>
          </w:p>
        </w:tc>
        <w:tc>
          <w:tcPr>
            <w:tcW w:w="742" w:type="dxa"/>
            <w:vAlign w:val="center"/>
          </w:tcPr>
          <w:p w14:paraId="763B66DA">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70" w:type="dxa"/>
            <w:vAlign w:val="center"/>
          </w:tcPr>
          <w:p w14:paraId="08CCD26D">
            <w:pPr>
              <w:jc w:val="center"/>
              <w:rPr>
                <w:rFonts w:hint="eastAsia" w:ascii="宋体" w:hAnsi="宋体" w:eastAsia="宋体" w:cs="宋体"/>
                <w:color w:val="auto"/>
                <w:sz w:val="21"/>
                <w:szCs w:val="21"/>
                <w:highlight w:val="none"/>
              </w:rPr>
            </w:pPr>
          </w:p>
        </w:tc>
        <w:tc>
          <w:tcPr>
            <w:tcW w:w="492" w:type="dxa"/>
            <w:vAlign w:val="center"/>
          </w:tcPr>
          <w:p w14:paraId="1F6C1BE1">
            <w:pPr>
              <w:jc w:val="center"/>
              <w:rPr>
                <w:rFonts w:hint="eastAsia" w:ascii="宋体" w:hAnsi="宋体" w:eastAsia="宋体" w:cs="宋体"/>
                <w:color w:val="auto"/>
                <w:sz w:val="21"/>
                <w:szCs w:val="21"/>
                <w:highlight w:val="none"/>
              </w:rPr>
            </w:pPr>
          </w:p>
        </w:tc>
        <w:tc>
          <w:tcPr>
            <w:tcW w:w="2397" w:type="dxa"/>
            <w:vAlign w:val="center"/>
          </w:tcPr>
          <w:p w14:paraId="040B40AA">
            <w:pPr>
              <w:jc w:val="center"/>
              <w:rPr>
                <w:rFonts w:hint="eastAsia" w:ascii="宋体" w:hAnsi="宋体" w:eastAsia="宋体" w:cs="宋体"/>
                <w:color w:val="auto"/>
                <w:sz w:val="21"/>
                <w:szCs w:val="21"/>
                <w:highlight w:val="none"/>
              </w:rPr>
            </w:pPr>
          </w:p>
        </w:tc>
      </w:tr>
      <w:tr w14:paraId="7E9C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0CB5AD9C">
            <w:pPr>
              <w:jc w:val="center"/>
              <w:rPr>
                <w:rFonts w:hint="eastAsia" w:ascii="宋体" w:hAnsi="宋体" w:eastAsia="宋体" w:cs="宋体"/>
                <w:color w:val="auto"/>
                <w:sz w:val="21"/>
                <w:szCs w:val="21"/>
                <w:highlight w:val="none"/>
              </w:rPr>
            </w:pPr>
          </w:p>
        </w:tc>
        <w:tc>
          <w:tcPr>
            <w:tcW w:w="2282" w:type="dxa"/>
            <w:vAlign w:val="center"/>
          </w:tcPr>
          <w:p w14:paraId="063807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太阳能板检查</w:t>
            </w:r>
          </w:p>
        </w:tc>
        <w:tc>
          <w:tcPr>
            <w:tcW w:w="517" w:type="dxa"/>
            <w:vAlign w:val="center"/>
          </w:tcPr>
          <w:p w14:paraId="5F8A4DC6">
            <w:pPr>
              <w:jc w:val="center"/>
              <w:rPr>
                <w:rFonts w:hint="eastAsia" w:ascii="宋体" w:hAnsi="宋体" w:eastAsia="宋体" w:cs="宋体"/>
                <w:color w:val="auto"/>
                <w:sz w:val="21"/>
                <w:szCs w:val="21"/>
                <w:highlight w:val="none"/>
              </w:rPr>
            </w:pPr>
          </w:p>
        </w:tc>
        <w:tc>
          <w:tcPr>
            <w:tcW w:w="492" w:type="dxa"/>
            <w:vAlign w:val="center"/>
          </w:tcPr>
          <w:p w14:paraId="37E2721D">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77DC8DD3">
            <w:pPr>
              <w:jc w:val="center"/>
              <w:rPr>
                <w:rFonts w:hint="eastAsia" w:ascii="宋体" w:hAnsi="宋体" w:eastAsia="宋体" w:cs="宋体"/>
                <w:color w:val="auto"/>
                <w:sz w:val="21"/>
                <w:szCs w:val="21"/>
                <w:highlight w:val="none"/>
              </w:rPr>
            </w:pPr>
          </w:p>
        </w:tc>
        <w:tc>
          <w:tcPr>
            <w:tcW w:w="770" w:type="dxa"/>
            <w:vAlign w:val="center"/>
          </w:tcPr>
          <w:p w14:paraId="34D73926">
            <w:pPr>
              <w:jc w:val="center"/>
              <w:rPr>
                <w:rFonts w:hint="eastAsia" w:ascii="宋体" w:hAnsi="宋体" w:eastAsia="宋体" w:cs="宋体"/>
                <w:color w:val="auto"/>
                <w:sz w:val="21"/>
                <w:szCs w:val="21"/>
                <w:highlight w:val="none"/>
              </w:rPr>
            </w:pPr>
          </w:p>
        </w:tc>
        <w:tc>
          <w:tcPr>
            <w:tcW w:w="492" w:type="dxa"/>
            <w:vAlign w:val="center"/>
          </w:tcPr>
          <w:p w14:paraId="2608F3E6">
            <w:pPr>
              <w:jc w:val="center"/>
              <w:rPr>
                <w:rFonts w:hint="eastAsia" w:ascii="宋体" w:hAnsi="宋体" w:eastAsia="宋体" w:cs="宋体"/>
                <w:color w:val="auto"/>
                <w:sz w:val="21"/>
                <w:szCs w:val="21"/>
                <w:highlight w:val="none"/>
              </w:rPr>
            </w:pPr>
          </w:p>
        </w:tc>
        <w:tc>
          <w:tcPr>
            <w:tcW w:w="2397" w:type="dxa"/>
            <w:vAlign w:val="center"/>
          </w:tcPr>
          <w:p w14:paraId="4157C6C6">
            <w:pPr>
              <w:jc w:val="center"/>
              <w:rPr>
                <w:rFonts w:hint="eastAsia" w:ascii="宋体" w:hAnsi="宋体" w:eastAsia="宋体" w:cs="宋体"/>
                <w:color w:val="auto"/>
                <w:sz w:val="21"/>
                <w:szCs w:val="21"/>
                <w:highlight w:val="none"/>
              </w:rPr>
            </w:pPr>
          </w:p>
        </w:tc>
      </w:tr>
      <w:tr w14:paraId="52E03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372C83E1">
            <w:pPr>
              <w:jc w:val="center"/>
              <w:rPr>
                <w:rFonts w:hint="eastAsia" w:ascii="宋体" w:hAnsi="宋体" w:eastAsia="宋体" w:cs="宋体"/>
                <w:color w:val="auto"/>
                <w:sz w:val="21"/>
                <w:szCs w:val="21"/>
                <w:highlight w:val="none"/>
              </w:rPr>
            </w:pPr>
          </w:p>
        </w:tc>
        <w:tc>
          <w:tcPr>
            <w:tcW w:w="2282" w:type="dxa"/>
            <w:vAlign w:val="center"/>
          </w:tcPr>
          <w:p w14:paraId="15FAFC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太阳能板清洁</w:t>
            </w:r>
          </w:p>
        </w:tc>
        <w:tc>
          <w:tcPr>
            <w:tcW w:w="517" w:type="dxa"/>
            <w:vAlign w:val="center"/>
          </w:tcPr>
          <w:p w14:paraId="17FC18A5">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5DE6D1D0">
            <w:pPr>
              <w:jc w:val="center"/>
              <w:rPr>
                <w:rFonts w:hint="eastAsia" w:ascii="宋体" w:hAnsi="宋体" w:eastAsia="宋体" w:cs="宋体"/>
                <w:color w:val="auto"/>
                <w:sz w:val="21"/>
                <w:szCs w:val="21"/>
                <w:highlight w:val="none"/>
              </w:rPr>
            </w:pPr>
          </w:p>
        </w:tc>
        <w:tc>
          <w:tcPr>
            <w:tcW w:w="742" w:type="dxa"/>
            <w:vAlign w:val="center"/>
          </w:tcPr>
          <w:p w14:paraId="24A010AE">
            <w:pPr>
              <w:jc w:val="center"/>
              <w:rPr>
                <w:rFonts w:hint="eastAsia" w:ascii="宋体" w:hAnsi="宋体" w:eastAsia="宋体" w:cs="宋体"/>
                <w:color w:val="auto"/>
                <w:sz w:val="21"/>
                <w:szCs w:val="21"/>
                <w:highlight w:val="none"/>
              </w:rPr>
            </w:pPr>
          </w:p>
        </w:tc>
        <w:tc>
          <w:tcPr>
            <w:tcW w:w="770" w:type="dxa"/>
            <w:vAlign w:val="center"/>
          </w:tcPr>
          <w:p w14:paraId="780BE87D">
            <w:pPr>
              <w:jc w:val="center"/>
              <w:rPr>
                <w:rFonts w:hint="eastAsia" w:ascii="宋体" w:hAnsi="宋体" w:eastAsia="宋体" w:cs="宋体"/>
                <w:color w:val="auto"/>
                <w:sz w:val="21"/>
                <w:szCs w:val="21"/>
                <w:highlight w:val="none"/>
              </w:rPr>
            </w:pPr>
          </w:p>
        </w:tc>
        <w:tc>
          <w:tcPr>
            <w:tcW w:w="492" w:type="dxa"/>
            <w:vAlign w:val="center"/>
          </w:tcPr>
          <w:p w14:paraId="0D9A2073">
            <w:pPr>
              <w:jc w:val="center"/>
              <w:rPr>
                <w:rFonts w:hint="eastAsia" w:ascii="宋体" w:hAnsi="宋体" w:eastAsia="宋体" w:cs="宋体"/>
                <w:color w:val="auto"/>
                <w:sz w:val="21"/>
                <w:szCs w:val="21"/>
                <w:highlight w:val="none"/>
              </w:rPr>
            </w:pPr>
          </w:p>
        </w:tc>
        <w:tc>
          <w:tcPr>
            <w:tcW w:w="2397" w:type="dxa"/>
            <w:vAlign w:val="center"/>
          </w:tcPr>
          <w:p w14:paraId="5DB0F7CB">
            <w:pPr>
              <w:jc w:val="center"/>
              <w:rPr>
                <w:rFonts w:hint="eastAsia" w:ascii="宋体" w:hAnsi="宋体" w:eastAsia="宋体" w:cs="宋体"/>
                <w:color w:val="auto"/>
                <w:sz w:val="21"/>
                <w:szCs w:val="21"/>
                <w:highlight w:val="none"/>
              </w:rPr>
            </w:pPr>
          </w:p>
        </w:tc>
      </w:tr>
      <w:tr w14:paraId="3F30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2AD79B86">
            <w:pPr>
              <w:jc w:val="center"/>
              <w:rPr>
                <w:rFonts w:hint="eastAsia" w:ascii="宋体" w:hAnsi="宋体" w:eastAsia="宋体" w:cs="宋体"/>
                <w:color w:val="auto"/>
                <w:sz w:val="21"/>
                <w:szCs w:val="21"/>
                <w:highlight w:val="none"/>
              </w:rPr>
            </w:pPr>
          </w:p>
        </w:tc>
        <w:tc>
          <w:tcPr>
            <w:tcW w:w="2282" w:type="dxa"/>
            <w:vAlign w:val="center"/>
          </w:tcPr>
          <w:p w14:paraId="31545A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蓄电池</w:t>
            </w:r>
          </w:p>
        </w:tc>
        <w:tc>
          <w:tcPr>
            <w:tcW w:w="517" w:type="dxa"/>
            <w:vAlign w:val="center"/>
          </w:tcPr>
          <w:p w14:paraId="07738FB1">
            <w:pPr>
              <w:jc w:val="center"/>
              <w:rPr>
                <w:rFonts w:hint="eastAsia" w:ascii="宋体" w:hAnsi="宋体" w:eastAsia="宋体" w:cs="宋体"/>
                <w:color w:val="auto"/>
                <w:sz w:val="21"/>
                <w:szCs w:val="21"/>
                <w:highlight w:val="none"/>
              </w:rPr>
            </w:pPr>
          </w:p>
        </w:tc>
        <w:tc>
          <w:tcPr>
            <w:tcW w:w="492" w:type="dxa"/>
            <w:vAlign w:val="center"/>
          </w:tcPr>
          <w:p w14:paraId="5088A68C">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52CF666F">
            <w:pPr>
              <w:jc w:val="center"/>
              <w:rPr>
                <w:rFonts w:hint="eastAsia" w:ascii="宋体" w:hAnsi="宋体" w:eastAsia="宋体" w:cs="宋体"/>
                <w:color w:val="auto"/>
                <w:sz w:val="21"/>
                <w:szCs w:val="21"/>
                <w:highlight w:val="none"/>
              </w:rPr>
            </w:pPr>
          </w:p>
        </w:tc>
        <w:tc>
          <w:tcPr>
            <w:tcW w:w="770" w:type="dxa"/>
            <w:vAlign w:val="center"/>
          </w:tcPr>
          <w:p w14:paraId="08BB9E24">
            <w:pPr>
              <w:jc w:val="center"/>
              <w:rPr>
                <w:rFonts w:hint="eastAsia" w:ascii="宋体" w:hAnsi="宋体" w:eastAsia="宋体" w:cs="宋体"/>
                <w:color w:val="auto"/>
                <w:sz w:val="21"/>
                <w:szCs w:val="21"/>
                <w:highlight w:val="none"/>
              </w:rPr>
            </w:pPr>
          </w:p>
        </w:tc>
        <w:tc>
          <w:tcPr>
            <w:tcW w:w="492" w:type="dxa"/>
            <w:vAlign w:val="center"/>
          </w:tcPr>
          <w:p w14:paraId="65E79597">
            <w:pPr>
              <w:jc w:val="center"/>
              <w:rPr>
                <w:rFonts w:hint="eastAsia" w:ascii="宋体" w:hAnsi="宋体" w:eastAsia="宋体" w:cs="宋体"/>
                <w:color w:val="auto"/>
                <w:sz w:val="21"/>
                <w:szCs w:val="21"/>
                <w:highlight w:val="none"/>
              </w:rPr>
            </w:pPr>
          </w:p>
        </w:tc>
        <w:tc>
          <w:tcPr>
            <w:tcW w:w="2397" w:type="dxa"/>
            <w:vAlign w:val="center"/>
          </w:tcPr>
          <w:p w14:paraId="0DCBC5FE">
            <w:pPr>
              <w:jc w:val="center"/>
              <w:rPr>
                <w:rFonts w:hint="eastAsia" w:ascii="宋体" w:hAnsi="宋体" w:eastAsia="宋体" w:cs="宋体"/>
                <w:color w:val="auto"/>
                <w:sz w:val="21"/>
                <w:szCs w:val="21"/>
                <w:highlight w:val="none"/>
              </w:rPr>
            </w:pPr>
          </w:p>
        </w:tc>
      </w:tr>
      <w:tr w14:paraId="101D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380BB431">
            <w:pPr>
              <w:jc w:val="center"/>
              <w:rPr>
                <w:rFonts w:hint="eastAsia" w:ascii="宋体" w:hAnsi="宋体" w:eastAsia="宋体" w:cs="宋体"/>
                <w:color w:val="auto"/>
                <w:sz w:val="21"/>
                <w:szCs w:val="21"/>
                <w:highlight w:val="none"/>
              </w:rPr>
            </w:pPr>
          </w:p>
        </w:tc>
        <w:tc>
          <w:tcPr>
            <w:tcW w:w="2282" w:type="dxa"/>
            <w:vAlign w:val="center"/>
          </w:tcPr>
          <w:p w14:paraId="7D5B9B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舱室漏水报警设备</w:t>
            </w:r>
          </w:p>
        </w:tc>
        <w:tc>
          <w:tcPr>
            <w:tcW w:w="517" w:type="dxa"/>
            <w:vAlign w:val="center"/>
          </w:tcPr>
          <w:p w14:paraId="0C12CEA0">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4CBB6A22">
            <w:pPr>
              <w:jc w:val="center"/>
              <w:rPr>
                <w:rFonts w:hint="eastAsia" w:ascii="宋体" w:hAnsi="宋体" w:eastAsia="宋体" w:cs="宋体"/>
                <w:color w:val="auto"/>
                <w:sz w:val="21"/>
                <w:szCs w:val="21"/>
                <w:highlight w:val="none"/>
              </w:rPr>
            </w:pPr>
          </w:p>
        </w:tc>
        <w:tc>
          <w:tcPr>
            <w:tcW w:w="742" w:type="dxa"/>
            <w:vAlign w:val="center"/>
          </w:tcPr>
          <w:p w14:paraId="5233AA95">
            <w:pPr>
              <w:jc w:val="center"/>
              <w:rPr>
                <w:rFonts w:hint="eastAsia" w:ascii="宋体" w:hAnsi="宋体" w:eastAsia="宋体" w:cs="宋体"/>
                <w:color w:val="auto"/>
                <w:sz w:val="21"/>
                <w:szCs w:val="21"/>
                <w:highlight w:val="none"/>
              </w:rPr>
            </w:pPr>
          </w:p>
        </w:tc>
        <w:tc>
          <w:tcPr>
            <w:tcW w:w="770" w:type="dxa"/>
            <w:vAlign w:val="center"/>
          </w:tcPr>
          <w:p w14:paraId="46EDBAB2">
            <w:pPr>
              <w:jc w:val="center"/>
              <w:rPr>
                <w:rFonts w:hint="eastAsia" w:ascii="宋体" w:hAnsi="宋体" w:eastAsia="宋体" w:cs="宋体"/>
                <w:color w:val="auto"/>
                <w:sz w:val="21"/>
                <w:szCs w:val="21"/>
                <w:highlight w:val="none"/>
              </w:rPr>
            </w:pPr>
          </w:p>
        </w:tc>
        <w:tc>
          <w:tcPr>
            <w:tcW w:w="492" w:type="dxa"/>
            <w:vAlign w:val="center"/>
          </w:tcPr>
          <w:p w14:paraId="5D0ECD12">
            <w:pPr>
              <w:jc w:val="center"/>
              <w:rPr>
                <w:rFonts w:hint="eastAsia" w:ascii="宋体" w:hAnsi="宋体" w:eastAsia="宋体" w:cs="宋体"/>
                <w:color w:val="auto"/>
                <w:sz w:val="21"/>
                <w:szCs w:val="21"/>
                <w:highlight w:val="none"/>
              </w:rPr>
            </w:pPr>
          </w:p>
        </w:tc>
        <w:tc>
          <w:tcPr>
            <w:tcW w:w="2397" w:type="dxa"/>
            <w:vAlign w:val="center"/>
          </w:tcPr>
          <w:p w14:paraId="3721ABF7">
            <w:pPr>
              <w:jc w:val="center"/>
              <w:rPr>
                <w:rFonts w:hint="eastAsia" w:ascii="宋体" w:hAnsi="宋体" w:eastAsia="宋体" w:cs="宋体"/>
                <w:color w:val="auto"/>
                <w:sz w:val="21"/>
                <w:szCs w:val="21"/>
                <w:highlight w:val="none"/>
              </w:rPr>
            </w:pPr>
          </w:p>
        </w:tc>
      </w:tr>
      <w:tr w14:paraId="6DC45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56EC0991">
            <w:pPr>
              <w:jc w:val="center"/>
              <w:rPr>
                <w:rFonts w:hint="eastAsia" w:ascii="宋体" w:hAnsi="宋体" w:eastAsia="宋体" w:cs="宋体"/>
                <w:color w:val="auto"/>
                <w:sz w:val="21"/>
                <w:szCs w:val="21"/>
                <w:highlight w:val="none"/>
              </w:rPr>
            </w:pPr>
          </w:p>
        </w:tc>
        <w:tc>
          <w:tcPr>
            <w:tcW w:w="2282" w:type="dxa"/>
            <w:vAlign w:val="center"/>
          </w:tcPr>
          <w:p w14:paraId="590F8C4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警示灯</w:t>
            </w:r>
          </w:p>
        </w:tc>
        <w:tc>
          <w:tcPr>
            <w:tcW w:w="517" w:type="dxa"/>
            <w:vAlign w:val="center"/>
          </w:tcPr>
          <w:p w14:paraId="032AEEDD">
            <w:pPr>
              <w:jc w:val="center"/>
              <w:rPr>
                <w:rFonts w:hint="eastAsia" w:ascii="宋体" w:hAnsi="宋体" w:eastAsia="宋体" w:cs="宋体"/>
                <w:color w:val="auto"/>
                <w:sz w:val="21"/>
                <w:szCs w:val="21"/>
                <w:highlight w:val="none"/>
              </w:rPr>
            </w:pPr>
          </w:p>
        </w:tc>
        <w:tc>
          <w:tcPr>
            <w:tcW w:w="492" w:type="dxa"/>
            <w:vAlign w:val="center"/>
          </w:tcPr>
          <w:p w14:paraId="51A88499">
            <w:pPr>
              <w:jc w:val="center"/>
              <w:rPr>
                <w:rFonts w:hint="eastAsia" w:ascii="宋体" w:hAnsi="宋体" w:eastAsia="宋体" w:cs="宋体"/>
                <w:color w:val="auto"/>
                <w:sz w:val="21"/>
                <w:szCs w:val="21"/>
                <w:highlight w:val="none"/>
              </w:rPr>
            </w:pPr>
          </w:p>
        </w:tc>
        <w:tc>
          <w:tcPr>
            <w:tcW w:w="742" w:type="dxa"/>
            <w:vAlign w:val="center"/>
          </w:tcPr>
          <w:p w14:paraId="510DB54A">
            <w:pPr>
              <w:jc w:val="center"/>
              <w:rPr>
                <w:rFonts w:hint="eastAsia" w:ascii="宋体" w:hAnsi="宋体" w:eastAsia="宋体" w:cs="宋体"/>
                <w:color w:val="auto"/>
                <w:sz w:val="21"/>
                <w:szCs w:val="21"/>
                <w:highlight w:val="none"/>
              </w:rPr>
            </w:pPr>
          </w:p>
        </w:tc>
        <w:tc>
          <w:tcPr>
            <w:tcW w:w="770" w:type="dxa"/>
            <w:vAlign w:val="center"/>
          </w:tcPr>
          <w:p w14:paraId="618FA20A">
            <w:pPr>
              <w:jc w:val="center"/>
              <w:rPr>
                <w:rFonts w:hint="eastAsia" w:ascii="宋体" w:hAnsi="宋体" w:eastAsia="宋体" w:cs="宋体"/>
                <w:color w:val="auto"/>
                <w:sz w:val="21"/>
                <w:szCs w:val="21"/>
                <w:highlight w:val="none"/>
              </w:rPr>
            </w:pPr>
          </w:p>
        </w:tc>
        <w:tc>
          <w:tcPr>
            <w:tcW w:w="492" w:type="dxa"/>
            <w:vAlign w:val="center"/>
          </w:tcPr>
          <w:p w14:paraId="1E9F8D5D">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2397" w:type="dxa"/>
            <w:vAlign w:val="center"/>
          </w:tcPr>
          <w:p w14:paraId="40F87A78">
            <w:pPr>
              <w:jc w:val="center"/>
              <w:rPr>
                <w:rFonts w:hint="eastAsia" w:ascii="宋体" w:hAnsi="宋体" w:eastAsia="宋体" w:cs="宋体"/>
                <w:color w:val="auto"/>
                <w:sz w:val="21"/>
                <w:szCs w:val="21"/>
                <w:highlight w:val="none"/>
              </w:rPr>
            </w:pPr>
          </w:p>
        </w:tc>
      </w:tr>
      <w:tr w14:paraId="4AC7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5F86FD73">
            <w:pPr>
              <w:jc w:val="center"/>
              <w:rPr>
                <w:rFonts w:hint="eastAsia" w:ascii="宋体" w:hAnsi="宋体" w:eastAsia="宋体" w:cs="宋体"/>
                <w:color w:val="auto"/>
                <w:sz w:val="21"/>
                <w:szCs w:val="21"/>
                <w:highlight w:val="none"/>
              </w:rPr>
            </w:pPr>
          </w:p>
        </w:tc>
        <w:tc>
          <w:tcPr>
            <w:tcW w:w="2282" w:type="dxa"/>
            <w:vAlign w:val="center"/>
          </w:tcPr>
          <w:p w14:paraId="0AFF5DA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自动定位系统</w:t>
            </w:r>
          </w:p>
        </w:tc>
        <w:tc>
          <w:tcPr>
            <w:tcW w:w="517" w:type="dxa"/>
            <w:vAlign w:val="center"/>
          </w:tcPr>
          <w:p w14:paraId="7084FAF2">
            <w:pPr>
              <w:jc w:val="center"/>
              <w:rPr>
                <w:rFonts w:hint="eastAsia" w:ascii="宋体" w:hAnsi="宋体" w:eastAsia="宋体" w:cs="宋体"/>
                <w:color w:val="auto"/>
                <w:sz w:val="21"/>
                <w:szCs w:val="21"/>
                <w:highlight w:val="none"/>
              </w:rPr>
            </w:pPr>
          </w:p>
        </w:tc>
        <w:tc>
          <w:tcPr>
            <w:tcW w:w="492" w:type="dxa"/>
            <w:vAlign w:val="center"/>
          </w:tcPr>
          <w:p w14:paraId="5E9FC5A5">
            <w:pPr>
              <w:jc w:val="center"/>
              <w:rPr>
                <w:rFonts w:hint="eastAsia" w:ascii="宋体" w:hAnsi="宋体" w:eastAsia="宋体" w:cs="宋体"/>
                <w:color w:val="auto"/>
                <w:sz w:val="21"/>
                <w:szCs w:val="21"/>
                <w:highlight w:val="none"/>
              </w:rPr>
            </w:pPr>
          </w:p>
        </w:tc>
        <w:tc>
          <w:tcPr>
            <w:tcW w:w="742" w:type="dxa"/>
            <w:vAlign w:val="center"/>
          </w:tcPr>
          <w:p w14:paraId="5269C18B">
            <w:pPr>
              <w:jc w:val="center"/>
              <w:rPr>
                <w:rFonts w:hint="eastAsia" w:ascii="宋体" w:hAnsi="宋体" w:eastAsia="宋体" w:cs="宋体"/>
                <w:color w:val="auto"/>
                <w:sz w:val="21"/>
                <w:szCs w:val="21"/>
                <w:highlight w:val="none"/>
              </w:rPr>
            </w:pPr>
          </w:p>
        </w:tc>
        <w:tc>
          <w:tcPr>
            <w:tcW w:w="770" w:type="dxa"/>
            <w:vAlign w:val="center"/>
          </w:tcPr>
          <w:p w14:paraId="6ABC5EDE">
            <w:pPr>
              <w:jc w:val="center"/>
              <w:rPr>
                <w:rFonts w:hint="eastAsia" w:ascii="宋体" w:hAnsi="宋体" w:eastAsia="宋体" w:cs="宋体"/>
                <w:color w:val="auto"/>
                <w:sz w:val="21"/>
                <w:szCs w:val="21"/>
                <w:highlight w:val="none"/>
              </w:rPr>
            </w:pPr>
          </w:p>
        </w:tc>
        <w:tc>
          <w:tcPr>
            <w:tcW w:w="492" w:type="dxa"/>
            <w:vAlign w:val="center"/>
          </w:tcPr>
          <w:p w14:paraId="4D7556FE">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2397" w:type="dxa"/>
            <w:vAlign w:val="center"/>
          </w:tcPr>
          <w:p w14:paraId="02E0B424">
            <w:pPr>
              <w:jc w:val="center"/>
              <w:rPr>
                <w:rFonts w:hint="eastAsia" w:ascii="宋体" w:hAnsi="宋体" w:eastAsia="宋体" w:cs="宋体"/>
                <w:color w:val="auto"/>
                <w:sz w:val="21"/>
                <w:szCs w:val="21"/>
                <w:highlight w:val="none"/>
              </w:rPr>
            </w:pPr>
          </w:p>
        </w:tc>
      </w:tr>
      <w:tr w14:paraId="010CA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39149AF1">
            <w:pPr>
              <w:jc w:val="center"/>
              <w:rPr>
                <w:rFonts w:hint="eastAsia" w:ascii="宋体" w:hAnsi="宋体" w:eastAsia="宋体" w:cs="宋体"/>
                <w:color w:val="auto"/>
                <w:sz w:val="21"/>
                <w:szCs w:val="21"/>
                <w:highlight w:val="none"/>
              </w:rPr>
            </w:pPr>
          </w:p>
        </w:tc>
        <w:tc>
          <w:tcPr>
            <w:tcW w:w="2282" w:type="dxa"/>
            <w:vAlign w:val="center"/>
          </w:tcPr>
          <w:p w14:paraId="74DC89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视频设备检查</w:t>
            </w:r>
          </w:p>
        </w:tc>
        <w:tc>
          <w:tcPr>
            <w:tcW w:w="517" w:type="dxa"/>
            <w:vAlign w:val="center"/>
          </w:tcPr>
          <w:p w14:paraId="091762D6">
            <w:pPr>
              <w:jc w:val="center"/>
              <w:rPr>
                <w:rFonts w:hint="eastAsia" w:ascii="宋体" w:hAnsi="宋体" w:eastAsia="宋体" w:cs="宋体"/>
                <w:color w:val="auto"/>
                <w:sz w:val="21"/>
                <w:szCs w:val="21"/>
                <w:highlight w:val="none"/>
              </w:rPr>
            </w:pPr>
          </w:p>
        </w:tc>
        <w:tc>
          <w:tcPr>
            <w:tcW w:w="492" w:type="dxa"/>
            <w:vAlign w:val="center"/>
          </w:tcPr>
          <w:p w14:paraId="10804DE4">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74E432E6">
            <w:pPr>
              <w:jc w:val="center"/>
              <w:rPr>
                <w:rFonts w:hint="eastAsia" w:ascii="宋体" w:hAnsi="宋体" w:eastAsia="宋体" w:cs="宋体"/>
                <w:color w:val="auto"/>
                <w:sz w:val="21"/>
                <w:szCs w:val="21"/>
                <w:highlight w:val="none"/>
              </w:rPr>
            </w:pPr>
          </w:p>
        </w:tc>
        <w:tc>
          <w:tcPr>
            <w:tcW w:w="770" w:type="dxa"/>
            <w:vAlign w:val="center"/>
          </w:tcPr>
          <w:p w14:paraId="59130A91">
            <w:pPr>
              <w:jc w:val="center"/>
              <w:rPr>
                <w:rFonts w:hint="eastAsia" w:ascii="宋体" w:hAnsi="宋体" w:eastAsia="宋体" w:cs="宋体"/>
                <w:color w:val="auto"/>
                <w:sz w:val="21"/>
                <w:szCs w:val="21"/>
                <w:highlight w:val="none"/>
              </w:rPr>
            </w:pPr>
          </w:p>
        </w:tc>
        <w:tc>
          <w:tcPr>
            <w:tcW w:w="492" w:type="dxa"/>
            <w:vAlign w:val="center"/>
          </w:tcPr>
          <w:p w14:paraId="493C9E3D">
            <w:pPr>
              <w:jc w:val="center"/>
              <w:rPr>
                <w:rFonts w:hint="eastAsia" w:ascii="宋体" w:hAnsi="宋体" w:eastAsia="宋体" w:cs="宋体"/>
                <w:b/>
                <w:color w:val="auto"/>
                <w:sz w:val="21"/>
                <w:szCs w:val="21"/>
                <w:highlight w:val="none"/>
              </w:rPr>
            </w:pPr>
          </w:p>
        </w:tc>
        <w:tc>
          <w:tcPr>
            <w:tcW w:w="2397" w:type="dxa"/>
            <w:vAlign w:val="center"/>
          </w:tcPr>
          <w:p w14:paraId="7C946625">
            <w:pPr>
              <w:jc w:val="center"/>
              <w:rPr>
                <w:rFonts w:hint="eastAsia" w:ascii="宋体" w:hAnsi="宋体" w:eastAsia="宋体" w:cs="宋体"/>
                <w:color w:val="auto"/>
                <w:sz w:val="21"/>
                <w:szCs w:val="21"/>
                <w:highlight w:val="none"/>
              </w:rPr>
            </w:pPr>
          </w:p>
        </w:tc>
      </w:tr>
      <w:tr w14:paraId="4BB6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766" w:type="dxa"/>
            <w:gridSpan w:val="2"/>
            <w:vAlign w:val="center"/>
          </w:tcPr>
          <w:p w14:paraId="5C7DD6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自动采样器</w:t>
            </w:r>
          </w:p>
        </w:tc>
        <w:tc>
          <w:tcPr>
            <w:tcW w:w="517" w:type="dxa"/>
            <w:vAlign w:val="center"/>
          </w:tcPr>
          <w:p w14:paraId="3D987E23">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579BBB90">
            <w:pPr>
              <w:jc w:val="center"/>
              <w:rPr>
                <w:rFonts w:hint="eastAsia" w:ascii="宋体" w:hAnsi="宋体" w:eastAsia="宋体" w:cs="宋体"/>
                <w:color w:val="auto"/>
                <w:sz w:val="21"/>
                <w:szCs w:val="21"/>
                <w:highlight w:val="none"/>
              </w:rPr>
            </w:pPr>
          </w:p>
        </w:tc>
        <w:tc>
          <w:tcPr>
            <w:tcW w:w="742" w:type="dxa"/>
            <w:vAlign w:val="center"/>
          </w:tcPr>
          <w:p w14:paraId="6C1CA3DD">
            <w:pPr>
              <w:jc w:val="center"/>
              <w:rPr>
                <w:rFonts w:hint="eastAsia" w:ascii="宋体" w:hAnsi="宋体" w:eastAsia="宋体" w:cs="宋体"/>
                <w:color w:val="auto"/>
                <w:sz w:val="21"/>
                <w:szCs w:val="21"/>
                <w:highlight w:val="none"/>
              </w:rPr>
            </w:pPr>
          </w:p>
        </w:tc>
        <w:tc>
          <w:tcPr>
            <w:tcW w:w="770" w:type="dxa"/>
            <w:vAlign w:val="center"/>
          </w:tcPr>
          <w:p w14:paraId="39D55C3F">
            <w:pPr>
              <w:jc w:val="center"/>
              <w:rPr>
                <w:rFonts w:hint="eastAsia" w:ascii="宋体" w:hAnsi="宋体" w:eastAsia="宋体" w:cs="宋体"/>
                <w:color w:val="auto"/>
                <w:sz w:val="21"/>
                <w:szCs w:val="21"/>
                <w:highlight w:val="none"/>
              </w:rPr>
            </w:pPr>
          </w:p>
        </w:tc>
        <w:tc>
          <w:tcPr>
            <w:tcW w:w="492" w:type="dxa"/>
            <w:vAlign w:val="center"/>
          </w:tcPr>
          <w:p w14:paraId="3FE65D02">
            <w:pPr>
              <w:jc w:val="center"/>
              <w:rPr>
                <w:rFonts w:hint="eastAsia" w:ascii="宋体" w:hAnsi="宋体" w:eastAsia="宋体" w:cs="宋体"/>
                <w:color w:val="auto"/>
                <w:sz w:val="21"/>
                <w:szCs w:val="21"/>
                <w:highlight w:val="none"/>
              </w:rPr>
            </w:pPr>
          </w:p>
        </w:tc>
        <w:tc>
          <w:tcPr>
            <w:tcW w:w="2397" w:type="dxa"/>
            <w:vAlign w:val="center"/>
          </w:tcPr>
          <w:p w14:paraId="7A98F9BE">
            <w:pPr>
              <w:jc w:val="center"/>
              <w:rPr>
                <w:rFonts w:hint="eastAsia" w:ascii="宋体" w:hAnsi="宋体" w:eastAsia="宋体" w:cs="宋体"/>
                <w:color w:val="auto"/>
                <w:sz w:val="21"/>
                <w:szCs w:val="21"/>
                <w:highlight w:val="none"/>
              </w:rPr>
            </w:pPr>
          </w:p>
        </w:tc>
      </w:tr>
      <w:tr w14:paraId="4C607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766" w:type="dxa"/>
            <w:gridSpan w:val="2"/>
            <w:vAlign w:val="center"/>
          </w:tcPr>
          <w:p w14:paraId="08F411C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数据备份</w:t>
            </w:r>
          </w:p>
        </w:tc>
        <w:tc>
          <w:tcPr>
            <w:tcW w:w="517" w:type="dxa"/>
            <w:vAlign w:val="center"/>
          </w:tcPr>
          <w:p w14:paraId="6F2701C1">
            <w:pPr>
              <w:jc w:val="center"/>
              <w:rPr>
                <w:rFonts w:hint="eastAsia" w:ascii="宋体" w:hAnsi="宋体" w:eastAsia="宋体" w:cs="宋体"/>
                <w:color w:val="auto"/>
                <w:sz w:val="21"/>
                <w:szCs w:val="21"/>
                <w:highlight w:val="none"/>
              </w:rPr>
            </w:pPr>
          </w:p>
        </w:tc>
        <w:tc>
          <w:tcPr>
            <w:tcW w:w="492" w:type="dxa"/>
            <w:vAlign w:val="center"/>
          </w:tcPr>
          <w:p w14:paraId="2EB7F86A">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05A5B604">
            <w:pPr>
              <w:jc w:val="center"/>
              <w:rPr>
                <w:rFonts w:hint="eastAsia" w:ascii="宋体" w:hAnsi="宋体" w:eastAsia="宋体" w:cs="宋体"/>
                <w:color w:val="auto"/>
                <w:sz w:val="21"/>
                <w:szCs w:val="21"/>
                <w:highlight w:val="none"/>
              </w:rPr>
            </w:pPr>
          </w:p>
        </w:tc>
        <w:tc>
          <w:tcPr>
            <w:tcW w:w="770" w:type="dxa"/>
            <w:vAlign w:val="center"/>
          </w:tcPr>
          <w:p w14:paraId="1E4670F1">
            <w:pPr>
              <w:jc w:val="center"/>
              <w:rPr>
                <w:rFonts w:hint="eastAsia" w:ascii="宋体" w:hAnsi="宋体" w:eastAsia="宋体" w:cs="宋体"/>
                <w:color w:val="auto"/>
                <w:sz w:val="21"/>
                <w:szCs w:val="21"/>
                <w:highlight w:val="none"/>
              </w:rPr>
            </w:pPr>
          </w:p>
        </w:tc>
        <w:tc>
          <w:tcPr>
            <w:tcW w:w="492" w:type="dxa"/>
            <w:vAlign w:val="center"/>
          </w:tcPr>
          <w:p w14:paraId="6F5C4FE2">
            <w:pPr>
              <w:jc w:val="center"/>
              <w:rPr>
                <w:rFonts w:hint="eastAsia" w:ascii="宋体" w:hAnsi="宋体" w:eastAsia="宋体" w:cs="宋体"/>
                <w:color w:val="auto"/>
                <w:sz w:val="21"/>
                <w:szCs w:val="21"/>
                <w:highlight w:val="none"/>
              </w:rPr>
            </w:pPr>
          </w:p>
        </w:tc>
        <w:tc>
          <w:tcPr>
            <w:tcW w:w="2397" w:type="dxa"/>
            <w:vAlign w:val="center"/>
          </w:tcPr>
          <w:p w14:paraId="2DB35E3C">
            <w:pPr>
              <w:jc w:val="center"/>
              <w:rPr>
                <w:rFonts w:hint="eastAsia" w:ascii="宋体" w:hAnsi="宋体" w:eastAsia="宋体" w:cs="宋体"/>
                <w:color w:val="auto"/>
                <w:sz w:val="21"/>
                <w:szCs w:val="21"/>
                <w:highlight w:val="none"/>
              </w:rPr>
            </w:pPr>
          </w:p>
        </w:tc>
      </w:tr>
      <w:tr w14:paraId="6E4F6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3766" w:type="dxa"/>
            <w:gridSpan w:val="2"/>
            <w:vAlign w:val="center"/>
          </w:tcPr>
          <w:p w14:paraId="75097F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备机维护</w:t>
            </w:r>
          </w:p>
        </w:tc>
        <w:tc>
          <w:tcPr>
            <w:tcW w:w="517" w:type="dxa"/>
            <w:vAlign w:val="center"/>
          </w:tcPr>
          <w:p w14:paraId="75130482">
            <w:pPr>
              <w:jc w:val="center"/>
              <w:rPr>
                <w:rFonts w:hint="eastAsia" w:ascii="宋体" w:hAnsi="宋体" w:eastAsia="宋体" w:cs="宋体"/>
                <w:color w:val="auto"/>
                <w:sz w:val="21"/>
                <w:szCs w:val="21"/>
                <w:highlight w:val="none"/>
              </w:rPr>
            </w:pPr>
          </w:p>
        </w:tc>
        <w:tc>
          <w:tcPr>
            <w:tcW w:w="492" w:type="dxa"/>
            <w:vAlign w:val="center"/>
          </w:tcPr>
          <w:p w14:paraId="1908D705">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4BC45479">
            <w:pPr>
              <w:jc w:val="center"/>
              <w:rPr>
                <w:rFonts w:hint="eastAsia" w:ascii="宋体" w:hAnsi="宋体" w:eastAsia="宋体" w:cs="宋体"/>
                <w:color w:val="auto"/>
                <w:sz w:val="21"/>
                <w:szCs w:val="21"/>
                <w:highlight w:val="none"/>
              </w:rPr>
            </w:pPr>
          </w:p>
        </w:tc>
        <w:tc>
          <w:tcPr>
            <w:tcW w:w="770" w:type="dxa"/>
            <w:vAlign w:val="center"/>
          </w:tcPr>
          <w:p w14:paraId="64010D32">
            <w:pPr>
              <w:jc w:val="center"/>
              <w:rPr>
                <w:rFonts w:hint="eastAsia" w:ascii="宋体" w:hAnsi="宋体" w:eastAsia="宋体" w:cs="宋体"/>
                <w:color w:val="auto"/>
                <w:sz w:val="21"/>
                <w:szCs w:val="21"/>
                <w:highlight w:val="none"/>
              </w:rPr>
            </w:pPr>
          </w:p>
        </w:tc>
        <w:tc>
          <w:tcPr>
            <w:tcW w:w="492" w:type="dxa"/>
            <w:vAlign w:val="center"/>
          </w:tcPr>
          <w:p w14:paraId="2C273DE9">
            <w:pPr>
              <w:jc w:val="center"/>
              <w:rPr>
                <w:rFonts w:hint="eastAsia" w:ascii="宋体" w:hAnsi="宋体" w:eastAsia="宋体" w:cs="宋体"/>
                <w:color w:val="auto"/>
                <w:sz w:val="21"/>
                <w:szCs w:val="21"/>
                <w:highlight w:val="none"/>
              </w:rPr>
            </w:pPr>
          </w:p>
        </w:tc>
        <w:tc>
          <w:tcPr>
            <w:tcW w:w="2397" w:type="dxa"/>
            <w:vAlign w:val="center"/>
          </w:tcPr>
          <w:p w14:paraId="582F10F9">
            <w:pPr>
              <w:jc w:val="center"/>
              <w:rPr>
                <w:rFonts w:hint="eastAsia" w:ascii="宋体" w:hAnsi="宋体" w:eastAsia="宋体" w:cs="宋体"/>
                <w:color w:val="auto"/>
                <w:sz w:val="21"/>
                <w:szCs w:val="21"/>
                <w:highlight w:val="none"/>
              </w:rPr>
            </w:pPr>
          </w:p>
        </w:tc>
      </w:tr>
    </w:tbl>
    <w:p w14:paraId="58E4DE25">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  质量控制要求</w:t>
      </w:r>
    </w:p>
    <w:p w14:paraId="6C97B7B3">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4.3.1 运维单位应按照下表规定的质控项目对水站开展水质质控措施，实施频次应不低于下表规定。</w:t>
      </w:r>
    </w:p>
    <w:p w14:paraId="650EC138">
      <w:pPr>
        <w:pStyle w:val="11"/>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表2 水质自动分析仪质控措施及频次</w:t>
      </w:r>
    </w:p>
    <w:tbl>
      <w:tblPr>
        <w:tblStyle w:val="7"/>
        <w:tblpPr w:leftFromText="180" w:rightFromText="180" w:vertAnchor="text" w:horzAnchor="margin" w:tblpXSpec="center" w:tblpY="117"/>
        <w:tblW w:w="10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4"/>
        <w:gridCol w:w="1761"/>
        <w:gridCol w:w="2117"/>
        <w:gridCol w:w="1270"/>
        <w:gridCol w:w="3166"/>
      </w:tblGrid>
      <w:tr w14:paraId="05F0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244" w:type="dxa"/>
            <w:vMerge w:val="restart"/>
            <w:vAlign w:val="center"/>
          </w:tcPr>
          <w:p w14:paraId="1108E7DD">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质控项目</w:t>
            </w:r>
          </w:p>
        </w:tc>
        <w:tc>
          <w:tcPr>
            <w:tcW w:w="3878" w:type="dxa"/>
            <w:gridSpan w:val="2"/>
            <w:vAlign w:val="center"/>
          </w:tcPr>
          <w:p w14:paraId="7024F76D">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不同水质类别的质控要求</w:t>
            </w:r>
          </w:p>
        </w:tc>
        <w:tc>
          <w:tcPr>
            <w:tcW w:w="1270" w:type="dxa"/>
            <w:vMerge w:val="restart"/>
            <w:vAlign w:val="center"/>
          </w:tcPr>
          <w:p w14:paraId="2F96A58D">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质控</w:t>
            </w:r>
          </w:p>
          <w:p w14:paraId="4A4F9957">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频次</w:t>
            </w:r>
          </w:p>
        </w:tc>
        <w:tc>
          <w:tcPr>
            <w:tcW w:w="3166" w:type="dxa"/>
            <w:vMerge w:val="restart"/>
            <w:vAlign w:val="center"/>
          </w:tcPr>
          <w:p w14:paraId="044A8138">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实施对象</w:t>
            </w:r>
          </w:p>
        </w:tc>
      </w:tr>
      <w:tr w14:paraId="5AEC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2244" w:type="dxa"/>
            <w:vMerge w:val="continue"/>
            <w:vAlign w:val="center"/>
          </w:tcPr>
          <w:p w14:paraId="7D392587">
            <w:pPr>
              <w:jc w:val="center"/>
              <w:rPr>
                <w:rFonts w:hint="eastAsia" w:ascii="宋体" w:hAnsi="宋体" w:eastAsia="宋体" w:cs="宋体"/>
                <w:color w:val="auto"/>
                <w:sz w:val="21"/>
                <w:szCs w:val="21"/>
                <w:highlight w:val="none"/>
                <w:lang w:val="zh-CN"/>
              </w:rPr>
            </w:pPr>
          </w:p>
        </w:tc>
        <w:tc>
          <w:tcPr>
            <w:tcW w:w="1761" w:type="dxa"/>
            <w:vAlign w:val="center"/>
          </w:tcPr>
          <w:p w14:paraId="2D470C84">
            <w:pPr>
              <w:jc w:val="center"/>
              <w:rPr>
                <w:rFonts w:hint="eastAsia" w:ascii="宋体" w:hAnsi="宋体" w:eastAsia="宋体" w:cs="宋体"/>
                <w:color w:val="auto"/>
                <w:sz w:val="21"/>
                <w:szCs w:val="21"/>
                <w:highlight w:val="none"/>
                <w:lang w:val="zh-CN"/>
              </w:rPr>
            </w:pPr>
            <w:r>
              <w:rPr>
                <w:rFonts w:hint="eastAsia" w:ascii="宋体" w:hAnsi="宋体" w:eastAsia="宋体" w:cs="宋体"/>
                <w:bCs/>
                <w:color w:val="auto"/>
                <w:sz w:val="21"/>
                <w:szCs w:val="21"/>
                <w:highlight w:val="none"/>
              </w:rPr>
              <w:t>Ⅰ~Ⅱ类水体</w:t>
            </w:r>
          </w:p>
        </w:tc>
        <w:tc>
          <w:tcPr>
            <w:tcW w:w="2117" w:type="dxa"/>
            <w:vAlign w:val="center"/>
          </w:tcPr>
          <w:p w14:paraId="0DF58441">
            <w:pPr>
              <w:jc w:val="center"/>
              <w:rPr>
                <w:rFonts w:hint="eastAsia" w:ascii="宋体" w:hAnsi="宋体" w:eastAsia="宋体" w:cs="宋体"/>
                <w:color w:val="auto"/>
                <w:sz w:val="21"/>
                <w:szCs w:val="21"/>
                <w:highlight w:val="none"/>
                <w:lang w:val="zh-CN"/>
              </w:rPr>
            </w:pPr>
            <w:r>
              <w:rPr>
                <w:rFonts w:hint="eastAsia" w:ascii="宋体" w:hAnsi="宋体" w:eastAsia="宋体" w:cs="宋体"/>
                <w:bCs/>
                <w:color w:val="auto"/>
                <w:sz w:val="21"/>
                <w:szCs w:val="21"/>
                <w:highlight w:val="none"/>
              </w:rPr>
              <w:t>Ⅲ~劣Ⅴ类水体</w:t>
            </w:r>
          </w:p>
        </w:tc>
        <w:tc>
          <w:tcPr>
            <w:tcW w:w="1270" w:type="dxa"/>
            <w:vMerge w:val="continue"/>
            <w:vAlign w:val="center"/>
          </w:tcPr>
          <w:p w14:paraId="542C034D">
            <w:pPr>
              <w:jc w:val="center"/>
              <w:rPr>
                <w:rFonts w:hint="eastAsia" w:ascii="宋体" w:hAnsi="宋体" w:eastAsia="宋体" w:cs="宋体"/>
                <w:color w:val="auto"/>
                <w:sz w:val="21"/>
                <w:szCs w:val="21"/>
                <w:highlight w:val="none"/>
                <w:lang w:val="zh-CN"/>
              </w:rPr>
            </w:pPr>
          </w:p>
        </w:tc>
        <w:tc>
          <w:tcPr>
            <w:tcW w:w="3166" w:type="dxa"/>
            <w:vMerge w:val="continue"/>
            <w:vAlign w:val="center"/>
          </w:tcPr>
          <w:p w14:paraId="67093CA2">
            <w:pPr>
              <w:jc w:val="center"/>
              <w:rPr>
                <w:rFonts w:hint="eastAsia" w:ascii="宋体" w:hAnsi="宋体" w:eastAsia="宋体" w:cs="宋体"/>
                <w:color w:val="auto"/>
                <w:sz w:val="21"/>
                <w:szCs w:val="21"/>
                <w:highlight w:val="none"/>
                <w:lang w:val="zh-CN"/>
              </w:rPr>
            </w:pPr>
          </w:p>
        </w:tc>
      </w:tr>
      <w:tr w14:paraId="7586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2244" w:type="dxa"/>
            <w:vAlign w:val="center"/>
          </w:tcPr>
          <w:p w14:paraId="1BCBF7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低浓度标样核查/低浓度漂移</w:t>
            </w:r>
          </w:p>
        </w:tc>
        <w:tc>
          <w:tcPr>
            <w:tcW w:w="1761" w:type="dxa"/>
            <w:vAlign w:val="center"/>
          </w:tcPr>
          <w:p w14:paraId="5B04CF0E">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val="zh-CN"/>
              </w:rPr>
              <w:t>√</w:t>
            </w:r>
          </w:p>
        </w:tc>
        <w:tc>
          <w:tcPr>
            <w:tcW w:w="2117" w:type="dxa"/>
            <w:vAlign w:val="center"/>
          </w:tcPr>
          <w:p w14:paraId="1540C0BA">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val="zh-CN"/>
              </w:rPr>
              <w:t>√</w:t>
            </w:r>
          </w:p>
        </w:tc>
        <w:tc>
          <w:tcPr>
            <w:tcW w:w="1270" w:type="dxa"/>
            <w:vAlign w:val="center"/>
          </w:tcPr>
          <w:p w14:paraId="53C3E9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1次/24小时</w:t>
            </w:r>
          </w:p>
        </w:tc>
        <w:tc>
          <w:tcPr>
            <w:tcW w:w="3166" w:type="dxa"/>
            <w:vMerge w:val="restart"/>
            <w:vAlign w:val="center"/>
          </w:tcPr>
          <w:p w14:paraId="1778307F">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COD、</w:t>
            </w:r>
            <w:r>
              <w:rPr>
                <w:rFonts w:hint="eastAsia" w:ascii="宋体" w:hAnsi="宋体" w:eastAsia="宋体" w:cs="宋体"/>
                <w:color w:val="auto"/>
                <w:sz w:val="21"/>
                <w:szCs w:val="21"/>
                <w:highlight w:val="none"/>
                <w:lang w:val="zh-CN"/>
              </w:rPr>
              <w:t>氨氮、高锰酸盐指数、</w:t>
            </w:r>
          </w:p>
          <w:p w14:paraId="5BB334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rPr>
              <w:t>总磷</w:t>
            </w:r>
          </w:p>
        </w:tc>
      </w:tr>
      <w:tr w14:paraId="4E83D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2244" w:type="dxa"/>
            <w:vAlign w:val="center"/>
          </w:tcPr>
          <w:p w14:paraId="00F83793">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高浓度标样核查/高浓度漂移</w:t>
            </w:r>
          </w:p>
        </w:tc>
        <w:tc>
          <w:tcPr>
            <w:tcW w:w="1761" w:type="dxa"/>
            <w:vAlign w:val="center"/>
          </w:tcPr>
          <w:p w14:paraId="3C0C03CF">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val="zh-CN"/>
              </w:rPr>
              <w:t>√</w:t>
            </w:r>
          </w:p>
        </w:tc>
        <w:tc>
          <w:tcPr>
            <w:tcW w:w="2117" w:type="dxa"/>
            <w:vAlign w:val="center"/>
          </w:tcPr>
          <w:p w14:paraId="0A5BE635">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val="zh-CN"/>
              </w:rPr>
              <w:t>√</w:t>
            </w:r>
          </w:p>
        </w:tc>
        <w:tc>
          <w:tcPr>
            <w:tcW w:w="1270" w:type="dxa"/>
            <w:vAlign w:val="center"/>
          </w:tcPr>
          <w:p w14:paraId="21C9177B">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1次/24小时</w:t>
            </w:r>
          </w:p>
        </w:tc>
        <w:tc>
          <w:tcPr>
            <w:tcW w:w="3166" w:type="dxa"/>
            <w:vMerge w:val="continue"/>
            <w:vAlign w:val="center"/>
          </w:tcPr>
          <w:p w14:paraId="75F6FBAB">
            <w:pPr>
              <w:jc w:val="center"/>
              <w:rPr>
                <w:rFonts w:hint="eastAsia" w:ascii="宋体" w:hAnsi="宋体" w:eastAsia="宋体" w:cs="宋体"/>
                <w:color w:val="auto"/>
                <w:sz w:val="21"/>
                <w:szCs w:val="21"/>
                <w:highlight w:val="none"/>
                <w:lang w:val="zh-CN"/>
              </w:rPr>
            </w:pPr>
          </w:p>
        </w:tc>
      </w:tr>
      <w:tr w14:paraId="4AE3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244" w:type="dxa"/>
            <w:vAlign w:val="center"/>
          </w:tcPr>
          <w:p w14:paraId="5477B531">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标样核查</w:t>
            </w:r>
          </w:p>
        </w:tc>
        <w:tc>
          <w:tcPr>
            <w:tcW w:w="1761" w:type="dxa"/>
            <w:vAlign w:val="center"/>
          </w:tcPr>
          <w:p w14:paraId="4FFAC2CA">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2117" w:type="dxa"/>
            <w:vAlign w:val="center"/>
          </w:tcPr>
          <w:p w14:paraId="409264FB">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1270" w:type="dxa"/>
            <w:vAlign w:val="center"/>
          </w:tcPr>
          <w:p w14:paraId="4815AF6B">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每周</w:t>
            </w:r>
          </w:p>
        </w:tc>
        <w:tc>
          <w:tcPr>
            <w:tcW w:w="3166" w:type="dxa"/>
            <w:vAlign w:val="center"/>
          </w:tcPr>
          <w:p w14:paraId="3A58CFCB">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所有参数</w:t>
            </w:r>
          </w:p>
        </w:tc>
      </w:tr>
      <w:tr w14:paraId="17734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2244" w:type="dxa"/>
            <w:vAlign w:val="center"/>
          </w:tcPr>
          <w:p w14:paraId="6D8FB57F">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多点线性核查</w:t>
            </w:r>
          </w:p>
        </w:tc>
        <w:tc>
          <w:tcPr>
            <w:tcW w:w="1761" w:type="dxa"/>
            <w:vAlign w:val="center"/>
          </w:tcPr>
          <w:p w14:paraId="50E33A63">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2117" w:type="dxa"/>
            <w:vAlign w:val="center"/>
          </w:tcPr>
          <w:p w14:paraId="39A7CAC3">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1270" w:type="dxa"/>
            <w:vAlign w:val="center"/>
          </w:tcPr>
          <w:p w14:paraId="1E57C555">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每月</w:t>
            </w:r>
          </w:p>
        </w:tc>
        <w:tc>
          <w:tcPr>
            <w:tcW w:w="3166" w:type="dxa"/>
            <w:vAlign w:val="center"/>
          </w:tcPr>
          <w:p w14:paraId="1132F8B0">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氨氮、高锰酸盐指数、</w:t>
            </w:r>
          </w:p>
          <w:p w14:paraId="2B4021C8">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总磷、叶绿素a、</w:t>
            </w:r>
          </w:p>
          <w:p w14:paraId="68626C53">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蓝绿藻密度</w:t>
            </w:r>
          </w:p>
        </w:tc>
      </w:tr>
      <w:tr w14:paraId="23D0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244" w:type="dxa"/>
            <w:vAlign w:val="center"/>
          </w:tcPr>
          <w:p w14:paraId="4AD0E9FE">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集成干预检查</w:t>
            </w:r>
          </w:p>
        </w:tc>
        <w:tc>
          <w:tcPr>
            <w:tcW w:w="1761" w:type="dxa"/>
          </w:tcPr>
          <w:p w14:paraId="0B8709D0">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2117" w:type="dxa"/>
            <w:vAlign w:val="center"/>
          </w:tcPr>
          <w:p w14:paraId="7701E94C">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1270" w:type="dxa"/>
            <w:vAlign w:val="center"/>
          </w:tcPr>
          <w:p w14:paraId="372B3BE6">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每月</w:t>
            </w:r>
          </w:p>
        </w:tc>
        <w:tc>
          <w:tcPr>
            <w:tcW w:w="3166" w:type="dxa"/>
            <w:vMerge w:val="restart"/>
            <w:vAlign w:val="center"/>
          </w:tcPr>
          <w:p w14:paraId="21F8E4C9">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氨氮、高锰酸盐指数、总磷（浮标站除外）</w:t>
            </w:r>
          </w:p>
        </w:tc>
      </w:tr>
      <w:tr w14:paraId="0136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244" w:type="dxa"/>
            <w:vAlign w:val="center"/>
          </w:tcPr>
          <w:p w14:paraId="24A94F39">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加标回收率</w:t>
            </w:r>
          </w:p>
        </w:tc>
        <w:tc>
          <w:tcPr>
            <w:tcW w:w="1761" w:type="dxa"/>
          </w:tcPr>
          <w:p w14:paraId="7E626961">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2117" w:type="dxa"/>
            <w:vAlign w:val="center"/>
          </w:tcPr>
          <w:p w14:paraId="16A2F5BD">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1270" w:type="dxa"/>
            <w:vAlign w:val="center"/>
          </w:tcPr>
          <w:p w14:paraId="77855674">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每月</w:t>
            </w:r>
          </w:p>
        </w:tc>
        <w:tc>
          <w:tcPr>
            <w:tcW w:w="3166" w:type="dxa"/>
            <w:vMerge w:val="continue"/>
            <w:vAlign w:val="center"/>
          </w:tcPr>
          <w:p w14:paraId="7BE2ABDE">
            <w:pPr>
              <w:jc w:val="center"/>
              <w:rPr>
                <w:rFonts w:hint="eastAsia" w:ascii="宋体" w:hAnsi="宋体" w:eastAsia="宋体" w:cs="宋体"/>
                <w:color w:val="auto"/>
                <w:szCs w:val="24"/>
                <w:highlight w:val="none"/>
                <w:lang w:val="zh-CN"/>
              </w:rPr>
            </w:pPr>
          </w:p>
        </w:tc>
      </w:tr>
    </w:tbl>
    <w:p w14:paraId="243D02E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4.3.2 运维单位应按照下表规定的质控技术要求对水站开展水质质控措施。</w:t>
      </w:r>
    </w:p>
    <w:p w14:paraId="5808A741">
      <w:pPr>
        <w:pStyle w:val="11"/>
        <w:ind w:left="0" w:leftChars="0" w:firstLine="0" w:firstLineChars="0"/>
        <w:jc w:val="center"/>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val="en-US" w:eastAsia="zh-CN"/>
        </w:rPr>
        <w:t>表 3 水站自动监测仪质量控制技术要求</w:t>
      </w:r>
    </w:p>
    <w:tbl>
      <w:tblPr>
        <w:tblStyle w:val="13"/>
        <w:tblW w:w="9778" w:type="dxa"/>
        <w:tblInd w:w="5"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514"/>
        <w:gridCol w:w="1069"/>
        <w:gridCol w:w="1435"/>
        <w:gridCol w:w="1274"/>
        <w:gridCol w:w="1497"/>
        <w:gridCol w:w="2989"/>
      </w:tblGrid>
      <w:tr w14:paraId="73747888">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4" w:hRule="atLeast"/>
        </w:trPr>
        <w:tc>
          <w:tcPr>
            <w:tcW w:w="1514" w:type="dxa"/>
            <w:tcBorders>
              <w:top w:val="single" w:color="231F20" w:sz="4" w:space="0"/>
              <w:left w:val="single" w:color="231F20" w:sz="4" w:space="0"/>
              <w:bottom w:val="single" w:color="231F20" w:sz="4" w:space="0"/>
            </w:tcBorders>
            <w:vAlign w:val="top"/>
          </w:tcPr>
          <w:p w14:paraId="33ED2597">
            <w:pPr>
              <w:pStyle w:val="12"/>
              <w:spacing w:before="99" w:line="186" w:lineRule="auto"/>
              <w:ind w:left="35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仪器类型</w:t>
            </w:r>
          </w:p>
        </w:tc>
        <w:tc>
          <w:tcPr>
            <w:tcW w:w="2504" w:type="dxa"/>
            <w:gridSpan w:val="2"/>
            <w:tcBorders>
              <w:top w:val="single" w:color="231F20" w:sz="4" w:space="0"/>
              <w:bottom w:val="single" w:color="231F20" w:sz="4" w:space="0"/>
            </w:tcBorders>
            <w:vAlign w:val="top"/>
          </w:tcPr>
          <w:p w14:paraId="421ADF98">
            <w:pPr>
              <w:pStyle w:val="12"/>
              <w:spacing w:before="101" w:line="183" w:lineRule="auto"/>
              <w:ind w:left="823"/>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质控措施</w:t>
            </w:r>
          </w:p>
        </w:tc>
        <w:tc>
          <w:tcPr>
            <w:tcW w:w="1274" w:type="dxa"/>
            <w:tcBorders>
              <w:top w:val="single" w:color="231F20" w:sz="4" w:space="0"/>
              <w:bottom w:val="single" w:color="231F20" w:sz="4" w:space="0"/>
            </w:tcBorders>
            <w:vAlign w:val="top"/>
          </w:tcPr>
          <w:p w14:paraId="7784A0A6">
            <w:pPr>
              <w:pStyle w:val="12"/>
              <w:spacing w:before="102" w:line="183" w:lineRule="auto"/>
              <w:ind w:left="245"/>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性能指标</w:t>
            </w:r>
          </w:p>
        </w:tc>
        <w:tc>
          <w:tcPr>
            <w:tcW w:w="4486" w:type="dxa"/>
            <w:gridSpan w:val="2"/>
            <w:tcBorders>
              <w:top w:val="single" w:color="231F20" w:sz="4" w:space="0"/>
              <w:bottom w:val="single" w:color="231F20" w:sz="4" w:space="0"/>
              <w:right w:val="single" w:color="231F20" w:sz="4" w:space="0"/>
            </w:tcBorders>
            <w:vAlign w:val="top"/>
          </w:tcPr>
          <w:p w14:paraId="7479B254">
            <w:pPr>
              <w:pStyle w:val="12"/>
              <w:spacing w:before="100" w:line="185" w:lineRule="auto"/>
              <w:ind w:left="1754"/>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技术要求</w:t>
            </w:r>
          </w:p>
        </w:tc>
      </w:tr>
      <w:tr w14:paraId="3D46823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6" w:hRule="atLeast"/>
        </w:trPr>
        <w:tc>
          <w:tcPr>
            <w:tcW w:w="1514" w:type="dxa"/>
            <w:vMerge w:val="restart"/>
            <w:tcBorders>
              <w:top w:val="single" w:color="231F20" w:sz="4" w:space="0"/>
              <w:left w:val="single" w:color="231F20" w:sz="4" w:space="0"/>
              <w:bottom w:val="nil"/>
            </w:tcBorders>
            <w:vAlign w:val="top"/>
          </w:tcPr>
          <w:p w14:paraId="794FCB2F">
            <w:pPr>
              <w:pStyle w:val="12"/>
              <w:spacing w:before="169" w:line="184"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高锰酸盐指数</w:t>
            </w:r>
            <w:r>
              <w:rPr>
                <w:rFonts w:hint="eastAsia" w:ascii="宋体" w:hAnsi="宋体" w:eastAsia="宋体" w:cs="宋体"/>
                <w:color w:val="auto"/>
                <w:spacing w:val="17"/>
                <w:sz w:val="21"/>
                <w:szCs w:val="21"/>
                <w:highlight w:val="none"/>
              </w:rPr>
              <w:t>水质自动监测</w:t>
            </w:r>
            <w:r>
              <w:rPr>
                <w:rFonts w:hint="eastAsia" w:ascii="宋体" w:hAnsi="宋体" w:eastAsia="宋体" w:cs="宋体"/>
                <w:color w:val="auto"/>
                <w:spacing w:val="11"/>
                <w:sz w:val="21"/>
                <w:szCs w:val="21"/>
                <w:highlight w:val="none"/>
              </w:rPr>
              <w:t>仪器</w:t>
            </w:r>
          </w:p>
        </w:tc>
        <w:tc>
          <w:tcPr>
            <w:tcW w:w="1069" w:type="dxa"/>
            <w:vMerge w:val="restart"/>
            <w:tcBorders>
              <w:top w:val="single" w:color="231F20" w:sz="4" w:space="0"/>
              <w:bottom w:val="nil"/>
            </w:tcBorders>
            <w:vAlign w:val="top"/>
          </w:tcPr>
          <w:p w14:paraId="07D1BDFD">
            <w:pPr>
              <w:pStyle w:val="12"/>
              <w:spacing w:before="132" w:line="249" w:lineRule="auto"/>
              <w:ind w:left="236" w:right="149" w:hanging="89"/>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低浓度标</w:t>
            </w:r>
            <w:r>
              <w:rPr>
                <w:rFonts w:hint="eastAsia" w:ascii="宋体" w:hAnsi="宋体" w:eastAsia="宋体" w:cs="宋体"/>
                <w:color w:val="auto"/>
                <w:spacing w:val="14"/>
                <w:sz w:val="21"/>
                <w:szCs w:val="21"/>
                <w:highlight w:val="none"/>
              </w:rPr>
              <w:t>样核查</w:t>
            </w:r>
          </w:p>
        </w:tc>
        <w:tc>
          <w:tcPr>
            <w:tcW w:w="1435" w:type="dxa"/>
            <w:tcBorders>
              <w:top w:val="single" w:color="231F20" w:sz="4" w:space="0"/>
            </w:tcBorders>
            <w:vAlign w:val="top"/>
          </w:tcPr>
          <w:p w14:paraId="5A7D933F">
            <w:pPr>
              <w:pStyle w:val="12"/>
              <w:spacing w:before="80"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Ⅰ~Ⅲ类水</w:t>
            </w:r>
          </w:p>
        </w:tc>
        <w:tc>
          <w:tcPr>
            <w:tcW w:w="1274" w:type="dxa"/>
            <w:tcBorders>
              <w:top w:val="single" w:color="231F20" w:sz="4" w:space="0"/>
            </w:tcBorders>
            <w:vAlign w:val="top"/>
          </w:tcPr>
          <w:p w14:paraId="2CDBE9FC">
            <w:pPr>
              <w:pStyle w:val="12"/>
              <w:spacing w:before="97" w:line="180" w:lineRule="auto"/>
              <w:ind w:left="24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绝对误差</w:t>
            </w:r>
          </w:p>
        </w:tc>
        <w:tc>
          <w:tcPr>
            <w:tcW w:w="4486" w:type="dxa"/>
            <w:gridSpan w:val="2"/>
            <w:tcBorders>
              <w:top w:val="single" w:color="231F20" w:sz="4" w:space="0"/>
              <w:right w:val="single" w:color="231F20" w:sz="4" w:space="0"/>
            </w:tcBorders>
            <w:vAlign w:val="top"/>
          </w:tcPr>
          <w:p w14:paraId="12C08085">
            <w:pPr>
              <w:pStyle w:val="12"/>
              <w:spacing w:before="79" w:line="214" w:lineRule="auto"/>
              <w:ind w:left="1489"/>
              <w:rPr>
                <w:rFonts w:hint="eastAsia" w:ascii="宋体" w:hAnsi="宋体" w:eastAsia="宋体" w:cs="宋体"/>
                <w:color w:val="auto"/>
                <w:sz w:val="21"/>
                <w:szCs w:val="21"/>
                <w:highlight w:val="none"/>
              </w:rPr>
            </w:pPr>
            <w:r>
              <w:rPr>
                <w:rFonts w:hint="eastAsia" w:ascii="宋体" w:hAnsi="宋体" w:eastAsia="宋体" w:cs="宋体"/>
                <w:color w:val="auto"/>
                <w:spacing w:val="13"/>
                <w:sz w:val="21"/>
                <w:szCs w:val="21"/>
                <w:highlight w:val="none"/>
              </w:rPr>
              <w:t>±1.0</w:t>
            </w:r>
            <w:r>
              <w:rPr>
                <w:rFonts w:hint="eastAsia" w:ascii="宋体" w:hAnsi="宋体" w:eastAsia="宋体" w:cs="宋体"/>
                <w:color w:val="auto"/>
                <w:spacing w:val="-26"/>
                <w:sz w:val="21"/>
                <w:szCs w:val="21"/>
                <w:highlight w:val="none"/>
              </w:rPr>
              <w:t xml:space="preserve"> </w:t>
            </w:r>
            <w:r>
              <w:rPr>
                <w:rFonts w:hint="eastAsia" w:ascii="宋体" w:hAnsi="宋体" w:eastAsia="宋体" w:cs="宋体"/>
                <w:color w:val="auto"/>
                <w:sz w:val="21"/>
                <w:szCs w:val="21"/>
                <w:highlight w:val="none"/>
              </w:rPr>
              <w:t>mg</w:t>
            </w:r>
            <w:r>
              <w:rPr>
                <w:rFonts w:hint="eastAsia" w:ascii="宋体" w:hAnsi="宋体" w:eastAsia="宋体" w:cs="宋体"/>
                <w:color w:val="auto"/>
                <w:spacing w:val="13"/>
                <w:sz w:val="21"/>
                <w:szCs w:val="21"/>
                <w:highlight w:val="none"/>
              </w:rPr>
              <w:t>/L</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13"/>
                <w:sz w:val="21"/>
                <w:szCs w:val="21"/>
                <w:highlight w:val="none"/>
              </w:rPr>
              <w:t>以内</w:t>
            </w:r>
          </w:p>
        </w:tc>
      </w:tr>
      <w:tr w14:paraId="092C054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17" w:hRule="atLeast"/>
        </w:trPr>
        <w:tc>
          <w:tcPr>
            <w:tcW w:w="1514" w:type="dxa"/>
            <w:vMerge w:val="continue"/>
            <w:tcBorders>
              <w:top w:val="nil"/>
              <w:left w:val="single" w:color="231F20" w:sz="4" w:space="0"/>
              <w:bottom w:val="nil"/>
            </w:tcBorders>
            <w:vAlign w:val="top"/>
          </w:tcPr>
          <w:p w14:paraId="79A4E08E">
            <w:pPr>
              <w:rPr>
                <w:rFonts w:hint="eastAsia" w:ascii="宋体" w:hAnsi="宋体" w:eastAsia="宋体" w:cs="宋体"/>
                <w:color w:val="auto"/>
                <w:sz w:val="21"/>
                <w:szCs w:val="21"/>
                <w:highlight w:val="none"/>
              </w:rPr>
            </w:pPr>
          </w:p>
        </w:tc>
        <w:tc>
          <w:tcPr>
            <w:tcW w:w="1069" w:type="dxa"/>
            <w:vMerge w:val="continue"/>
            <w:tcBorders>
              <w:top w:val="nil"/>
            </w:tcBorders>
            <w:vAlign w:val="top"/>
          </w:tcPr>
          <w:p w14:paraId="73E2EDF8">
            <w:pPr>
              <w:rPr>
                <w:rFonts w:hint="eastAsia" w:ascii="宋体" w:hAnsi="宋体" w:eastAsia="宋体" w:cs="宋体"/>
                <w:color w:val="auto"/>
                <w:sz w:val="21"/>
                <w:szCs w:val="21"/>
                <w:highlight w:val="none"/>
              </w:rPr>
            </w:pPr>
          </w:p>
        </w:tc>
        <w:tc>
          <w:tcPr>
            <w:tcW w:w="1435" w:type="dxa"/>
            <w:vAlign w:val="top"/>
          </w:tcPr>
          <w:p w14:paraId="0E3C8E4F">
            <w:pPr>
              <w:pStyle w:val="12"/>
              <w:spacing w:before="85"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24"/>
                <w:sz w:val="21"/>
                <w:szCs w:val="21"/>
                <w:highlight w:val="none"/>
              </w:rPr>
              <w:t>Ⅳ~劣Ⅴ类水</w:t>
            </w:r>
          </w:p>
        </w:tc>
        <w:tc>
          <w:tcPr>
            <w:tcW w:w="1274" w:type="dxa"/>
            <w:vAlign w:val="top"/>
          </w:tcPr>
          <w:p w14:paraId="648119CE">
            <w:pPr>
              <w:pStyle w:val="12"/>
              <w:spacing w:before="101"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38E1BF8F">
            <w:pPr>
              <w:pStyle w:val="12"/>
              <w:spacing w:before="85" w:line="213" w:lineRule="auto"/>
              <w:ind w:left="108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21"/>
                <w:sz w:val="21"/>
                <w:szCs w:val="21"/>
                <w:highlight w:val="none"/>
              </w:rPr>
              <w:t>标样核查上限值以内</w:t>
            </w:r>
          </w:p>
        </w:tc>
      </w:tr>
      <w:tr w14:paraId="08D746D1">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6" w:hRule="atLeast"/>
        </w:trPr>
        <w:tc>
          <w:tcPr>
            <w:tcW w:w="1514" w:type="dxa"/>
            <w:vMerge w:val="continue"/>
            <w:tcBorders>
              <w:top w:val="nil"/>
              <w:left w:val="single" w:color="231F20" w:sz="4" w:space="0"/>
            </w:tcBorders>
            <w:vAlign w:val="top"/>
          </w:tcPr>
          <w:p w14:paraId="6DEBB811">
            <w:pPr>
              <w:rPr>
                <w:rFonts w:hint="eastAsia" w:ascii="宋体" w:hAnsi="宋体" w:eastAsia="宋体" w:cs="宋体"/>
                <w:color w:val="auto"/>
                <w:sz w:val="21"/>
                <w:szCs w:val="21"/>
                <w:highlight w:val="none"/>
              </w:rPr>
            </w:pPr>
          </w:p>
        </w:tc>
        <w:tc>
          <w:tcPr>
            <w:tcW w:w="2504" w:type="dxa"/>
            <w:gridSpan w:val="2"/>
            <w:vAlign w:val="top"/>
          </w:tcPr>
          <w:p w14:paraId="4FCE5AD9">
            <w:pPr>
              <w:pStyle w:val="12"/>
              <w:spacing w:before="85" w:line="213" w:lineRule="auto"/>
              <w:ind w:left="56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24</w:t>
            </w:r>
            <w:r>
              <w:rPr>
                <w:rFonts w:hint="eastAsia" w:ascii="宋体" w:hAnsi="宋体" w:eastAsia="宋体" w:cs="宋体"/>
                <w:color w:val="auto"/>
                <w:spacing w:val="-23"/>
                <w:sz w:val="21"/>
                <w:szCs w:val="21"/>
                <w:highlight w:val="none"/>
              </w:rPr>
              <w:t xml:space="preserve"> </w:t>
            </w:r>
            <w:r>
              <w:rPr>
                <w:rFonts w:hint="eastAsia" w:ascii="宋体" w:hAnsi="宋体" w:eastAsia="宋体" w:cs="宋体"/>
                <w:color w:val="auto"/>
                <w:spacing w:val="15"/>
                <w:sz w:val="21"/>
                <w:szCs w:val="21"/>
                <w:highlight w:val="none"/>
              </w:rPr>
              <w:t>h低浓度漂移</w:t>
            </w:r>
          </w:p>
        </w:tc>
        <w:tc>
          <w:tcPr>
            <w:tcW w:w="1274" w:type="dxa"/>
            <w:vAlign w:val="top"/>
          </w:tcPr>
          <w:p w14:paraId="6F8A90CA">
            <w:pPr>
              <w:pStyle w:val="12"/>
              <w:spacing w:before="102"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21982896">
            <w:pPr>
              <w:pStyle w:val="12"/>
              <w:spacing w:before="85" w:line="214" w:lineRule="auto"/>
              <w:ind w:left="1667"/>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±10%</w:t>
            </w:r>
            <w:r>
              <w:rPr>
                <w:rFonts w:hint="eastAsia" w:ascii="宋体" w:hAnsi="宋体" w:eastAsia="宋体" w:cs="宋体"/>
                <w:color w:val="auto"/>
                <w:spacing w:val="-24"/>
                <w:sz w:val="21"/>
                <w:szCs w:val="21"/>
                <w:highlight w:val="none"/>
              </w:rPr>
              <w:t xml:space="preserve"> </w:t>
            </w:r>
            <w:r>
              <w:rPr>
                <w:rFonts w:hint="eastAsia" w:ascii="宋体" w:hAnsi="宋体" w:eastAsia="宋体" w:cs="宋体"/>
                <w:color w:val="auto"/>
                <w:spacing w:val="19"/>
                <w:sz w:val="21"/>
                <w:szCs w:val="21"/>
                <w:highlight w:val="none"/>
              </w:rPr>
              <w:t>以内</w:t>
            </w:r>
          </w:p>
        </w:tc>
      </w:tr>
      <w:tr w14:paraId="214BB94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6" w:hRule="atLeast"/>
        </w:trPr>
        <w:tc>
          <w:tcPr>
            <w:tcW w:w="1514" w:type="dxa"/>
            <w:vMerge w:val="restart"/>
            <w:tcBorders>
              <w:left w:val="single" w:color="231F20" w:sz="4" w:space="0"/>
              <w:bottom w:val="nil"/>
            </w:tcBorders>
            <w:vAlign w:val="top"/>
          </w:tcPr>
          <w:p w14:paraId="7F76919B">
            <w:pPr>
              <w:pStyle w:val="12"/>
              <w:spacing w:before="169" w:line="184" w:lineRule="auto"/>
              <w:jc w:val="center"/>
              <w:rPr>
                <w:rFonts w:hint="eastAsia" w:ascii="宋体" w:hAnsi="宋体" w:eastAsia="宋体" w:cs="宋体"/>
                <w:color w:val="auto"/>
                <w:spacing w:val="16"/>
                <w:sz w:val="21"/>
                <w:szCs w:val="21"/>
                <w:highlight w:val="none"/>
              </w:rPr>
            </w:pPr>
          </w:p>
          <w:p w14:paraId="15DC3773">
            <w:pPr>
              <w:pStyle w:val="12"/>
              <w:spacing w:before="169" w:line="184" w:lineRule="auto"/>
              <w:jc w:val="center"/>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氨氮水质自动监测仪器</w:t>
            </w:r>
          </w:p>
        </w:tc>
        <w:tc>
          <w:tcPr>
            <w:tcW w:w="1069" w:type="dxa"/>
            <w:vMerge w:val="restart"/>
            <w:tcBorders>
              <w:bottom w:val="nil"/>
            </w:tcBorders>
            <w:vAlign w:val="top"/>
          </w:tcPr>
          <w:p w14:paraId="566C49A1">
            <w:pPr>
              <w:pStyle w:val="12"/>
              <w:spacing w:before="139" w:line="248" w:lineRule="auto"/>
              <w:ind w:left="236" w:right="149" w:hanging="89"/>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低浓度标</w:t>
            </w:r>
            <w:r>
              <w:rPr>
                <w:rFonts w:hint="eastAsia" w:ascii="宋体" w:hAnsi="宋体" w:eastAsia="宋体" w:cs="宋体"/>
                <w:color w:val="auto"/>
                <w:spacing w:val="14"/>
                <w:sz w:val="21"/>
                <w:szCs w:val="21"/>
                <w:highlight w:val="none"/>
              </w:rPr>
              <w:t>样核查</w:t>
            </w:r>
          </w:p>
        </w:tc>
        <w:tc>
          <w:tcPr>
            <w:tcW w:w="1435" w:type="dxa"/>
            <w:vAlign w:val="top"/>
          </w:tcPr>
          <w:p w14:paraId="3C3851B7">
            <w:pPr>
              <w:pStyle w:val="12"/>
              <w:spacing w:before="86"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Ⅰ~Ⅲ类水</w:t>
            </w:r>
          </w:p>
        </w:tc>
        <w:tc>
          <w:tcPr>
            <w:tcW w:w="1274" w:type="dxa"/>
            <w:vAlign w:val="top"/>
          </w:tcPr>
          <w:p w14:paraId="002B85AE">
            <w:pPr>
              <w:pStyle w:val="12"/>
              <w:spacing w:before="103" w:line="180" w:lineRule="auto"/>
              <w:ind w:left="24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绝对误差</w:t>
            </w:r>
          </w:p>
        </w:tc>
        <w:tc>
          <w:tcPr>
            <w:tcW w:w="4486" w:type="dxa"/>
            <w:gridSpan w:val="2"/>
            <w:tcBorders>
              <w:right w:val="single" w:color="231F20" w:sz="4" w:space="0"/>
            </w:tcBorders>
            <w:vAlign w:val="top"/>
          </w:tcPr>
          <w:p w14:paraId="3905B640">
            <w:pPr>
              <w:pStyle w:val="12"/>
              <w:spacing w:before="85" w:line="214" w:lineRule="auto"/>
              <w:ind w:left="1488"/>
              <w:rPr>
                <w:rFonts w:hint="eastAsia" w:ascii="宋体" w:hAnsi="宋体" w:eastAsia="宋体" w:cs="宋体"/>
                <w:color w:val="auto"/>
                <w:sz w:val="21"/>
                <w:szCs w:val="21"/>
                <w:highlight w:val="none"/>
              </w:rPr>
            </w:pPr>
            <w:r>
              <w:rPr>
                <w:rFonts w:hint="eastAsia" w:ascii="宋体" w:hAnsi="宋体" w:eastAsia="宋体" w:cs="宋体"/>
                <w:color w:val="auto"/>
                <w:spacing w:val="13"/>
                <w:sz w:val="21"/>
                <w:szCs w:val="21"/>
                <w:highlight w:val="none"/>
              </w:rPr>
              <w:t>±0.2</w:t>
            </w:r>
            <w:r>
              <w:rPr>
                <w:rFonts w:hint="eastAsia" w:ascii="宋体" w:hAnsi="宋体" w:eastAsia="宋体" w:cs="宋体"/>
                <w:color w:val="auto"/>
                <w:spacing w:val="-25"/>
                <w:sz w:val="21"/>
                <w:szCs w:val="21"/>
                <w:highlight w:val="none"/>
              </w:rPr>
              <w:t xml:space="preserve"> </w:t>
            </w:r>
            <w:r>
              <w:rPr>
                <w:rFonts w:hint="eastAsia" w:ascii="宋体" w:hAnsi="宋体" w:eastAsia="宋体" w:cs="宋体"/>
                <w:color w:val="auto"/>
                <w:sz w:val="21"/>
                <w:szCs w:val="21"/>
                <w:highlight w:val="none"/>
              </w:rPr>
              <w:t>mg</w:t>
            </w:r>
            <w:r>
              <w:rPr>
                <w:rFonts w:hint="eastAsia" w:ascii="宋体" w:hAnsi="宋体" w:eastAsia="宋体" w:cs="宋体"/>
                <w:color w:val="auto"/>
                <w:spacing w:val="13"/>
                <w:sz w:val="21"/>
                <w:szCs w:val="21"/>
                <w:highlight w:val="none"/>
              </w:rPr>
              <w:t>/L</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13"/>
                <w:sz w:val="21"/>
                <w:szCs w:val="21"/>
                <w:highlight w:val="none"/>
              </w:rPr>
              <w:t>以内</w:t>
            </w:r>
          </w:p>
        </w:tc>
      </w:tr>
      <w:tr w14:paraId="19CCAEA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15" w:hRule="atLeast"/>
        </w:trPr>
        <w:tc>
          <w:tcPr>
            <w:tcW w:w="1514" w:type="dxa"/>
            <w:vMerge w:val="continue"/>
            <w:tcBorders>
              <w:top w:val="nil"/>
              <w:left w:val="single" w:color="231F20" w:sz="4" w:space="0"/>
              <w:bottom w:val="nil"/>
            </w:tcBorders>
            <w:vAlign w:val="top"/>
          </w:tcPr>
          <w:p w14:paraId="5901A6D6">
            <w:pPr>
              <w:pStyle w:val="12"/>
              <w:spacing w:before="169" w:line="184" w:lineRule="auto"/>
              <w:jc w:val="center"/>
              <w:rPr>
                <w:rFonts w:hint="eastAsia" w:ascii="宋体" w:hAnsi="宋体" w:eastAsia="宋体" w:cs="宋体"/>
                <w:color w:val="auto"/>
                <w:spacing w:val="16"/>
                <w:sz w:val="21"/>
                <w:szCs w:val="21"/>
                <w:highlight w:val="none"/>
              </w:rPr>
            </w:pPr>
          </w:p>
        </w:tc>
        <w:tc>
          <w:tcPr>
            <w:tcW w:w="1069" w:type="dxa"/>
            <w:vMerge w:val="continue"/>
            <w:tcBorders>
              <w:top w:val="nil"/>
            </w:tcBorders>
            <w:vAlign w:val="top"/>
          </w:tcPr>
          <w:p w14:paraId="59701559">
            <w:pPr>
              <w:rPr>
                <w:rFonts w:hint="eastAsia" w:ascii="宋体" w:hAnsi="宋体" w:eastAsia="宋体" w:cs="宋体"/>
                <w:color w:val="auto"/>
                <w:sz w:val="21"/>
                <w:szCs w:val="21"/>
                <w:highlight w:val="none"/>
              </w:rPr>
            </w:pPr>
          </w:p>
        </w:tc>
        <w:tc>
          <w:tcPr>
            <w:tcW w:w="1435" w:type="dxa"/>
            <w:vAlign w:val="top"/>
          </w:tcPr>
          <w:p w14:paraId="69C7B2EA">
            <w:pPr>
              <w:pStyle w:val="12"/>
              <w:spacing w:before="86"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24"/>
                <w:sz w:val="21"/>
                <w:szCs w:val="21"/>
                <w:highlight w:val="none"/>
              </w:rPr>
              <w:t>Ⅳ~劣Ⅴ类水</w:t>
            </w:r>
          </w:p>
        </w:tc>
        <w:tc>
          <w:tcPr>
            <w:tcW w:w="1274" w:type="dxa"/>
            <w:vAlign w:val="top"/>
          </w:tcPr>
          <w:p w14:paraId="2757A914">
            <w:pPr>
              <w:pStyle w:val="12"/>
              <w:spacing w:before="103"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0D9506C9">
            <w:pPr>
              <w:pStyle w:val="12"/>
              <w:spacing w:before="87" w:line="213" w:lineRule="auto"/>
              <w:ind w:left="108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21"/>
                <w:sz w:val="21"/>
                <w:szCs w:val="21"/>
                <w:highlight w:val="none"/>
              </w:rPr>
              <w:t>标样核查上限值以内</w:t>
            </w:r>
          </w:p>
        </w:tc>
      </w:tr>
      <w:tr w14:paraId="23CD9C6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7" w:hRule="atLeast"/>
        </w:trPr>
        <w:tc>
          <w:tcPr>
            <w:tcW w:w="1514" w:type="dxa"/>
            <w:vMerge w:val="continue"/>
            <w:tcBorders>
              <w:top w:val="nil"/>
              <w:left w:val="single" w:color="231F20" w:sz="4" w:space="0"/>
            </w:tcBorders>
            <w:vAlign w:val="top"/>
          </w:tcPr>
          <w:p w14:paraId="319F95F1">
            <w:pPr>
              <w:pStyle w:val="12"/>
              <w:spacing w:before="169" w:line="184" w:lineRule="auto"/>
              <w:jc w:val="center"/>
              <w:rPr>
                <w:rFonts w:hint="eastAsia" w:ascii="宋体" w:hAnsi="宋体" w:eastAsia="宋体" w:cs="宋体"/>
                <w:color w:val="auto"/>
                <w:spacing w:val="16"/>
                <w:sz w:val="21"/>
                <w:szCs w:val="21"/>
                <w:highlight w:val="none"/>
              </w:rPr>
            </w:pPr>
          </w:p>
        </w:tc>
        <w:tc>
          <w:tcPr>
            <w:tcW w:w="2504" w:type="dxa"/>
            <w:gridSpan w:val="2"/>
            <w:vAlign w:val="top"/>
          </w:tcPr>
          <w:p w14:paraId="1FC85270">
            <w:pPr>
              <w:pStyle w:val="12"/>
              <w:spacing w:before="86" w:line="213" w:lineRule="auto"/>
              <w:ind w:left="544"/>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24</w:t>
            </w:r>
            <w:r>
              <w:rPr>
                <w:rFonts w:hint="eastAsia" w:ascii="宋体" w:hAnsi="宋体" w:eastAsia="宋体" w:cs="宋体"/>
                <w:color w:val="auto"/>
                <w:spacing w:val="-23"/>
                <w:sz w:val="21"/>
                <w:szCs w:val="21"/>
                <w:highlight w:val="none"/>
              </w:rPr>
              <w:t xml:space="preserve"> </w:t>
            </w:r>
            <w:r>
              <w:rPr>
                <w:rFonts w:hint="eastAsia" w:ascii="宋体" w:hAnsi="宋体" w:eastAsia="宋体" w:cs="宋体"/>
                <w:color w:val="auto"/>
                <w:spacing w:val="15"/>
                <w:sz w:val="21"/>
                <w:szCs w:val="21"/>
                <w:highlight w:val="none"/>
              </w:rPr>
              <w:t>h低浓度漂移</w:t>
            </w:r>
          </w:p>
        </w:tc>
        <w:tc>
          <w:tcPr>
            <w:tcW w:w="1274" w:type="dxa"/>
            <w:vAlign w:val="top"/>
          </w:tcPr>
          <w:p w14:paraId="36F4BA7D">
            <w:pPr>
              <w:pStyle w:val="12"/>
              <w:spacing w:before="103"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7088E90B">
            <w:pPr>
              <w:pStyle w:val="12"/>
              <w:spacing w:before="86" w:line="214" w:lineRule="auto"/>
              <w:ind w:left="171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25"/>
                <w:sz w:val="21"/>
                <w:szCs w:val="21"/>
                <w:highlight w:val="none"/>
              </w:rPr>
              <w:t xml:space="preserve"> </w:t>
            </w:r>
            <w:r>
              <w:rPr>
                <w:rFonts w:hint="eastAsia" w:ascii="宋体" w:hAnsi="宋体" w:eastAsia="宋体" w:cs="宋体"/>
                <w:color w:val="auto"/>
                <w:spacing w:val="21"/>
                <w:sz w:val="21"/>
                <w:szCs w:val="21"/>
                <w:highlight w:val="none"/>
              </w:rPr>
              <w:t>以内</w:t>
            </w:r>
          </w:p>
        </w:tc>
      </w:tr>
      <w:tr w14:paraId="6C25AFB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0" w:hRule="atLeast"/>
        </w:trPr>
        <w:tc>
          <w:tcPr>
            <w:tcW w:w="1514" w:type="dxa"/>
            <w:vMerge w:val="restart"/>
            <w:tcBorders>
              <w:left w:val="single" w:color="231F20" w:sz="4" w:space="0"/>
              <w:bottom w:val="nil"/>
            </w:tcBorders>
            <w:vAlign w:val="top"/>
          </w:tcPr>
          <w:p w14:paraId="1A7541C1">
            <w:pPr>
              <w:pStyle w:val="12"/>
              <w:spacing w:before="169" w:line="184" w:lineRule="auto"/>
              <w:jc w:val="center"/>
              <w:rPr>
                <w:rFonts w:hint="eastAsia" w:ascii="宋体" w:hAnsi="宋体" w:eastAsia="宋体" w:cs="宋体"/>
                <w:color w:val="auto"/>
                <w:spacing w:val="16"/>
                <w:sz w:val="21"/>
                <w:szCs w:val="21"/>
                <w:highlight w:val="none"/>
              </w:rPr>
            </w:pPr>
          </w:p>
          <w:p w14:paraId="642547E8">
            <w:pPr>
              <w:pStyle w:val="12"/>
              <w:spacing w:before="169" w:line="184" w:lineRule="auto"/>
              <w:jc w:val="center"/>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总磷水质自动监测仪器</w:t>
            </w:r>
          </w:p>
        </w:tc>
        <w:tc>
          <w:tcPr>
            <w:tcW w:w="1069" w:type="dxa"/>
            <w:vMerge w:val="restart"/>
            <w:tcBorders>
              <w:bottom w:val="nil"/>
            </w:tcBorders>
            <w:vAlign w:val="top"/>
          </w:tcPr>
          <w:p w14:paraId="6C3A3C48">
            <w:pPr>
              <w:pStyle w:val="12"/>
              <w:spacing w:before="140" w:line="248" w:lineRule="auto"/>
              <w:ind w:left="236" w:right="149" w:hanging="89"/>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低浓度标</w:t>
            </w:r>
            <w:r>
              <w:rPr>
                <w:rFonts w:hint="eastAsia" w:ascii="宋体" w:hAnsi="宋体" w:eastAsia="宋体" w:cs="宋体"/>
                <w:color w:val="auto"/>
                <w:spacing w:val="14"/>
                <w:sz w:val="21"/>
                <w:szCs w:val="21"/>
                <w:highlight w:val="none"/>
              </w:rPr>
              <w:t>样核查</w:t>
            </w:r>
          </w:p>
        </w:tc>
        <w:tc>
          <w:tcPr>
            <w:tcW w:w="1435" w:type="dxa"/>
            <w:vAlign w:val="top"/>
          </w:tcPr>
          <w:p w14:paraId="4905845A">
            <w:pPr>
              <w:pStyle w:val="12"/>
              <w:spacing w:before="87"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Ⅰ~Ⅲ类水</w:t>
            </w:r>
          </w:p>
        </w:tc>
        <w:tc>
          <w:tcPr>
            <w:tcW w:w="1274" w:type="dxa"/>
            <w:vAlign w:val="top"/>
          </w:tcPr>
          <w:p w14:paraId="01A64B53">
            <w:pPr>
              <w:pStyle w:val="12"/>
              <w:spacing w:before="104" w:line="180" w:lineRule="auto"/>
              <w:ind w:left="24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绝对误差</w:t>
            </w:r>
          </w:p>
        </w:tc>
        <w:tc>
          <w:tcPr>
            <w:tcW w:w="4486" w:type="dxa"/>
            <w:gridSpan w:val="2"/>
            <w:tcBorders>
              <w:right w:val="single" w:color="231F20" w:sz="4" w:space="0"/>
            </w:tcBorders>
            <w:vAlign w:val="top"/>
          </w:tcPr>
          <w:p w14:paraId="412F9E4E">
            <w:pPr>
              <w:pStyle w:val="12"/>
              <w:spacing w:before="87" w:line="214" w:lineRule="auto"/>
              <w:ind w:left="1444"/>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±0.02</w:t>
            </w:r>
            <w:r>
              <w:rPr>
                <w:rFonts w:hint="eastAsia" w:ascii="宋体" w:hAnsi="宋体" w:eastAsia="宋体" w:cs="宋体"/>
                <w:color w:val="auto"/>
                <w:spacing w:val="-19"/>
                <w:sz w:val="21"/>
                <w:szCs w:val="21"/>
                <w:highlight w:val="none"/>
              </w:rPr>
              <w:t xml:space="preserve"> </w:t>
            </w:r>
            <w:r>
              <w:rPr>
                <w:rFonts w:hint="eastAsia" w:ascii="宋体" w:hAnsi="宋体" w:eastAsia="宋体" w:cs="宋体"/>
                <w:color w:val="auto"/>
                <w:sz w:val="21"/>
                <w:szCs w:val="21"/>
                <w:highlight w:val="none"/>
              </w:rPr>
              <w:t>mg</w:t>
            </w:r>
            <w:r>
              <w:rPr>
                <w:rFonts w:hint="eastAsia" w:ascii="宋体" w:hAnsi="宋体" w:eastAsia="宋体" w:cs="宋体"/>
                <w:color w:val="auto"/>
                <w:spacing w:val="12"/>
                <w:sz w:val="21"/>
                <w:szCs w:val="21"/>
                <w:highlight w:val="none"/>
              </w:rPr>
              <w:t>/L</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12"/>
                <w:sz w:val="21"/>
                <w:szCs w:val="21"/>
                <w:highlight w:val="none"/>
              </w:rPr>
              <w:t>以内</w:t>
            </w:r>
          </w:p>
        </w:tc>
      </w:tr>
      <w:tr w14:paraId="43B5708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14" w:hRule="atLeast"/>
        </w:trPr>
        <w:tc>
          <w:tcPr>
            <w:tcW w:w="1514" w:type="dxa"/>
            <w:vMerge w:val="continue"/>
            <w:tcBorders>
              <w:top w:val="nil"/>
              <w:left w:val="single" w:color="231F20" w:sz="4" w:space="0"/>
              <w:bottom w:val="nil"/>
            </w:tcBorders>
            <w:vAlign w:val="top"/>
          </w:tcPr>
          <w:p w14:paraId="2B63EE23">
            <w:pPr>
              <w:pStyle w:val="12"/>
              <w:spacing w:before="169" w:line="184" w:lineRule="auto"/>
              <w:jc w:val="center"/>
              <w:rPr>
                <w:rFonts w:hint="eastAsia" w:ascii="宋体" w:hAnsi="宋体" w:eastAsia="宋体" w:cs="宋体"/>
                <w:color w:val="auto"/>
                <w:spacing w:val="16"/>
                <w:sz w:val="21"/>
                <w:szCs w:val="21"/>
                <w:highlight w:val="none"/>
              </w:rPr>
            </w:pPr>
          </w:p>
        </w:tc>
        <w:tc>
          <w:tcPr>
            <w:tcW w:w="1069" w:type="dxa"/>
            <w:vMerge w:val="continue"/>
            <w:tcBorders>
              <w:top w:val="nil"/>
            </w:tcBorders>
            <w:vAlign w:val="top"/>
          </w:tcPr>
          <w:p w14:paraId="390F5D88">
            <w:pPr>
              <w:rPr>
                <w:rFonts w:hint="eastAsia" w:ascii="宋体" w:hAnsi="宋体" w:eastAsia="宋体" w:cs="宋体"/>
                <w:color w:val="auto"/>
                <w:sz w:val="21"/>
                <w:szCs w:val="21"/>
                <w:highlight w:val="none"/>
              </w:rPr>
            </w:pPr>
          </w:p>
        </w:tc>
        <w:tc>
          <w:tcPr>
            <w:tcW w:w="1435" w:type="dxa"/>
            <w:vAlign w:val="top"/>
          </w:tcPr>
          <w:p w14:paraId="45E06E9D">
            <w:pPr>
              <w:pStyle w:val="12"/>
              <w:spacing w:before="88"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24"/>
                <w:sz w:val="21"/>
                <w:szCs w:val="21"/>
                <w:highlight w:val="none"/>
              </w:rPr>
              <w:t>Ⅳ~劣Ⅴ类水</w:t>
            </w:r>
          </w:p>
        </w:tc>
        <w:tc>
          <w:tcPr>
            <w:tcW w:w="1274" w:type="dxa"/>
            <w:vAlign w:val="top"/>
          </w:tcPr>
          <w:p w14:paraId="73E17244">
            <w:pPr>
              <w:pStyle w:val="12"/>
              <w:spacing w:before="104"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7E036FFA">
            <w:pPr>
              <w:pStyle w:val="12"/>
              <w:spacing w:before="88" w:line="213" w:lineRule="auto"/>
              <w:ind w:left="108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21"/>
                <w:sz w:val="21"/>
                <w:szCs w:val="21"/>
                <w:highlight w:val="none"/>
              </w:rPr>
              <w:t>标样核查上限值以内</w:t>
            </w:r>
          </w:p>
        </w:tc>
      </w:tr>
      <w:tr w14:paraId="320FB25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7" w:hRule="atLeast"/>
        </w:trPr>
        <w:tc>
          <w:tcPr>
            <w:tcW w:w="1514" w:type="dxa"/>
            <w:vMerge w:val="continue"/>
            <w:tcBorders>
              <w:top w:val="nil"/>
              <w:left w:val="single" w:color="231F20" w:sz="4" w:space="0"/>
            </w:tcBorders>
            <w:vAlign w:val="top"/>
          </w:tcPr>
          <w:p w14:paraId="7BBDF19B">
            <w:pPr>
              <w:pStyle w:val="12"/>
              <w:spacing w:before="169" w:line="184" w:lineRule="auto"/>
              <w:jc w:val="center"/>
              <w:rPr>
                <w:rFonts w:hint="eastAsia" w:ascii="宋体" w:hAnsi="宋体" w:eastAsia="宋体" w:cs="宋体"/>
                <w:color w:val="auto"/>
                <w:spacing w:val="16"/>
                <w:sz w:val="21"/>
                <w:szCs w:val="21"/>
                <w:highlight w:val="none"/>
              </w:rPr>
            </w:pPr>
          </w:p>
        </w:tc>
        <w:tc>
          <w:tcPr>
            <w:tcW w:w="2504" w:type="dxa"/>
            <w:gridSpan w:val="2"/>
            <w:vAlign w:val="top"/>
          </w:tcPr>
          <w:p w14:paraId="38337791">
            <w:pPr>
              <w:pStyle w:val="12"/>
              <w:spacing w:before="86" w:line="213" w:lineRule="auto"/>
              <w:ind w:left="544"/>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24</w:t>
            </w:r>
            <w:r>
              <w:rPr>
                <w:rFonts w:hint="eastAsia" w:ascii="宋体" w:hAnsi="宋体" w:eastAsia="宋体" w:cs="宋体"/>
                <w:color w:val="auto"/>
                <w:spacing w:val="-23"/>
                <w:sz w:val="21"/>
                <w:szCs w:val="21"/>
                <w:highlight w:val="none"/>
              </w:rPr>
              <w:t xml:space="preserve"> </w:t>
            </w:r>
            <w:r>
              <w:rPr>
                <w:rFonts w:hint="eastAsia" w:ascii="宋体" w:hAnsi="宋体" w:eastAsia="宋体" w:cs="宋体"/>
                <w:color w:val="auto"/>
                <w:spacing w:val="15"/>
                <w:sz w:val="21"/>
                <w:szCs w:val="21"/>
                <w:highlight w:val="none"/>
              </w:rPr>
              <w:t>h低浓度漂移</w:t>
            </w:r>
          </w:p>
        </w:tc>
        <w:tc>
          <w:tcPr>
            <w:tcW w:w="1274" w:type="dxa"/>
            <w:vAlign w:val="top"/>
          </w:tcPr>
          <w:p w14:paraId="63B8A72D">
            <w:pPr>
              <w:pStyle w:val="12"/>
              <w:spacing w:before="103"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03802362">
            <w:pPr>
              <w:pStyle w:val="12"/>
              <w:spacing w:before="86" w:line="214" w:lineRule="auto"/>
              <w:ind w:left="171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25"/>
                <w:sz w:val="21"/>
                <w:szCs w:val="21"/>
                <w:highlight w:val="none"/>
              </w:rPr>
              <w:t xml:space="preserve"> </w:t>
            </w:r>
            <w:r>
              <w:rPr>
                <w:rFonts w:hint="eastAsia" w:ascii="宋体" w:hAnsi="宋体" w:eastAsia="宋体" w:cs="宋体"/>
                <w:color w:val="auto"/>
                <w:spacing w:val="21"/>
                <w:sz w:val="21"/>
                <w:szCs w:val="21"/>
                <w:highlight w:val="none"/>
              </w:rPr>
              <w:t>以内</w:t>
            </w:r>
          </w:p>
        </w:tc>
      </w:tr>
      <w:tr w14:paraId="6EAA2FD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8" w:hRule="atLeast"/>
        </w:trPr>
        <w:tc>
          <w:tcPr>
            <w:tcW w:w="1514" w:type="dxa"/>
            <w:vMerge w:val="restart"/>
            <w:tcBorders>
              <w:left w:val="single" w:color="231F20" w:sz="4" w:space="0"/>
              <w:bottom w:val="nil"/>
            </w:tcBorders>
            <w:vAlign w:val="top"/>
          </w:tcPr>
          <w:p w14:paraId="3E1D0156">
            <w:pPr>
              <w:pStyle w:val="12"/>
              <w:spacing w:before="169" w:line="184" w:lineRule="auto"/>
              <w:jc w:val="center"/>
              <w:rPr>
                <w:rFonts w:hint="eastAsia" w:ascii="宋体" w:hAnsi="宋体" w:eastAsia="宋体" w:cs="宋体"/>
                <w:color w:val="auto"/>
                <w:spacing w:val="16"/>
                <w:sz w:val="21"/>
                <w:szCs w:val="21"/>
                <w:highlight w:val="none"/>
              </w:rPr>
            </w:pPr>
          </w:p>
          <w:p w14:paraId="4C91F30C">
            <w:pPr>
              <w:pStyle w:val="12"/>
              <w:spacing w:before="169" w:line="184" w:lineRule="auto"/>
              <w:jc w:val="center"/>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lang w:val="en-US" w:eastAsia="zh-CN"/>
              </w:rPr>
              <w:t>COD</w:t>
            </w:r>
            <w:r>
              <w:rPr>
                <w:rFonts w:hint="eastAsia" w:ascii="宋体" w:hAnsi="宋体" w:eastAsia="宋体" w:cs="宋体"/>
                <w:color w:val="auto"/>
                <w:spacing w:val="16"/>
                <w:sz w:val="21"/>
                <w:szCs w:val="21"/>
                <w:highlight w:val="none"/>
              </w:rPr>
              <w:t>水质自动监测仪器</w:t>
            </w:r>
          </w:p>
        </w:tc>
        <w:tc>
          <w:tcPr>
            <w:tcW w:w="1069" w:type="dxa"/>
            <w:vMerge w:val="restart"/>
            <w:tcBorders>
              <w:bottom w:val="nil"/>
            </w:tcBorders>
            <w:vAlign w:val="top"/>
          </w:tcPr>
          <w:p w14:paraId="729EEEFF">
            <w:pPr>
              <w:pStyle w:val="12"/>
              <w:spacing w:before="139" w:line="248" w:lineRule="auto"/>
              <w:ind w:left="236" w:right="149" w:hanging="89"/>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低浓度标</w:t>
            </w:r>
            <w:r>
              <w:rPr>
                <w:rFonts w:hint="eastAsia" w:ascii="宋体" w:hAnsi="宋体" w:eastAsia="宋体" w:cs="宋体"/>
                <w:color w:val="auto"/>
                <w:spacing w:val="14"/>
                <w:sz w:val="21"/>
                <w:szCs w:val="21"/>
                <w:highlight w:val="none"/>
              </w:rPr>
              <w:t>样核查</w:t>
            </w:r>
          </w:p>
        </w:tc>
        <w:tc>
          <w:tcPr>
            <w:tcW w:w="1435" w:type="dxa"/>
            <w:vAlign w:val="top"/>
          </w:tcPr>
          <w:p w14:paraId="349C37C6">
            <w:pPr>
              <w:pStyle w:val="12"/>
              <w:spacing w:before="87"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Ⅰ~Ⅲ类水</w:t>
            </w:r>
          </w:p>
        </w:tc>
        <w:tc>
          <w:tcPr>
            <w:tcW w:w="1274" w:type="dxa"/>
            <w:vAlign w:val="top"/>
          </w:tcPr>
          <w:p w14:paraId="790F298C">
            <w:pPr>
              <w:pStyle w:val="12"/>
              <w:spacing w:before="104" w:line="180" w:lineRule="auto"/>
              <w:ind w:left="24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绝对误差</w:t>
            </w:r>
          </w:p>
        </w:tc>
        <w:tc>
          <w:tcPr>
            <w:tcW w:w="4486" w:type="dxa"/>
            <w:gridSpan w:val="2"/>
            <w:tcBorders>
              <w:right w:val="single" w:color="231F20" w:sz="4" w:space="0"/>
            </w:tcBorders>
            <w:vAlign w:val="top"/>
          </w:tcPr>
          <w:p w14:paraId="0CFCD2D3">
            <w:pPr>
              <w:pStyle w:val="12"/>
              <w:spacing w:before="87" w:line="214"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21"/>
                <w:sz w:val="21"/>
                <w:szCs w:val="21"/>
                <w:highlight w:val="none"/>
              </w:rPr>
              <w:t>标样核查上限值以内</w:t>
            </w:r>
          </w:p>
        </w:tc>
      </w:tr>
      <w:tr w14:paraId="082E3C4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13" w:hRule="atLeast"/>
        </w:trPr>
        <w:tc>
          <w:tcPr>
            <w:tcW w:w="1514" w:type="dxa"/>
            <w:vMerge w:val="continue"/>
            <w:tcBorders>
              <w:top w:val="nil"/>
              <w:left w:val="single" w:color="231F20" w:sz="4" w:space="0"/>
              <w:bottom w:val="nil"/>
            </w:tcBorders>
            <w:vAlign w:val="top"/>
          </w:tcPr>
          <w:p w14:paraId="05EFB7BB">
            <w:pPr>
              <w:rPr>
                <w:rFonts w:hint="eastAsia" w:ascii="宋体" w:hAnsi="宋体" w:eastAsia="宋体" w:cs="宋体"/>
                <w:color w:val="auto"/>
                <w:sz w:val="21"/>
                <w:szCs w:val="21"/>
                <w:highlight w:val="none"/>
              </w:rPr>
            </w:pPr>
          </w:p>
        </w:tc>
        <w:tc>
          <w:tcPr>
            <w:tcW w:w="1069" w:type="dxa"/>
            <w:vMerge w:val="continue"/>
            <w:tcBorders>
              <w:top w:val="nil"/>
            </w:tcBorders>
            <w:vAlign w:val="top"/>
          </w:tcPr>
          <w:p w14:paraId="0DC92B11">
            <w:pPr>
              <w:rPr>
                <w:rFonts w:hint="eastAsia" w:ascii="宋体" w:hAnsi="宋体" w:eastAsia="宋体" w:cs="宋体"/>
                <w:color w:val="auto"/>
                <w:sz w:val="21"/>
                <w:szCs w:val="21"/>
                <w:highlight w:val="none"/>
              </w:rPr>
            </w:pPr>
          </w:p>
        </w:tc>
        <w:tc>
          <w:tcPr>
            <w:tcW w:w="1435" w:type="dxa"/>
            <w:vAlign w:val="top"/>
          </w:tcPr>
          <w:p w14:paraId="584D26C9">
            <w:pPr>
              <w:pStyle w:val="12"/>
              <w:spacing w:before="88"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24"/>
                <w:sz w:val="21"/>
                <w:szCs w:val="21"/>
                <w:highlight w:val="none"/>
              </w:rPr>
              <w:t>Ⅳ~劣Ⅴ类水</w:t>
            </w:r>
          </w:p>
        </w:tc>
        <w:tc>
          <w:tcPr>
            <w:tcW w:w="1274" w:type="dxa"/>
            <w:vAlign w:val="top"/>
          </w:tcPr>
          <w:p w14:paraId="1613FDED">
            <w:pPr>
              <w:pStyle w:val="12"/>
              <w:spacing w:before="104"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044A0970">
            <w:pPr>
              <w:pStyle w:val="12"/>
              <w:spacing w:before="88" w:line="213" w:lineRule="auto"/>
              <w:ind w:left="108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21"/>
                <w:sz w:val="21"/>
                <w:szCs w:val="21"/>
                <w:highlight w:val="none"/>
              </w:rPr>
              <w:t>标样核查上限值以内</w:t>
            </w:r>
          </w:p>
        </w:tc>
      </w:tr>
      <w:tr w14:paraId="69B5C9A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9" w:hRule="atLeast"/>
        </w:trPr>
        <w:tc>
          <w:tcPr>
            <w:tcW w:w="1514" w:type="dxa"/>
            <w:vMerge w:val="continue"/>
            <w:tcBorders>
              <w:top w:val="nil"/>
              <w:left w:val="single" w:color="231F20" w:sz="4" w:space="0"/>
            </w:tcBorders>
            <w:vAlign w:val="top"/>
          </w:tcPr>
          <w:p w14:paraId="04F84DF7">
            <w:pPr>
              <w:rPr>
                <w:rFonts w:hint="eastAsia" w:ascii="宋体" w:hAnsi="宋体" w:eastAsia="宋体" w:cs="宋体"/>
                <w:color w:val="auto"/>
                <w:sz w:val="21"/>
                <w:szCs w:val="21"/>
                <w:highlight w:val="none"/>
              </w:rPr>
            </w:pPr>
          </w:p>
        </w:tc>
        <w:tc>
          <w:tcPr>
            <w:tcW w:w="2504" w:type="dxa"/>
            <w:gridSpan w:val="2"/>
            <w:vAlign w:val="top"/>
          </w:tcPr>
          <w:p w14:paraId="50E4767B">
            <w:pPr>
              <w:pStyle w:val="12"/>
              <w:spacing w:before="88" w:line="213" w:lineRule="auto"/>
              <w:ind w:left="544"/>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24</w:t>
            </w:r>
            <w:r>
              <w:rPr>
                <w:rFonts w:hint="eastAsia" w:ascii="宋体" w:hAnsi="宋体" w:eastAsia="宋体" w:cs="宋体"/>
                <w:color w:val="auto"/>
                <w:spacing w:val="-23"/>
                <w:sz w:val="21"/>
                <w:szCs w:val="21"/>
                <w:highlight w:val="none"/>
              </w:rPr>
              <w:t xml:space="preserve"> </w:t>
            </w:r>
            <w:r>
              <w:rPr>
                <w:rFonts w:hint="eastAsia" w:ascii="宋体" w:hAnsi="宋体" w:eastAsia="宋体" w:cs="宋体"/>
                <w:color w:val="auto"/>
                <w:spacing w:val="15"/>
                <w:sz w:val="21"/>
                <w:szCs w:val="21"/>
                <w:highlight w:val="none"/>
              </w:rPr>
              <w:t>h低浓度漂移</w:t>
            </w:r>
          </w:p>
        </w:tc>
        <w:tc>
          <w:tcPr>
            <w:tcW w:w="1274" w:type="dxa"/>
            <w:vAlign w:val="top"/>
          </w:tcPr>
          <w:p w14:paraId="2504ACEB">
            <w:pPr>
              <w:pStyle w:val="12"/>
              <w:spacing w:before="105"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201078D0">
            <w:pPr>
              <w:pStyle w:val="12"/>
              <w:spacing w:before="88" w:line="214" w:lineRule="auto"/>
              <w:ind w:left="171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25"/>
                <w:sz w:val="21"/>
                <w:szCs w:val="21"/>
                <w:highlight w:val="none"/>
              </w:rPr>
              <w:t xml:space="preserve"> </w:t>
            </w:r>
            <w:r>
              <w:rPr>
                <w:rFonts w:hint="eastAsia" w:ascii="宋体" w:hAnsi="宋体" w:eastAsia="宋体" w:cs="宋体"/>
                <w:color w:val="auto"/>
                <w:spacing w:val="21"/>
                <w:sz w:val="21"/>
                <w:szCs w:val="21"/>
                <w:highlight w:val="none"/>
              </w:rPr>
              <w:t>以内</w:t>
            </w:r>
          </w:p>
        </w:tc>
      </w:tr>
      <w:tr w14:paraId="24EBFD11">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9" w:hRule="atLeast"/>
        </w:trPr>
        <w:tc>
          <w:tcPr>
            <w:tcW w:w="1514" w:type="dxa"/>
            <w:vMerge w:val="restart"/>
            <w:tcBorders>
              <w:left w:val="single" w:color="231F20" w:sz="4" w:space="0"/>
            </w:tcBorders>
            <w:vAlign w:val="center"/>
          </w:tcPr>
          <w:p w14:paraId="32B9C24A">
            <w:pPr>
              <w:spacing w:line="304" w:lineRule="auto"/>
              <w:jc w:val="center"/>
              <w:rPr>
                <w:rFonts w:hint="eastAsia" w:ascii="宋体" w:hAnsi="宋体" w:eastAsia="宋体" w:cs="宋体"/>
                <w:color w:val="auto"/>
                <w:sz w:val="21"/>
                <w:szCs w:val="21"/>
                <w:highlight w:val="none"/>
              </w:rPr>
            </w:pPr>
          </w:p>
          <w:p w14:paraId="33F1A2BF">
            <w:pPr>
              <w:spacing w:line="305" w:lineRule="auto"/>
              <w:jc w:val="center"/>
              <w:rPr>
                <w:rFonts w:hint="eastAsia" w:ascii="宋体" w:hAnsi="宋体" w:eastAsia="宋体" w:cs="宋体"/>
                <w:color w:val="auto"/>
                <w:sz w:val="21"/>
                <w:szCs w:val="21"/>
                <w:highlight w:val="none"/>
              </w:rPr>
            </w:pPr>
          </w:p>
          <w:p w14:paraId="6E5300A2">
            <w:pPr>
              <w:pStyle w:val="12"/>
              <w:spacing w:before="169" w:line="184"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lang w:val="en-US" w:eastAsia="zh-CN"/>
              </w:rPr>
              <w:t>高锰酸盐指数 、氨氮 、总磷 、COD、水质自动监测仪器</w:t>
            </w:r>
          </w:p>
        </w:tc>
        <w:tc>
          <w:tcPr>
            <w:tcW w:w="2504" w:type="dxa"/>
            <w:gridSpan w:val="2"/>
            <w:vAlign w:val="top"/>
          </w:tcPr>
          <w:p w14:paraId="02BD466E">
            <w:pPr>
              <w:pStyle w:val="12"/>
              <w:spacing w:before="101" w:line="185" w:lineRule="auto"/>
              <w:ind w:left="555"/>
              <w:rPr>
                <w:rFonts w:hint="eastAsia" w:ascii="宋体" w:hAnsi="宋体" w:eastAsia="宋体" w:cs="宋体"/>
                <w:color w:val="auto"/>
                <w:sz w:val="21"/>
                <w:szCs w:val="21"/>
                <w:highlight w:val="none"/>
              </w:rPr>
            </w:pPr>
            <w:r>
              <w:rPr>
                <w:rFonts w:hint="eastAsia" w:ascii="宋体" w:hAnsi="宋体" w:eastAsia="宋体" w:cs="宋体"/>
                <w:color w:val="auto"/>
                <w:spacing w:val="17"/>
                <w:sz w:val="21"/>
                <w:szCs w:val="21"/>
                <w:highlight w:val="none"/>
              </w:rPr>
              <w:t>高浓度标样核查</w:t>
            </w:r>
          </w:p>
        </w:tc>
        <w:tc>
          <w:tcPr>
            <w:tcW w:w="1274" w:type="dxa"/>
            <w:vAlign w:val="top"/>
          </w:tcPr>
          <w:p w14:paraId="73045894">
            <w:pPr>
              <w:pStyle w:val="12"/>
              <w:spacing w:before="105"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7C505537">
            <w:pPr>
              <w:pStyle w:val="12"/>
              <w:spacing w:before="88" w:line="214" w:lineRule="auto"/>
              <w:ind w:left="1667"/>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±10%</w:t>
            </w:r>
            <w:r>
              <w:rPr>
                <w:rFonts w:hint="eastAsia" w:ascii="宋体" w:hAnsi="宋体" w:eastAsia="宋体" w:cs="宋体"/>
                <w:color w:val="auto"/>
                <w:spacing w:val="-24"/>
                <w:sz w:val="21"/>
                <w:szCs w:val="21"/>
                <w:highlight w:val="none"/>
              </w:rPr>
              <w:t xml:space="preserve"> </w:t>
            </w:r>
            <w:r>
              <w:rPr>
                <w:rFonts w:hint="eastAsia" w:ascii="宋体" w:hAnsi="宋体" w:eastAsia="宋体" w:cs="宋体"/>
                <w:color w:val="auto"/>
                <w:spacing w:val="19"/>
                <w:sz w:val="21"/>
                <w:szCs w:val="21"/>
                <w:highlight w:val="none"/>
              </w:rPr>
              <w:t>以内</w:t>
            </w:r>
          </w:p>
        </w:tc>
      </w:tr>
      <w:tr w14:paraId="3A1D166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0" w:hRule="atLeast"/>
        </w:trPr>
        <w:tc>
          <w:tcPr>
            <w:tcW w:w="1514" w:type="dxa"/>
            <w:vMerge w:val="continue"/>
            <w:tcBorders>
              <w:left w:val="single" w:color="231F20" w:sz="4" w:space="0"/>
            </w:tcBorders>
            <w:vAlign w:val="top"/>
          </w:tcPr>
          <w:p w14:paraId="2C7D9B40">
            <w:pPr>
              <w:rPr>
                <w:rFonts w:hint="eastAsia" w:ascii="宋体" w:hAnsi="宋体" w:eastAsia="宋体" w:cs="宋体"/>
                <w:color w:val="auto"/>
                <w:sz w:val="21"/>
                <w:szCs w:val="21"/>
                <w:highlight w:val="none"/>
              </w:rPr>
            </w:pPr>
          </w:p>
        </w:tc>
        <w:tc>
          <w:tcPr>
            <w:tcW w:w="2504" w:type="dxa"/>
            <w:gridSpan w:val="2"/>
            <w:vAlign w:val="top"/>
          </w:tcPr>
          <w:p w14:paraId="3F3A3194">
            <w:pPr>
              <w:pStyle w:val="12"/>
              <w:spacing w:before="88" w:line="213" w:lineRule="auto"/>
              <w:ind w:left="566"/>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24</w:t>
            </w:r>
            <w:r>
              <w:rPr>
                <w:rFonts w:hint="eastAsia" w:ascii="宋体" w:hAnsi="宋体" w:eastAsia="宋体" w:cs="宋体"/>
                <w:color w:val="auto"/>
                <w:spacing w:val="-27"/>
                <w:sz w:val="21"/>
                <w:szCs w:val="21"/>
                <w:highlight w:val="none"/>
              </w:rPr>
              <w:t xml:space="preserve"> </w:t>
            </w:r>
            <w:r>
              <w:rPr>
                <w:rFonts w:hint="eastAsia" w:ascii="宋体" w:hAnsi="宋体" w:eastAsia="宋体" w:cs="宋体"/>
                <w:color w:val="auto"/>
                <w:spacing w:val="11"/>
                <w:sz w:val="21"/>
                <w:szCs w:val="21"/>
                <w:highlight w:val="none"/>
              </w:rPr>
              <w:t>h</w:t>
            </w:r>
            <w:r>
              <w:rPr>
                <w:rFonts w:hint="eastAsia" w:ascii="宋体" w:hAnsi="宋体" w:eastAsia="宋体" w:cs="宋体"/>
                <w:color w:val="auto"/>
                <w:spacing w:val="-44"/>
                <w:sz w:val="21"/>
                <w:szCs w:val="21"/>
                <w:highlight w:val="none"/>
              </w:rPr>
              <w:t xml:space="preserve"> </w:t>
            </w:r>
            <w:r>
              <w:rPr>
                <w:rFonts w:hint="eastAsia" w:ascii="宋体" w:hAnsi="宋体" w:eastAsia="宋体" w:cs="宋体"/>
                <w:color w:val="auto"/>
                <w:spacing w:val="11"/>
                <w:sz w:val="21"/>
                <w:szCs w:val="21"/>
                <w:highlight w:val="none"/>
              </w:rPr>
              <w:t>高浓度漂移</w:t>
            </w:r>
          </w:p>
        </w:tc>
        <w:tc>
          <w:tcPr>
            <w:tcW w:w="1274" w:type="dxa"/>
            <w:vAlign w:val="top"/>
          </w:tcPr>
          <w:p w14:paraId="1BF9D43A">
            <w:pPr>
              <w:pStyle w:val="12"/>
              <w:spacing w:before="105"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70D956F7">
            <w:pPr>
              <w:pStyle w:val="12"/>
              <w:spacing w:before="89" w:line="214" w:lineRule="auto"/>
              <w:ind w:left="1667"/>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±10%</w:t>
            </w:r>
            <w:r>
              <w:rPr>
                <w:rFonts w:hint="eastAsia" w:ascii="宋体" w:hAnsi="宋体" w:eastAsia="宋体" w:cs="宋体"/>
                <w:color w:val="auto"/>
                <w:spacing w:val="-24"/>
                <w:sz w:val="21"/>
                <w:szCs w:val="21"/>
                <w:highlight w:val="none"/>
              </w:rPr>
              <w:t xml:space="preserve"> </w:t>
            </w:r>
            <w:r>
              <w:rPr>
                <w:rFonts w:hint="eastAsia" w:ascii="宋体" w:hAnsi="宋体" w:eastAsia="宋体" w:cs="宋体"/>
                <w:color w:val="auto"/>
                <w:spacing w:val="19"/>
                <w:sz w:val="21"/>
                <w:szCs w:val="21"/>
                <w:highlight w:val="none"/>
              </w:rPr>
              <w:t>以内</w:t>
            </w:r>
          </w:p>
        </w:tc>
      </w:tr>
      <w:tr w14:paraId="6E53108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62" w:hRule="atLeast"/>
        </w:trPr>
        <w:tc>
          <w:tcPr>
            <w:tcW w:w="1514" w:type="dxa"/>
            <w:vMerge w:val="continue"/>
            <w:tcBorders>
              <w:left w:val="single" w:color="231F20" w:sz="4" w:space="0"/>
            </w:tcBorders>
            <w:vAlign w:val="top"/>
          </w:tcPr>
          <w:p w14:paraId="7C2B0FAA">
            <w:pPr>
              <w:rPr>
                <w:rFonts w:hint="eastAsia" w:ascii="宋体" w:hAnsi="宋体" w:eastAsia="宋体" w:cs="宋体"/>
                <w:color w:val="auto"/>
                <w:sz w:val="21"/>
                <w:szCs w:val="21"/>
                <w:highlight w:val="none"/>
              </w:rPr>
            </w:pPr>
          </w:p>
        </w:tc>
        <w:tc>
          <w:tcPr>
            <w:tcW w:w="2504" w:type="dxa"/>
            <w:gridSpan w:val="2"/>
            <w:vMerge w:val="restart"/>
            <w:tcBorders>
              <w:bottom w:val="nil"/>
            </w:tcBorders>
            <w:vAlign w:val="top"/>
          </w:tcPr>
          <w:p w14:paraId="04421BDA">
            <w:pPr>
              <w:spacing w:line="336" w:lineRule="auto"/>
              <w:rPr>
                <w:rFonts w:hint="eastAsia" w:ascii="宋体" w:hAnsi="宋体" w:eastAsia="宋体" w:cs="宋体"/>
                <w:color w:val="auto"/>
                <w:sz w:val="21"/>
                <w:szCs w:val="21"/>
                <w:highlight w:val="none"/>
              </w:rPr>
            </w:pPr>
          </w:p>
          <w:p w14:paraId="329C952D">
            <w:pPr>
              <w:spacing w:line="337" w:lineRule="auto"/>
              <w:rPr>
                <w:rFonts w:hint="eastAsia" w:ascii="宋体" w:hAnsi="宋体" w:eastAsia="宋体" w:cs="宋体"/>
                <w:color w:val="auto"/>
                <w:sz w:val="21"/>
                <w:szCs w:val="21"/>
                <w:highlight w:val="none"/>
              </w:rPr>
            </w:pPr>
          </w:p>
          <w:p w14:paraId="40AC4C35">
            <w:pPr>
              <w:pStyle w:val="12"/>
              <w:spacing w:before="68" w:line="212" w:lineRule="auto"/>
              <w:ind w:left="647"/>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多点线性核查</w:t>
            </w:r>
          </w:p>
        </w:tc>
        <w:tc>
          <w:tcPr>
            <w:tcW w:w="1274" w:type="dxa"/>
            <w:vAlign w:val="top"/>
          </w:tcPr>
          <w:p w14:paraId="656EDB4B">
            <w:pPr>
              <w:pStyle w:val="12"/>
              <w:spacing w:before="104" w:line="182" w:lineRule="auto"/>
              <w:ind w:left="205"/>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相关系数</w:t>
            </w:r>
            <w:r>
              <w:rPr>
                <w:rFonts w:hint="eastAsia" w:ascii="宋体" w:hAnsi="宋体" w:eastAsia="宋体" w:cs="宋体"/>
                <w:color w:val="auto"/>
                <w:spacing w:val="-9"/>
                <w:sz w:val="21"/>
                <w:szCs w:val="21"/>
                <w:highlight w:val="none"/>
              </w:rPr>
              <w:t xml:space="preserve"> </w:t>
            </w:r>
            <w:r>
              <w:rPr>
                <w:rFonts w:hint="eastAsia" w:ascii="宋体" w:hAnsi="宋体" w:eastAsia="宋体" w:cs="宋体"/>
                <w:color w:val="auto"/>
                <w:spacing w:val="12"/>
                <w:sz w:val="21"/>
                <w:szCs w:val="21"/>
                <w:highlight w:val="none"/>
              </w:rPr>
              <w:t>r</w:t>
            </w:r>
          </w:p>
        </w:tc>
        <w:tc>
          <w:tcPr>
            <w:tcW w:w="4486" w:type="dxa"/>
            <w:gridSpan w:val="2"/>
            <w:tcBorders>
              <w:right w:val="single" w:color="231F20" w:sz="4" w:space="0"/>
            </w:tcBorders>
            <w:vAlign w:val="top"/>
          </w:tcPr>
          <w:p w14:paraId="2FF7D69D">
            <w:pPr>
              <w:spacing w:before="89" w:line="241" w:lineRule="exact"/>
              <w:ind w:left="1867"/>
              <w:rPr>
                <w:rFonts w:hint="eastAsia" w:ascii="宋体" w:hAnsi="宋体" w:eastAsia="宋体" w:cs="宋体"/>
                <w:color w:val="auto"/>
                <w:sz w:val="21"/>
                <w:szCs w:val="21"/>
                <w:highlight w:val="none"/>
              </w:rPr>
            </w:pPr>
            <w:r>
              <w:rPr>
                <w:rFonts w:hint="eastAsia" w:ascii="宋体" w:hAnsi="宋体" w:eastAsia="宋体" w:cs="宋体"/>
                <w:color w:val="auto"/>
                <w:spacing w:val="17"/>
                <w:position w:val="1"/>
                <w:sz w:val="21"/>
                <w:szCs w:val="21"/>
                <w:highlight w:val="none"/>
              </w:rPr>
              <w:t>≥0.98</w:t>
            </w:r>
          </w:p>
        </w:tc>
      </w:tr>
      <w:tr w14:paraId="1051EEF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78" w:hRule="atLeast"/>
        </w:trPr>
        <w:tc>
          <w:tcPr>
            <w:tcW w:w="1514" w:type="dxa"/>
            <w:vMerge w:val="continue"/>
            <w:tcBorders>
              <w:left w:val="single" w:color="231F20" w:sz="4" w:space="0"/>
            </w:tcBorders>
            <w:vAlign w:val="top"/>
          </w:tcPr>
          <w:p w14:paraId="684F5AE0">
            <w:pPr>
              <w:rPr>
                <w:rFonts w:hint="eastAsia" w:ascii="宋体" w:hAnsi="宋体" w:eastAsia="宋体" w:cs="宋体"/>
                <w:color w:val="auto"/>
                <w:sz w:val="21"/>
                <w:szCs w:val="21"/>
                <w:highlight w:val="none"/>
              </w:rPr>
            </w:pPr>
          </w:p>
        </w:tc>
        <w:tc>
          <w:tcPr>
            <w:tcW w:w="2504" w:type="dxa"/>
            <w:gridSpan w:val="2"/>
            <w:vMerge w:val="continue"/>
            <w:tcBorders>
              <w:top w:val="nil"/>
              <w:bottom w:val="nil"/>
            </w:tcBorders>
            <w:vAlign w:val="top"/>
          </w:tcPr>
          <w:p w14:paraId="12C1D821">
            <w:pPr>
              <w:rPr>
                <w:rFonts w:hint="eastAsia" w:ascii="宋体" w:hAnsi="宋体" w:eastAsia="宋体" w:cs="宋体"/>
                <w:color w:val="auto"/>
                <w:sz w:val="21"/>
                <w:szCs w:val="21"/>
                <w:highlight w:val="none"/>
              </w:rPr>
            </w:pPr>
          </w:p>
        </w:tc>
        <w:tc>
          <w:tcPr>
            <w:tcW w:w="1274" w:type="dxa"/>
            <w:vAlign w:val="top"/>
          </w:tcPr>
          <w:p w14:paraId="6E518B59">
            <w:pPr>
              <w:pStyle w:val="12"/>
              <w:spacing w:before="249"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1497" w:type="dxa"/>
            <w:vAlign w:val="top"/>
          </w:tcPr>
          <w:p w14:paraId="3D64A648">
            <w:pPr>
              <w:pStyle w:val="12"/>
              <w:spacing w:before="91" w:line="236" w:lineRule="auto"/>
              <w:ind w:left="171" w:right="154" w:hanging="10"/>
              <w:rPr>
                <w:rFonts w:hint="eastAsia" w:ascii="宋体" w:hAnsi="宋体" w:eastAsia="宋体" w:cs="宋体"/>
                <w:color w:val="auto"/>
                <w:sz w:val="21"/>
                <w:szCs w:val="21"/>
                <w:highlight w:val="none"/>
              </w:rPr>
            </w:pPr>
            <w:r>
              <w:rPr>
                <w:rFonts w:hint="eastAsia" w:ascii="宋体" w:hAnsi="宋体" w:eastAsia="宋体" w:cs="宋体"/>
                <w:color w:val="auto"/>
                <w:spacing w:val="6"/>
                <w:w w:val="125"/>
                <w:sz w:val="21"/>
                <w:szCs w:val="21"/>
                <w:highlight w:val="none"/>
              </w:rPr>
              <w:t>浓度&gt;20%</w:t>
            </w:r>
            <w:r>
              <w:rPr>
                <w:rFonts w:hint="eastAsia" w:ascii="宋体" w:hAnsi="宋体" w:eastAsia="宋体" w:cs="宋体"/>
                <w:color w:val="auto"/>
                <w:spacing w:val="-37"/>
                <w:sz w:val="21"/>
                <w:szCs w:val="21"/>
                <w:highlight w:val="none"/>
              </w:rPr>
              <w:t xml:space="preserve"> </w:t>
            </w:r>
            <w:r>
              <w:rPr>
                <w:rFonts w:hint="eastAsia" w:ascii="宋体" w:hAnsi="宋体" w:eastAsia="宋体" w:cs="宋体"/>
                <w:color w:val="auto"/>
                <w:spacing w:val="6"/>
                <w:w w:val="125"/>
                <w:sz w:val="21"/>
                <w:szCs w:val="21"/>
                <w:highlight w:val="none"/>
              </w:rPr>
              <w:t>标</w:t>
            </w:r>
            <w:r>
              <w:rPr>
                <w:rFonts w:hint="eastAsia" w:ascii="宋体" w:hAnsi="宋体" w:eastAsia="宋体" w:cs="宋体"/>
                <w:color w:val="auto"/>
                <w:spacing w:val="17"/>
                <w:sz w:val="21"/>
                <w:szCs w:val="21"/>
                <w:highlight w:val="none"/>
              </w:rPr>
              <w:t>样核查上限值</w:t>
            </w:r>
          </w:p>
        </w:tc>
        <w:tc>
          <w:tcPr>
            <w:tcW w:w="2989" w:type="dxa"/>
            <w:tcBorders>
              <w:right w:val="single" w:color="231F20" w:sz="4" w:space="0"/>
            </w:tcBorders>
            <w:vAlign w:val="top"/>
          </w:tcPr>
          <w:p w14:paraId="7326BA6C">
            <w:pPr>
              <w:pStyle w:val="12"/>
              <w:spacing w:before="232" w:line="214" w:lineRule="auto"/>
              <w:ind w:left="964"/>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±10%</w:t>
            </w:r>
            <w:r>
              <w:rPr>
                <w:rFonts w:hint="eastAsia" w:ascii="宋体" w:hAnsi="宋体" w:eastAsia="宋体" w:cs="宋体"/>
                <w:color w:val="auto"/>
                <w:spacing w:val="-24"/>
                <w:sz w:val="21"/>
                <w:szCs w:val="21"/>
                <w:highlight w:val="none"/>
              </w:rPr>
              <w:t xml:space="preserve"> </w:t>
            </w:r>
            <w:r>
              <w:rPr>
                <w:rFonts w:hint="eastAsia" w:ascii="宋体" w:hAnsi="宋体" w:eastAsia="宋体" w:cs="宋体"/>
                <w:color w:val="auto"/>
                <w:spacing w:val="19"/>
                <w:sz w:val="21"/>
                <w:szCs w:val="21"/>
                <w:highlight w:val="none"/>
              </w:rPr>
              <w:t>以内</w:t>
            </w:r>
          </w:p>
        </w:tc>
      </w:tr>
      <w:tr w14:paraId="060BE4E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86" w:hRule="atLeast"/>
        </w:trPr>
        <w:tc>
          <w:tcPr>
            <w:tcW w:w="1514" w:type="dxa"/>
            <w:vMerge w:val="continue"/>
            <w:tcBorders>
              <w:left w:val="single" w:color="231F20" w:sz="4" w:space="0"/>
            </w:tcBorders>
            <w:vAlign w:val="top"/>
          </w:tcPr>
          <w:p w14:paraId="67DE2936">
            <w:pPr>
              <w:rPr>
                <w:rFonts w:hint="eastAsia" w:ascii="宋体" w:hAnsi="宋体" w:eastAsia="宋体" w:cs="宋体"/>
                <w:color w:val="auto"/>
                <w:sz w:val="21"/>
                <w:szCs w:val="21"/>
                <w:highlight w:val="none"/>
              </w:rPr>
            </w:pPr>
          </w:p>
        </w:tc>
        <w:tc>
          <w:tcPr>
            <w:tcW w:w="2504" w:type="dxa"/>
            <w:gridSpan w:val="2"/>
            <w:vMerge w:val="continue"/>
            <w:tcBorders>
              <w:top w:val="nil"/>
              <w:bottom w:val="nil"/>
            </w:tcBorders>
            <w:vAlign w:val="top"/>
          </w:tcPr>
          <w:p w14:paraId="7A103F7E">
            <w:pPr>
              <w:rPr>
                <w:rFonts w:hint="eastAsia" w:ascii="宋体" w:hAnsi="宋体" w:eastAsia="宋体" w:cs="宋体"/>
                <w:color w:val="auto"/>
                <w:sz w:val="21"/>
                <w:szCs w:val="21"/>
                <w:highlight w:val="none"/>
              </w:rPr>
            </w:pPr>
          </w:p>
        </w:tc>
        <w:tc>
          <w:tcPr>
            <w:tcW w:w="1274" w:type="dxa"/>
            <w:vAlign w:val="top"/>
          </w:tcPr>
          <w:p w14:paraId="30F45AE1">
            <w:pPr>
              <w:pStyle w:val="12"/>
              <w:spacing w:before="250" w:line="180" w:lineRule="auto"/>
              <w:ind w:left="24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绝对误差</w:t>
            </w:r>
          </w:p>
        </w:tc>
        <w:tc>
          <w:tcPr>
            <w:tcW w:w="1497" w:type="dxa"/>
            <w:vAlign w:val="top"/>
          </w:tcPr>
          <w:p w14:paraId="38600B33">
            <w:pPr>
              <w:pStyle w:val="12"/>
              <w:spacing w:before="89" w:line="238" w:lineRule="auto"/>
              <w:ind w:left="171" w:right="143" w:hanging="21"/>
              <w:rPr>
                <w:rFonts w:hint="eastAsia" w:ascii="宋体" w:hAnsi="宋体" w:eastAsia="宋体" w:cs="宋体"/>
                <w:color w:val="auto"/>
                <w:sz w:val="21"/>
                <w:szCs w:val="21"/>
                <w:highlight w:val="none"/>
              </w:rPr>
            </w:pPr>
            <w:r>
              <w:rPr>
                <w:rFonts w:hint="eastAsia" w:ascii="宋体" w:hAnsi="宋体" w:eastAsia="宋体" w:cs="宋体"/>
                <w:color w:val="auto"/>
                <w:spacing w:val="6"/>
                <w:w w:val="125"/>
                <w:sz w:val="21"/>
                <w:szCs w:val="21"/>
                <w:highlight w:val="none"/>
              </w:rPr>
              <w:t>浓度≤20%</w:t>
            </w:r>
            <w:r>
              <w:rPr>
                <w:rFonts w:hint="eastAsia" w:ascii="宋体" w:hAnsi="宋体" w:eastAsia="宋体" w:cs="宋体"/>
                <w:color w:val="auto"/>
                <w:spacing w:val="-15"/>
                <w:sz w:val="21"/>
                <w:szCs w:val="21"/>
                <w:highlight w:val="none"/>
              </w:rPr>
              <w:t xml:space="preserve"> </w:t>
            </w:r>
            <w:r>
              <w:rPr>
                <w:rFonts w:hint="eastAsia" w:ascii="宋体" w:hAnsi="宋体" w:eastAsia="宋体" w:cs="宋体"/>
                <w:color w:val="auto"/>
                <w:spacing w:val="6"/>
                <w:w w:val="125"/>
                <w:sz w:val="21"/>
                <w:szCs w:val="21"/>
                <w:highlight w:val="none"/>
              </w:rPr>
              <w:t>标</w:t>
            </w:r>
            <w:r>
              <w:rPr>
                <w:rFonts w:hint="eastAsia" w:ascii="宋体" w:hAnsi="宋体" w:eastAsia="宋体" w:cs="宋体"/>
                <w:color w:val="auto"/>
                <w:spacing w:val="17"/>
                <w:sz w:val="21"/>
                <w:szCs w:val="21"/>
                <w:highlight w:val="none"/>
              </w:rPr>
              <w:t>样核查上限值</w:t>
            </w:r>
          </w:p>
        </w:tc>
        <w:tc>
          <w:tcPr>
            <w:tcW w:w="2989" w:type="dxa"/>
            <w:tcBorders>
              <w:right w:val="single" w:color="231F20" w:sz="4" w:space="0"/>
            </w:tcBorders>
            <w:vAlign w:val="top"/>
          </w:tcPr>
          <w:p w14:paraId="0B69976A">
            <w:pPr>
              <w:pStyle w:val="12"/>
              <w:spacing w:before="245" w:line="186" w:lineRule="auto"/>
              <w:ind w:left="600"/>
              <w:rPr>
                <w:rFonts w:hint="eastAsia" w:ascii="宋体" w:hAnsi="宋体" w:eastAsia="宋体" w:cs="宋体"/>
                <w:color w:val="auto"/>
                <w:sz w:val="21"/>
                <w:szCs w:val="21"/>
                <w:highlight w:val="none"/>
              </w:rPr>
            </w:pPr>
            <w:r>
              <w:rPr>
                <w:rFonts w:hint="eastAsia" w:ascii="宋体" w:hAnsi="宋体" w:eastAsia="宋体" w:cs="宋体"/>
                <w:color w:val="auto"/>
                <w:spacing w:val="18"/>
                <w:sz w:val="21"/>
                <w:szCs w:val="21"/>
                <w:highlight w:val="none"/>
              </w:rPr>
              <w:t>参照低浓度核查要求</w:t>
            </w:r>
          </w:p>
        </w:tc>
      </w:tr>
      <w:tr w14:paraId="44642D5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02" w:hRule="atLeast"/>
        </w:trPr>
        <w:tc>
          <w:tcPr>
            <w:tcW w:w="1514" w:type="dxa"/>
            <w:vMerge w:val="continue"/>
            <w:tcBorders>
              <w:left w:val="single" w:color="231F20" w:sz="4" w:space="0"/>
            </w:tcBorders>
            <w:vAlign w:val="top"/>
          </w:tcPr>
          <w:p w14:paraId="2B166FF0">
            <w:pPr>
              <w:rPr>
                <w:rFonts w:hint="eastAsia" w:ascii="宋体" w:hAnsi="宋体" w:eastAsia="宋体" w:cs="宋体"/>
                <w:color w:val="auto"/>
                <w:sz w:val="21"/>
                <w:szCs w:val="21"/>
                <w:highlight w:val="none"/>
              </w:rPr>
            </w:pPr>
          </w:p>
        </w:tc>
        <w:tc>
          <w:tcPr>
            <w:tcW w:w="2504" w:type="dxa"/>
            <w:gridSpan w:val="2"/>
            <w:tcBorders>
              <w:top w:val="nil"/>
              <w:bottom w:val="nil"/>
            </w:tcBorders>
            <w:vAlign w:val="top"/>
          </w:tcPr>
          <w:p w14:paraId="787CBC20">
            <w:pPr>
              <w:pStyle w:val="12"/>
              <w:spacing w:before="68" w:line="212" w:lineRule="auto"/>
              <w:ind w:left="647"/>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加标回收率测试</w:t>
            </w:r>
          </w:p>
        </w:tc>
        <w:tc>
          <w:tcPr>
            <w:tcW w:w="1274" w:type="dxa"/>
            <w:vAlign w:val="top"/>
          </w:tcPr>
          <w:p w14:paraId="5B73349A">
            <w:pPr>
              <w:pStyle w:val="12"/>
              <w:spacing w:before="68" w:line="212" w:lineRule="auto"/>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加标回收率</w:t>
            </w:r>
          </w:p>
        </w:tc>
        <w:tc>
          <w:tcPr>
            <w:tcW w:w="4486" w:type="dxa"/>
            <w:gridSpan w:val="2"/>
            <w:tcBorders>
              <w:right w:val="single" w:color="231F20" w:sz="4" w:space="0"/>
            </w:tcBorders>
            <w:vAlign w:val="top"/>
          </w:tcPr>
          <w:p w14:paraId="2A7EAAFC">
            <w:pPr>
              <w:pStyle w:val="12"/>
              <w:spacing w:before="68" w:line="212" w:lineRule="auto"/>
              <w:ind w:left="647"/>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80%~120%</w:t>
            </w:r>
          </w:p>
        </w:tc>
      </w:tr>
      <w:tr w14:paraId="2F404E9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68" w:hRule="atLeast"/>
        </w:trPr>
        <w:tc>
          <w:tcPr>
            <w:tcW w:w="1514" w:type="dxa"/>
            <w:vMerge w:val="continue"/>
            <w:tcBorders>
              <w:left w:val="single" w:color="231F20" w:sz="4" w:space="0"/>
            </w:tcBorders>
            <w:vAlign w:val="top"/>
          </w:tcPr>
          <w:p w14:paraId="52FFC52D">
            <w:pPr>
              <w:rPr>
                <w:rFonts w:hint="eastAsia" w:ascii="宋体" w:hAnsi="宋体" w:eastAsia="宋体" w:cs="宋体"/>
                <w:color w:val="auto"/>
                <w:sz w:val="21"/>
                <w:szCs w:val="21"/>
                <w:highlight w:val="none"/>
              </w:rPr>
            </w:pPr>
          </w:p>
        </w:tc>
        <w:tc>
          <w:tcPr>
            <w:tcW w:w="2504" w:type="dxa"/>
            <w:gridSpan w:val="2"/>
            <w:tcBorders>
              <w:top w:val="nil"/>
            </w:tcBorders>
            <w:vAlign w:val="top"/>
          </w:tcPr>
          <w:p w14:paraId="7436B965">
            <w:pPr>
              <w:pStyle w:val="12"/>
              <w:spacing w:before="68" w:line="212" w:lineRule="auto"/>
              <w:ind w:left="647"/>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集成影响检查</w:t>
            </w:r>
          </w:p>
        </w:tc>
        <w:tc>
          <w:tcPr>
            <w:tcW w:w="1274" w:type="dxa"/>
            <w:vAlign w:val="top"/>
          </w:tcPr>
          <w:p w14:paraId="5884D76C">
            <w:pPr>
              <w:pStyle w:val="12"/>
              <w:spacing w:before="68" w:line="212" w:lineRule="auto"/>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相对误差</w:t>
            </w:r>
          </w:p>
        </w:tc>
        <w:tc>
          <w:tcPr>
            <w:tcW w:w="4486" w:type="dxa"/>
            <w:gridSpan w:val="2"/>
            <w:tcBorders>
              <w:right w:val="single" w:color="231F20" w:sz="4" w:space="0"/>
            </w:tcBorders>
            <w:vAlign w:val="top"/>
          </w:tcPr>
          <w:p w14:paraId="464FC2B2">
            <w:pPr>
              <w:pStyle w:val="12"/>
              <w:spacing w:before="68" w:line="212" w:lineRule="auto"/>
              <w:ind w:left="647"/>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±10% 以内</w:t>
            </w:r>
          </w:p>
        </w:tc>
      </w:tr>
    </w:tbl>
    <w:p w14:paraId="00C719BC">
      <w:pPr>
        <w:pStyle w:val="11"/>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表4 常规五参数电极质控措施要求</w:t>
      </w:r>
    </w:p>
    <w:tbl>
      <w:tblPr>
        <w:tblStyle w:val="7"/>
        <w:tblW w:w="10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943"/>
        <w:gridCol w:w="804"/>
        <w:gridCol w:w="1357"/>
        <w:gridCol w:w="1888"/>
        <w:gridCol w:w="805"/>
        <w:gridCol w:w="2261"/>
        <w:gridCol w:w="1015"/>
      </w:tblGrid>
      <w:tr w14:paraId="30A2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79" w:type="dxa"/>
            <w:vMerge w:val="restart"/>
            <w:vAlign w:val="center"/>
          </w:tcPr>
          <w:p w14:paraId="405F8F71">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质控措施</w:t>
            </w:r>
          </w:p>
        </w:tc>
        <w:tc>
          <w:tcPr>
            <w:tcW w:w="9073" w:type="dxa"/>
            <w:gridSpan w:val="7"/>
            <w:vAlign w:val="center"/>
          </w:tcPr>
          <w:p w14:paraId="684CD2C7">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技术要求</w:t>
            </w:r>
          </w:p>
        </w:tc>
      </w:tr>
      <w:tr w14:paraId="3702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79" w:type="dxa"/>
            <w:vMerge w:val="continue"/>
            <w:vAlign w:val="center"/>
          </w:tcPr>
          <w:p w14:paraId="1BB57FD0">
            <w:pPr>
              <w:spacing w:line="360" w:lineRule="auto"/>
              <w:jc w:val="center"/>
              <w:rPr>
                <w:rFonts w:hint="eastAsia" w:ascii="宋体" w:hAnsi="宋体" w:eastAsia="宋体" w:cs="宋体"/>
                <w:color w:val="auto"/>
                <w:sz w:val="21"/>
                <w:szCs w:val="21"/>
                <w:highlight w:val="none"/>
              </w:rPr>
            </w:pPr>
          </w:p>
        </w:tc>
        <w:tc>
          <w:tcPr>
            <w:tcW w:w="943" w:type="dxa"/>
            <w:vAlign w:val="center"/>
          </w:tcPr>
          <w:p w14:paraId="14D1C4A6">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水温</w:t>
            </w:r>
          </w:p>
        </w:tc>
        <w:tc>
          <w:tcPr>
            <w:tcW w:w="804" w:type="dxa"/>
            <w:vAlign w:val="center"/>
          </w:tcPr>
          <w:p w14:paraId="4E9FEB06">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pH</w:t>
            </w:r>
          </w:p>
        </w:tc>
        <w:tc>
          <w:tcPr>
            <w:tcW w:w="1357" w:type="dxa"/>
            <w:vAlign w:val="center"/>
          </w:tcPr>
          <w:p w14:paraId="262AE51F">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溶解氧</w:t>
            </w:r>
          </w:p>
        </w:tc>
        <w:tc>
          <w:tcPr>
            <w:tcW w:w="2693" w:type="dxa"/>
            <w:gridSpan w:val="2"/>
            <w:vAlign w:val="center"/>
          </w:tcPr>
          <w:p w14:paraId="5DC984DC">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电导率</w:t>
            </w:r>
          </w:p>
        </w:tc>
        <w:tc>
          <w:tcPr>
            <w:tcW w:w="3276" w:type="dxa"/>
            <w:gridSpan w:val="2"/>
            <w:vAlign w:val="center"/>
          </w:tcPr>
          <w:p w14:paraId="73B9D6D6">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浊度</w:t>
            </w:r>
          </w:p>
        </w:tc>
      </w:tr>
      <w:tr w14:paraId="769B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979" w:type="dxa"/>
            <w:vMerge w:val="restart"/>
            <w:vAlign w:val="center"/>
          </w:tcPr>
          <w:p w14:paraId="56B9791B">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标准溶液考核</w:t>
            </w:r>
          </w:p>
        </w:tc>
        <w:tc>
          <w:tcPr>
            <w:tcW w:w="943" w:type="dxa"/>
            <w:vMerge w:val="restart"/>
            <w:vAlign w:val="center"/>
          </w:tcPr>
          <w:p w14:paraId="206B34FF">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04" w:type="dxa"/>
            <w:vMerge w:val="restart"/>
            <w:vAlign w:val="center"/>
          </w:tcPr>
          <w:p w14:paraId="0793D1A7">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±0.15</w:t>
            </w:r>
          </w:p>
        </w:tc>
        <w:tc>
          <w:tcPr>
            <w:tcW w:w="1357" w:type="dxa"/>
            <w:vMerge w:val="restart"/>
            <w:vAlign w:val="center"/>
          </w:tcPr>
          <w:p w14:paraId="30BDC66E">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±0.3mg/L</w:t>
            </w:r>
          </w:p>
        </w:tc>
        <w:tc>
          <w:tcPr>
            <w:tcW w:w="1888" w:type="dxa"/>
            <w:vAlign w:val="center"/>
          </w:tcPr>
          <w:p w14:paraId="5E4BF70E">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zh-CN"/>
              </w:rPr>
              <w:t>标准溶液值＞100μS/cm</w:t>
            </w:r>
          </w:p>
        </w:tc>
        <w:tc>
          <w:tcPr>
            <w:tcW w:w="805" w:type="dxa"/>
            <w:vAlign w:val="center"/>
          </w:tcPr>
          <w:p w14:paraId="4D065E26">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zh-CN"/>
              </w:rPr>
              <w:t>±5%</w:t>
            </w:r>
          </w:p>
        </w:tc>
        <w:tc>
          <w:tcPr>
            <w:tcW w:w="2261" w:type="dxa"/>
            <w:vAlign w:val="center"/>
          </w:tcPr>
          <w:p w14:paraId="273CC72A">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浊度≤30NTU；</w:t>
            </w:r>
          </w:p>
          <w:p w14:paraId="6DCD4193">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浊度≥1000NTU</w:t>
            </w:r>
          </w:p>
        </w:tc>
        <w:tc>
          <w:tcPr>
            <w:tcW w:w="1015" w:type="dxa"/>
            <w:vAlign w:val="center"/>
          </w:tcPr>
          <w:p w14:paraId="2A816BD5">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不考核</w:t>
            </w:r>
          </w:p>
          <w:p w14:paraId="36E18B9F">
            <w:pPr>
              <w:spacing w:line="360" w:lineRule="auto"/>
              <w:jc w:val="center"/>
              <w:rPr>
                <w:rFonts w:hint="eastAsia" w:ascii="宋体" w:hAnsi="宋体" w:eastAsia="宋体" w:cs="宋体"/>
                <w:bCs/>
                <w:color w:val="auto"/>
                <w:sz w:val="21"/>
                <w:szCs w:val="21"/>
                <w:highlight w:val="none"/>
                <w:lang w:val="zh-CN"/>
              </w:rPr>
            </w:pPr>
          </w:p>
        </w:tc>
      </w:tr>
      <w:tr w14:paraId="2FDF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exact"/>
          <w:jc w:val="center"/>
        </w:trPr>
        <w:tc>
          <w:tcPr>
            <w:tcW w:w="979" w:type="dxa"/>
            <w:vMerge w:val="continue"/>
            <w:vAlign w:val="center"/>
          </w:tcPr>
          <w:p w14:paraId="59A5D337">
            <w:pPr>
              <w:spacing w:line="360" w:lineRule="auto"/>
              <w:jc w:val="center"/>
              <w:rPr>
                <w:rFonts w:hint="eastAsia" w:ascii="宋体" w:hAnsi="宋体" w:eastAsia="宋体" w:cs="宋体"/>
                <w:color w:val="auto"/>
                <w:sz w:val="21"/>
                <w:szCs w:val="21"/>
                <w:highlight w:val="none"/>
                <w:lang w:val="zh-CN"/>
              </w:rPr>
            </w:pPr>
          </w:p>
        </w:tc>
        <w:tc>
          <w:tcPr>
            <w:tcW w:w="943" w:type="dxa"/>
            <w:vMerge w:val="continue"/>
            <w:vAlign w:val="center"/>
          </w:tcPr>
          <w:p w14:paraId="076A6143">
            <w:pPr>
              <w:spacing w:line="360" w:lineRule="auto"/>
              <w:jc w:val="center"/>
              <w:rPr>
                <w:rFonts w:hint="eastAsia" w:ascii="宋体" w:hAnsi="宋体" w:eastAsia="宋体" w:cs="宋体"/>
                <w:color w:val="auto"/>
                <w:sz w:val="21"/>
                <w:szCs w:val="21"/>
                <w:highlight w:val="none"/>
              </w:rPr>
            </w:pPr>
          </w:p>
        </w:tc>
        <w:tc>
          <w:tcPr>
            <w:tcW w:w="804" w:type="dxa"/>
            <w:vMerge w:val="continue"/>
            <w:vAlign w:val="center"/>
          </w:tcPr>
          <w:p w14:paraId="5E19019D">
            <w:pPr>
              <w:spacing w:line="360" w:lineRule="auto"/>
              <w:jc w:val="center"/>
              <w:rPr>
                <w:rFonts w:hint="eastAsia" w:ascii="宋体" w:hAnsi="宋体" w:eastAsia="宋体" w:cs="宋体"/>
                <w:color w:val="auto"/>
                <w:sz w:val="21"/>
                <w:szCs w:val="21"/>
                <w:highlight w:val="none"/>
              </w:rPr>
            </w:pPr>
          </w:p>
        </w:tc>
        <w:tc>
          <w:tcPr>
            <w:tcW w:w="1357" w:type="dxa"/>
            <w:vMerge w:val="continue"/>
            <w:vAlign w:val="center"/>
          </w:tcPr>
          <w:p w14:paraId="0CADB7A1">
            <w:pPr>
              <w:spacing w:line="360" w:lineRule="auto"/>
              <w:jc w:val="center"/>
              <w:rPr>
                <w:rFonts w:hint="eastAsia" w:ascii="宋体" w:hAnsi="宋体" w:eastAsia="宋体" w:cs="宋体"/>
                <w:color w:val="auto"/>
                <w:sz w:val="21"/>
                <w:szCs w:val="21"/>
                <w:highlight w:val="none"/>
              </w:rPr>
            </w:pPr>
          </w:p>
        </w:tc>
        <w:tc>
          <w:tcPr>
            <w:tcW w:w="1888" w:type="dxa"/>
            <w:vMerge w:val="restart"/>
            <w:vAlign w:val="center"/>
          </w:tcPr>
          <w:p w14:paraId="22F768CC">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zh-CN"/>
              </w:rPr>
              <w:t>标准溶液值≤100μS/cm</w:t>
            </w:r>
          </w:p>
        </w:tc>
        <w:tc>
          <w:tcPr>
            <w:tcW w:w="805" w:type="dxa"/>
            <w:vMerge w:val="restart"/>
            <w:vAlign w:val="center"/>
          </w:tcPr>
          <w:p w14:paraId="01402C18">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zh-CN"/>
              </w:rPr>
              <w:t>±5μS/cm</w:t>
            </w:r>
          </w:p>
        </w:tc>
        <w:tc>
          <w:tcPr>
            <w:tcW w:w="2261" w:type="dxa"/>
            <w:vAlign w:val="center"/>
          </w:tcPr>
          <w:p w14:paraId="18CB5264">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30NTU＜浊度≤50NTU</w:t>
            </w:r>
          </w:p>
          <w:p w14:paraId="423697B1">
            <w:pPr>
              <w:spacing w:line="360" w:lineRule="auto"/>
              <w:jc w:val="center"/>
              <w:rPr>
                <w:rFonts w:hint="eastAsia" w:ascii="宋体" w:hAnsi="宋体" w:eastAsia="宋体" w:cs="宋体"/>
                <w:bCs/>
                <w:color w:val="auto"/>
                <w:sz w:val="21"/>
                <w:szCs w:val="21"/>
                <w:highlight w:val="none"/>
                <w:lang w:val="zh-CN"/>
              </w:rPr>
            </w:pPr>
          </w:p>
        </w:tc>
        <w:tc>
          <w:tcPr>
            <w:tcW w:w="1015" w:type="dxa"/>
            <w:vAlign w:val="center"/>
          </w:tcPr>
          <w:p w14:paraId="3FDFB6E6">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±15%</w:t>
            </w:r>
          </w:p>
          <w:p w14:paraId="62196713">
            <w:pPr>
              <w:spacing w:line="360" w:lineRule="auto"/>
              <w:jc w:val="center"/>
              <w:rPr>
                <w:rFonts w:hint="eastAsia" w:ascii="宋体" w:hAnsi="宋体" w:eastAsia="宋体" w:cs="宋体"/>
                <w:bCs/>
                <w:color w:val="auto"/>
                <w:sz w:val="21"/>
                <w:szCs w:val="21"/>
                <w:highlight w:val="none"/>
                <w:lang w:val="zh-CN"/>
              </w:rPr>
            </w:pPr>
          </w:p>
        </w:tc>
      </w:tr>
      <w:tr w14:paraId="2321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exact"/>
          <w:jc w:val="center"/>
        </w:trPr>
        <w:tc>
          <w:tcPr>
            <w:tcW w:w="979" w:type="dxa"/>
            <w:vMerge w:val="continue"/>
            <w:vAlign w:val="center"/>
          </w:tcPr>
          <w:p w14:paraId="46A80156">
            <w:pPr>
              <w:spacing w:line="360" w:lineRule="auto"/>
              <w:jc w:val="center"/>
              <w:rPr>
                <w:rFonts w:hint="eastAsia" w:ascii="宋体" w:hAnsi="宋体" w:eastAsia="宋体" w:cs="宋体"/>
                <w:color w:val="auto"/>
                <w:sz w:val="21"/>
                <w:szCs w:val="21"/>
                <w:highlight w:val="none"/>
                <w:lang w:val="zh-CN"/>
              </w:rPr>
            </w:pPr>
          </w:p>
        </w:tc>
        <w:tc>
          <w:tcPr>
            <w:tcW w:w="943" w:type="dxa"/>
            <w:vMerge w:val="continue"/>
            <w:vAlign w:val="center"/>
          </w:tcPr>
          <w:p w14:paraId="2F535BE4">
            <w:pPr>
              <w:spacing w:line="360" w:lineRule="auto"/>
              <w:jc w:val="center"/>
              <w:rPr>
                <w:rFonts w:hint="eastAsia" w:ascii="宋体" w:hAnsi="宋体" w:eastAsia="宋体" w:cs="宋体"/>
                <w:color w:val="auto"/>
                <w:sz w:val="21"/>
                <w:szCs w:val="21"/>
                <w:highlight w:val="none"/>
              </w:rPr>
            </w:pPr>
          </w:p>
        </w:tc>
        <w:tc>
          <w:tcPr>
            <w:tcW w:w="804" w:type="dxa"/>
            <w:vMerge w:val="continue"/>
            <w:vAlign w:val="center"/>
          </w:tcPr>
          <w:p w14:paraId="6A793324">
            <w:pPr>
              <w:spacing w:line="360" w:lineRule="auto"/>
              <w:jc w:val="center"/>
              <w:rPr>
                <w:rFonts w:hint="eastAsia" w:ascii="宋体" w:hAnsi="宋体" w:eastAsia="宋体" w:cs="宋体"/>
                <w:color w:val="auto"/>
                <w:sz w:val="21"/>
                <w:szCs w:val="21"/>
                <w:highlight w:val="none"/>
              </w:rPr>
            </w:pPr>
          </w:p>
        </w:tc>
        <w:tc>
          <w:tcPr>
            <w:tcW w:w="1357" w:type="dxa"/>
            <w:vMerge w:val="continue"/>
            <w:vAlign w:val="center"/>
          </w:tcPr>
          <w:p w14:paraId="369AB5F9">
            <w:pPr>
              <w:spacing w:line="360" w:lineRule="auto"/>
              <w:jc w:val="center"/>
              <w:rPr>
                <w:rFonts w:hint="eastAsia" w:ascii="宋体" w:hAnsi="宋体" w:eastAsia="宋体" w:cs="宋体"/>
                <w:color w:val="auto"/>
                <w:sz w:val="21"/>
                <w:szCs w:val="21"/>
                <w:highlight w:val="none"/>
              </w:rPr>
            </w:pPr>
          </w:p>
        </w:tc>
        <w:tc>
          <w:tcPr>
            <w:tcW w:w="1888" w:type="dxa"/>
            <w:vMerge w:val="continue"/>
            <w:vAlign w:val="center"/>
          </w:tcPr>
          <w:p w14:paraId="0D87587A">
            <w:pPr>
              <w:spacing w:line="360" w:lineRule="auto"/>
              <w:jc w:val="center"/>
              <w:rPr>
                <w:rFonts w:hint="eastAsia" w:ascii="宋体" w:hAnsi="宋体" w:eastAsia="宋体" w:cs="宋体"/>
                <w:bCs/>
                <w:color w:val="auto"/>
                <w:sz w:val="21"/>
                <w:szCs w:val="21"/>
                <w:highlight w:val="none"/>
                <w:lang w:val="zh-CN"/>
              </w:rPr>
            </w:pPr>
          </w:p>
        </w:tc>
        <w:tc>
          <w:tcPr>
            <w:tcW w:w="805" w:type="dxa"/>
            <w:vMerge w:val="continue"/>
            <w:vAlign w:val="center"/>
          </w:tcPr>
          <w:p w14:paraId="084AA2DC">
            <w:pPr>
              <w:spacing w:line="360" w:lineRule="auto"/>
              <w:jc w:val="center"/>
              <w:rPr>
                <w:rFonts w:hint="eastAsia" w:ascii="宋体" w:hAnsi="宋体" w:eastAsia="宋体" w:cs="宋体"/>
                <w:bCs/>
                <w:color w:val="auto"/>
                <w:sz w:val="21"/>
                <w:szCs w:val="21"/>
                <w:highlight w:val="none"/>
                <w:lang w:val="zh-CN"/>
              </w:rPr>
            </w:pPr>
          </w:p>
        </w:tc>
        <w:tc>
          <w:tcPr>
            <w:tcW w:w="2261" w:type="dxa"/>
            <w:vAlign w:val="center"/>
          </w:tcPr>
          <w:p w14:paraId="46DB0F44">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50NTU＜浊度＜1000NTU</w:t>
            </w:r>
          </w:p>
          <w:p w14:paraId="499417FC">
            <w:pPr>
              <w:spacing w:line="360" w:lineRule="auto"/>
              <w:jc w:val="center"/>
              <w:rPr>
                <w:rFonts w:hint="eastAsia" w:ascii="宋体" w:hAnsi="宋体" w:eastAsia="宋体" w:cs="宋体"/>
                <w:bCs/>
                <w:color w:val="auto"/>
                <w:sz w:val="21"/>
                <w:szCs w:val="21"/>
                <w:highlight w:val="none"/>
                <w:lang w:val="zh-CN"/>
              </w:rPr>
            </w:pPr>
          </w:p>
        </w:tc>
        <w:tc>
          <w:tcPr>
            <w:tcW w:w="1015" w:type="dxa"/>
            <w:vAlign w:val="center"/>
          </w:tcPr>
          <w:p w14:paraId="7E09668D">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±10%</w:t>
            </w:r>
          </w:p>
          <w:p w14:paraId="3D79A7CF">
            <w:pPr>
              <w:spacing w:line="360" w:lineRule="auto"/>
              <w:jc w:val="center"/>
              <w:rPr>
                <w:rFonts w:hint="eastAsia" w:ascii="宋体" w:hAnsi="宋体" w:eastAsia="宋体" w:cs="宋体"/>
                <w:bCs/>
                <w:color w:val="auto"/>
                <w:sz w:val="21"/>
                <w:szCs w:val="21"/>
                <w:highlight w:val="none"/>
                <w:lang w:val="zh-CN"/>
              </w:rPr>
            </w:pPr>
          </w:p>
        </w:tc>
      </w:tr>
    </w:tbl>
    <w:p w14:paraId="3A894952">
      <w:pPr>
        <w:pStyle w:val="11"/>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表5 叶绿素a、蓝绿藻密度电极质控措施要求</w:t>
      </w:r>
    </w:p>
    <w:tbl>
      <w:tblPr>
        <w:tblStyle w:val="7"/>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6"/>
        <w:gridCol w:w="2809"/>
        <w:gridCol w:w="4363"/>
      </w:tblGrid>
      <w:tr w14:paraId="3F8A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866" w:type="dxa"/>
            <w:vAlign w:val="center"/>
          </w:tcPr>
          <w:p w14:paraId="4BEDFA18">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监测项目</w:t>
            </w:r>
          </w:p>
        </w:tc>
        <w:tc>
          <w:tcPr>
            <w:tcW w:w="2809" w:type="dxa"/>
            <w:vAlign w:val="center"/>
          </w:tcPr>
          <w:p w14:paraId="546DD4EE">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质控项目</w:t>
            </w:r>
          </w:p>
        </w:tc>
        <w:tc>
          <w:tcPr>
            <w:tcW w:w="4363" w:type="dxa"/>
            <w:vAlign w:val="center"/>
          </w:tcPr>
          <w:p w14:paraId="085842E6">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技术要求</w:t>
            </w:r>
          </w:p>
        </w:tc>
      </w:tr>
      <w:tr w14:paraId="130C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866" w:type="dxa"/>
            <w:vAlign w:val="center"/>
          </w:tcPr>
          <w:p w14:paraId="11233E22">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叶绿素a</w:t>
            </w:r>
          </w:p>
        </w:tc>
        <w:tc>
          <w:tcPr>
            <w:tcW w:w="2809" w:type="dxa"/>
            <w:vAlign w:val="center"/>
          </w:tcPr>
          <w:p w14:paraId="3B47F55E">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多点线性核查</w:t>
            </w:r>
          </w:p>
        </w:tc>
        <w:tc>
          <w:tcPr>
            <w:tcW w:w="4363" w:type="dxa"/>
            <w:vMerge w:val="restart"/>
            <w:vAlign w:val="center"/>
          </w:tcPr>
          <w:p w14:paraId="0C9374DD">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零点绝对误差应为≤3倍检出限，其他点相对误差应≤±5%，线性相关系数应≥0.993</w:t>
            </w:r>
          </w:p>
        </w:tc>
      </w:tr>
      <w:tr w14:paraId="5EE3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2866" w:type="dxa"/>
            <w:vAlign w:val="center"/>
          </w:tcPr>
          <w:p w14:paraId="365F544A">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蓝绿藻密度</w:t>
            </w:r>
          </w:p>
        </w:tc>
        <w:tc>
          <w:tcPr>
            <w:tcW w:w="2809" w:type="dxa"/>
            <w:vAlign w:val="center"/>
          </w:tcPr>
          <w:p w14:paraId="1022E9B5">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多点线性核查</w:t>
            </w:r>
          </w:p>
        </w:tc>
        <w:tc>
          <w:tcPr>
            <w:tcW w:w="4363" w:type="dxa"/>
            <w:vMerge w:val="continue"/>
            <w:vAlign w:val="center"/>
          </w:tcPr>
          <w:p w14:paraId="481C22E8">
            <w:pPr>
              <w:spacing w:line="520" w:lineRule="exact"/>
              <w:jc w:val="center"/>
              <w:rPr>
                <w:rFonts w:hint="eastAsia" w:ascii="宋体" w:hAnsi="宋体" w:eastAsia="宋体" w:cs="宋体"/>
                <w:color w:val="auto"/>
                <w:szCs w:val="24"/>
                <w:highlight w:val="none"/>
              </w:rPr>
            </w:pPr>
          </w:p>
        </w:tc>
      </w:tr>
    </w:tbl>
    <w:p w14:paraId="6F320425">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4.3.3 维护后质控措施实施要求</w:t>
      </w:r>
    </w:p>
    <w:p w14:paraId="0BE19A1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1)更换试剂以后，应进行校准和标样核查；</w:t>
      </w:r>
    </w:p>
    <w:p w14:paraId="209016E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2)当水质自动分析仪器关键部件更换后，应进行多点线性核查，必要时应开展实际水样比对；</w:t>
      </w:r>
    </w:p>
    <w:p w14:paraId="1529E89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3)当水质自动分析仪长时间停机后应进校准和标液核查。</w:t>
      </w:r>
    </w:p>
    <w:p w14:paraId="09ACB258">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4.3.4 其它质控要求</w:t>
      </w:r>
    </w:p>
    <w:p w14:paraId="28B913E2">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1)当水站质控结果连续3个月全部通过时，运维单位可降低该水站运维频次，但需报送甲方审核；</w:t>
      </w:r>
    </w:p>
    <w:p w14:paraId="76385541">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2)每月对备机进行一次标样核查；</w:t>
      </w:r>
    </w:p>
    <w:p w14:paraId="601A3CC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3)当水质监测数据异常或水质下降至水质类别发生变化时应启动一次留样（浮标站除外），留样后应按照应急维护要求执行；</w:t>
      </w:r>
    </w:p>
    <w:p w14:paraId="39152F8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4)水质自动分析仪斜率k、截距b、消解温度等关键参数修改须通过审核；待审核通过后进行更改，否则参数更改后的监测数据将视为无效数据。</w:t>
      </w:r>
    </w:p>
    <w:p w14:paraId="1966E3AC">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  其它要求</w:t>
      </w:r>
    </w:p>
    <w:p w14:paraId="274C5229">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4.4.1 运行期内的质量保证及质量控制工作需满足《地表水水质自动监测站（常规五参数、CODMn、NH3⁃N、TP、TN）运行维护技术规范（HJ915.3-2024》、《地表水水质自动监测站运行维护技术要求（试行）》等标准的要求。</w:t>
      </w:r>
    </w:p>
    <w:p w14:paraId="51DBC01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4.4.2 为了更好的监管运维单位的维护服务工作，运维单位除了向采购人提供项目负责人及相关运维人员的联系方式外，运维单位还需提供其分管领导（公司高管）的联系方式，以便故障或问题未能及时解决，或者项目联系人超过24小时联系不上时，采购人人员可直接联系运维单位分管领导，告知相关情况并要求处理解决。</w:t>
      </w:r>
    </w:p>
    <w:p w14:paraId="4EA0D100">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4.5 特别说明</w:t>
      </w:r>
    </w:p>
    <w:p w14:paraId="3753ED7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4.5.1此次“西安市地表水质自动监测站运维服务”为保外服务。</w:t>
      </w:r>
    </w:p>
    <w:p w14:paraId="1C6FF2E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4.5.2 因监测系统运行需要洁净水用于进样水源补水及管路清洗，防止阻塞及生长水藻。目前有28个站点没有自来水接入，需要从外部送水至站房。当前这28个站点每个站点配置4立方米水箱，系统每4小时启动一次进行采样，每周需补水一次，相关费用由运维单位承担。</w:t>
      </w:r>
    </w:p>
    <w:p w14:paraId="4B07C738">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4.5.3 运维单位应根据行政区划及地理地貌，结合本项目水站实际分布情况，将43座水站进行区域划分，在需要的区域内设置运维服务点以保证每座水站的运维工作都能满足规范要求的应急响应时间。</w:t>
      </w:r>
    </w:p>
    <w:p w14:paraId="3B06FA6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4.5.4 结合本项目实际情况及安全生产要求，按需配置运维人员及运维用车。应保证配备的运维人员数量与负责日常维护的站点数量比值不低于1/2，运维用车数量与负责日常维护的站点数量比值不低于1/4。投入的专业技术人员应具备大专及以上学历并保证具备省级及以上相关部门颁发的地表水质自动监测领域证书。  </w:t>
      </w:r>
    </w:p>
    <w:p w14:paraId="24C5201B">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4.5.5 运维单位应具备自有实验室和正式合作的第三方实验室。</w:t>
      </w:r>
    </w:p>
    <w:p w14:paraId="3C0BF08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自有实验室应至少满足配置标准溶液和储存相关试剂的功能，包含但不限于纯水机、经过检定的整套玻璃器皿和万分之一天平、冷藏箱、易制毒化学品防爆柜及其他实验室专属配套硬件设施。易制毒危险化学品必须经过公安局备案审批并从易制毒专网购买。</w:t>
      </w:r>
    </w:p>
    <w:p w14:paraId="73987CF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第三方合作实验室必须具有CMA资质，可满足主要污染物、部分污染物及特殊项目的检测要求、应急手工监测等项目的监测要求。实验室应保证不少于2名专业检测人员，检测人员必须具备相关机构颁发的检验检测类相关证书。</w:t>
      </w:r>
    </w:p>
    <w:p w14:paraId="620BACA1">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4.5.6 废液处理。</w:t>
      </w:r>
    </w:p>
    <w:p w14:paraId="35CD39F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水站运行产生的废液须由有资质的危险废物处置公司进行转运处置。运维单位须与危险废物处置公司签订危废处置合同，获取生态环境局危废处置备案登记账号以及固废管理中心办理的危险废物转运卡。</w:t>
      </w:r>
    </w:p>
    <w:p w14:paraId="4E3555CB">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危险废物收集容器不能有破损、盖子损坏或其它可能导致废物泄漏的隐患。废物收集容器应粘贴危险废物标签，明显标示其中废物名称、主要成分与性质，并保持清晰可见。每次完成危险废物转运工作后，转运人和接收人须在危废转运相关表格上签字，一式三份，转运人一份，接收人两份。</w:t>
      </w:r>
    </w:p>
    <w:p w14:paraId="4B799A9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4.5.7 质控管理</w:t>
      </w:r>
    </w:p>
    <w:p w14:paraId="36103DD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行期内的质量保证及质量控制工作需满足《地表水水质自动监测站（常规五参数、CODMn、NH3-N、TP、TN）运行维护技术规范（HJ915.3-2024》技术要求，待《现有市考地表水环境质量自动监测站填平补齐及升级改造项目》完成验收后开展日质控工作，质控设备由《现有市考地表水环境质量自动监测站填平补齐及升级改造项目》项目乙方进行质保，质保期为验收之日起1年，日质控设施设备维护、试剂更换等工作由运维单位保障，日质控结果参与数据有效率计算。</w:t>
      </w:r>
    </w:p>
    <w:p w14:paraId="1D98A7A6">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5.检验与考核</w:t>
      </w:r>
    </w:p>
    <w:p w14:paraId="1542810C">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5.1 水站考核主体</w:t>
      </w:r>
    </w:p>
    <w:p w14:paraId="06A21676">
      <w:pPr>
        <w:pStyle w:val="11"/>
        <w:ind w:firstLine="48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水站运维考核由采购人负责组织。</w:t>
      </w:r>
    </w:p>
    <w:p w14:paraId="15E69F7C">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5.2考核周期及内容</w:t>
      </w:r>
    </w:p>
    <w:p w14:paraId="5B5DDF7D">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水站考核按照单站点季度考核方式进行。考核内容为水站运行考核指标和运行记录情况。运维考核分数90以上为优秀，80-90分为良好，60-80分为及格，60分以下为不合格（见表6）。</w:t>
      </w:r>
    </w:p>
    <w:p w14:paraId="63E6FB38">
      <w:pPr>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color w:val="auto"/>
          <w:sz w:val="32"/>
          <w:szCs w:val="32"/>
          <w:highlight w:val="none"/>
        </w:rPr>
        <w:br w:type="page"/>
      </w:r>
      <w:r>
        <w:rPr>
          <w:rFonts w:hint="eastAsia" w:ascii="宋体" w:hAnsi="宋体" w:eastAsia="宋体" w:cs="宋体"/>
          <w:b/>
          <w:bCs/>
          <w:color w:val="auto"/>
          <w:kern w:val="2"/>
          <w:sz w:val="24"/>
          <w:szCs w:val="24"/>
          <w:highlight w:val="none"/>
          <w:lang w:val="en-US" w:eastAsia="zh-CN" w:bidi="ar-SA"/>
        </w:rPr>
        <w:t>表6  西安市地表水质自动监测站（标准站）运维现场检查评分表</w:t>
      </w:r>
    </w:p>
    <w:p w14:paraId="5A494ED1">
      <w:pPr>
        <w:ind w:firstLine="241" w:firstLineChars="100"/>
        <w:jc w:val="left"/>
        <w:rPr>
          <w:rFonts w:hint="eastAsia" w:ascii="宋体" w:hAnsi="宋体" w:eastAsia="宋体" w:cs="宋体"/>
          <w:color w:val="auto"/>
          <w:szCs w:val="24"/>
          <w:highlight w:val="none"/>
        </w:rPr>
      </w:pPr>
      <w:r>
        <w:rPr>
          <w:rFonts w:hint="eastAsia" w:ascii="宋体" w:hAnsi="宋体" w:eastAsia="宋体" w:cs="宋体"/>
          <w:b/>
          <w:color w:val="auto"/>
          <w:szCs w:val="24"/>
          <w:highlight w:val="none"/>
        </w:rPr>
        <w:t>监测站点名称</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w:t>
      </w:r>
      <w:r>
        <w:rPr>
          <w:rFonts w:hint="eastAsia" w:ascii="宋体" w:hAnsi="宋体" w:eastAsia="宋体" w:cs="宋体"/>
          <w:b/>
          <w:color w:val="auto"/>
          <w:szCs w:val="24"/>
          <w:highlight w:val="none"/>
        </w:rPr>
        <w:t>检查日期</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p>
    <w:p w14:paraId="3D1D118A">
      <w:pPr>
        <w:ind w:firstLine="241" w:firstLineChars="100"/>
        <w:jc w:val="left"/>
        <w:rPr>
          <w:rFonts w:hint="eastAsia" w:ascii="宋体" w:hAnsi="宋体" w:eastAsia="宋体" w:cs="宋体"/>
          <w:b/>
          <w:bCs/>
          <w:color w:val="auto"/>
          <w:szCs w:val="24"/>
          <w:highlight w:val="none"/>
          <w:u w:val="single"/>
        </w:rPr>
      </w:pPr>
      <w:r>
        <w:rPr>
          <w:rFonts w:hint="eastAsia" w:ascii="宋体" w:hAnsi="宋体" w:eastAsia="宋体" w:cs="宋体"/>
          <w:b/>
          <w:color w:val="auto"/>
          <w:szCs w:val="24"/>
          <w:highlight w:val="none"/>
        </w:rPr>
        <w:t>检查人员</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w:t>
      </w:r>
      <w:r>
        <w:rPr>
          <w:rFonts w:hint="eastAsia" w:ascii="宋体" w:hAnsi="宋体" w:eastAsia="宋体" w:cs="宋体"/>
          <w:b/>
          <w:color w:val="auto"/>
          <w:szCs w:val="24"/>
          <w:highlight w:val="none"/>
        </w:rPr>
        <w:t>运维人员</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p>
    <w:tbl>
      <w:tblPr>
        <w:tblStyle w:val="7"/>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1267"/>
        <w:gridCol w:w="792"/>
        <w:gridCol w:w="438"/>
        <w:gridCol w:w="5258"/>
        <w:gridCol w:w="459"/>
      </w:tblGrid>
      <w:tr w14:paraId="4A5F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0EC95751">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检查内容</w:t>
            </w:r>
          </w:p>
        </w:tc>
        <w:tc>
          <w:tcPr>
            <w:tcW w:w="1267" w:type="dxa"/>
            <w:vAlign w:val="center"/>
          </w:tcPr>
          <w:p w14:paraId="441EFF9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检查要点</w:t>
            </w:r>
          </w:p>
        </w:tc>
        <w:tc>
          <w:tcPr>
            <w:tcW w:w="792" w:type="dxa"/>
            <w:vAlign w:val="center"/>
          </w:tcPr>
          <w:p w14:paraId="7E0CF3C6">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单项分值</w:t>
            </w:r>
          </w:p>
        </w:tc>
        <w:tc>
          <w:tcPr>
            <w:tcW w:w="438" w:type="dxa"/>
            <w:vAlign w:val="center"/>
          </w:tcPr>
          <w:p w14:paraId="07D6778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c>
          <w:tcPr>
            <w:tcW w:w="5258" w:type="dxa"/>
            <w:vAlign w:val="center"/>
          </w:tcPr>
          <w:p w14:paraId="243DA153">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评分说明</w:t>
            </w:r>
          </w:p>
        </w:tc>
        <w:tc>
          <w:tcPr>
            <w:tcW w:w="459" w:type="dxa"/>
            <w:vAlign w:val="center"/>
          </w:tcPr>
          <w:p w14:paraId="65A09CE7">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7709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99" w:type="dxa"/>
            <w:vAlign w:val="center"/>
          </w:tcPr>
          <w:p w14:paraId="68697AE0">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1、站房环境保障情况</w:t>
            </w:r>
          </w:p>
          <w:p w14:paraId="0F915A0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（12分）</w:t>
            </w:r>
          </w:p>
        </w:tc>
        <w:tc>
          <w:tcPr>
            <w:tcW w:w="1267" w:type="dxa"/>
            <w:vAlign w:val="center"/>
          </w:tcPr>
          <w:p w14:paraId="46F04F1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水、电、空调（去湿）、灭火器、站房内外部环境等满足要求，保证自动仪器具有良好的运行环境*</w:t>
            </w:r>
          </w:p>
        </w:tc>
        <w:tc>
          <w:tcPr>
            <w:tcW w:w="792" w:type="dxa"/>
            <w:vAlign w:val="center"/>
          </w:tcPr>
          <w:p w14:paraId="505FD2A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438" w:type="dxa"/>
            <w:vAlign w:val="center"/>
          </w:tcPr>
          <w:p w14:paraId="7C4C2126">
            <w:pPr>
              <w:jc w:val="center"/>
              <w:rPr>
                <w:rFonts w:hint="eastAsia" w:ascii="宋体" w:hAnsi="宋体" w:eastAsia="宋体" w:cs="宋体"/>
                <w:color w:val="auto"/>
                <w:sz w:val="21"/>
                <w:szCs w:val="21"/>
                <w:highlight w:val="none"/>
              </w:rPr>
            </w:pPr>
          </w:p>
        </w:tc>
        <w:tc>
          <w:tcPr>
            <w:tcW w:w="5258" w:type="dxa"/>
            <w:vAlign w:val="center"/>
          </w:tcPr>
          <w:p w14:paraId="534B3B91">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保证站房内空调设施运行正常，仪器运行温度</w:t>
            </w:r>
          </w:p>
          <w:p w14:paraId="14BB6CB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保持在25℃左右，站房内温度日波动范围小于3℃，相对湿度保持在80%RH以下；</w:t>
            </w:r>
          </w:p>
          <w:p w14:paraId="7632A15E">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每年需通过具有资质的专业机构对灭火器、防</w:t>
            </w:r>
          </w:p>
          <w:p w14:paraId="272DB9D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雷设施进行检定、维护或更换；</w:t>
            </w:r>
          </w:p>
          <w:p w14:paraId="6997EB4E">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自来水或储水箱保证正常供水；</w:t>
            </w:r>
          </w:p>
          <w:p w14:paraId="3A6905AD">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保证供电系统正常运行；</w:t>
            </w:r>
          </w:p>
          <w:p w14:paraId="19938505">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站房没有无关的设备及杂物，保持整洁；</w:t>
            </w:r>
          </w:p>
          <w:p w14:paraId="2F10890C">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无站房、墙皮脱落、地板塌陷等基础性问题；</w:t>
            </w:r>
          </w:p>
          <w:p w14:paraId="19505FDE">
            <w:pPr>
              <w:ind w:left="-360" w:leftChars="-150"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备注：一项不满足扣除2分，扣分上限为单项分值。</w:t>
            </w:r>
          </w:p>
        </w:tc>
        <w:tc>
          <w:tcPr>
            <w:tcW w:w="459" w:type="dxa"/>
            <w:vAlign w:val="center"/>
          </w:tcPr>
          <w:p w14:paraId="72202363">
            <w:pPr>
              <w:ind w:left="-360" w:leftChars="-150" w:firstLine="420" w:firstLineChars="200"/>
              <w:jc w:val="left"/>
              <w:rPr>
                <w:rFonts w:hint="eastAsia" w:ascii="宋体" w:hAnsi="宋体" w:eastAsia="宋体" w:cs="宋体"/>
                <w:color w:val="auto"/>
                <w:sz w:val="21"/>
                <w:szCs w:val="21"/>
                <w:highlight w:val="none"/>
              </w:rPr>
            </w:pPr>
          </w:p>
        </w:tc>
      </w:tr>
      <w:tr w14:paraId="7012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4" w:hRule="atLeast"/>
          <w:jc w:val="center"/>
        </w:trPr>
        <w:tc>
          <w:tcPr>
            <w:tcW w:w="1499" w:type="dxa"/>
            <w:vAlign w:val="center"/>
          </w:tcPr>
          <w:p w14:paraId="013A0930">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2、水站的维护管理</w:t>
            </w:r>
          </w:p>
          <w:p w14:paraId="6CFB0F6E">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（16分）</w:t>
            </w:r>
          </w:p>
          <w:p w14:paraId="54B24FF7">
            <w:pPr>
              <w:jc w:val="center"/>
              <w:rPr>
                <w:rFonts w:hint="eastAsia" w:ascii="宋体" w:hAnsi="宋体" w:eastAsia="宋体" w:cs="宋体"/>
                <w:b/>
                <w:color w:val="auto"/>
                <w:sz w:val="21"/>
                <w:szCs w:val="21"/>
                <w:highlight w:val="none"/>
              </w:rPr>
            </w:pPr>
          </w:p>
          <w:p w14:paraId="6391EA17">
            <w:pPr>
              <w:jc w:val="center"/>
              <w:rPr>
                <w:rFonts w:hint="eastAsia" w:ascii="宋体" w:hAnsi="宋体" w:eastAsia="宋体" w:cs="宋体"/>
                <w:color w:val="auto"/>
                <w:sz w:val="21"/>
                <w:szCs w:val="21"/>
                <w:highlight w:val="none"/>
              </w:rPr>
            </w:pPr>
          </w:p>
        </w:tc>
        <w:tc>
          <w:tcPr>
            <w:tcW w:w="1267" w:type="dxa"/>
            <w:vAlign w:val="center"/>
          </w:tcPr>
          <w:p w14:paraId="37C7325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自动监测仪器*</w:t>
            </w:r>
          </w:p>
        </w:tc>
        <w:tc>
          <w:tcPr>
            <w:tcW w:w="792" w:type="dxa"/>
            <w:vAlign w:val="center"/>
          </w:tcPr>
          <w:p w14:paraId="2FBC188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438" w:type="dxa"/>
            <w:vAlign w:val="center"/>
          </w:tcPr>
          <w:p w14:paraId="0443AAB2">
            <w:pPr>
              <w:jc w:val="center"/>
              <w:rPr>
                <w:rFonts w:hint="eastAsia" w:ascii="宋体" w:hAnsi="宋体" w:eastAsia="宋体" w:cs="宋体"/>
                <w:color w:val="auto"/>
                <w:sz w:val="21"/>
                <w:szCs w:val="21"/>
                <w:highlight w:val="none"/>
              </w:rPr>
            </w:pPr>
          </w:p>
        </w:tc>
        <w:tc>
          <w:tcPr>
            <w:tcW w:w="5258" w:type="dxa"/>
            <w:vAlign w:val="center"/>
          </w:tcPr>
          <w:p w14:paraId="6FDFC5A0">
            <w:pPr>
              <w:numPr>
                <w:ilvl w:val="0"/>
                <w:numId w:val="2"/>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定期清洗：定期清洗采配水系统，包括采水头、</w:t>
            </w:r>
          </w:p>
          <w:p w14:paraId="33AD1E0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吊桶、泵体、沉砂池、五参数池、过滤头、样水杯、阀门、相关管路等，对于无法清洗干净的应及时更换；</w:t>
            </w:r>
          </w:p>
          <w:p w14:paraId="62E4CBE1">
            <w:pPr>
              <w:numPr>
                <w:ilvl w:val="0"/>
                <w:numId w:val="2"/>
              </w:numPr>
              <w:ind w:left="315" w:hanging="315"/>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rPr>
              <w:t>定期更换试剂：检查试剂状况，定期更换原厂</w:t>
            </w:r>
          </w:p>
          <w:p w14:paraId="0F62252A">
            <w:p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rPr>
              <w:t>试剂，更换周期不得超过操作规程或仪器说明规定的试剂保质期，室内温度较高时应缩短更换周期；</w:t>
            </w:r>
          </w:p>
          <w:p w14:paraId="529FB5CB">
            <w:pPr>
              <w:numPr>
                <w:ilvl w:val="0"/>
                <w:numId w:val="2"/>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定期更换易耗品：根据仪器运行情况、断面水</w:t>
            </w:r>
          </w:p>
          <w:p w14:paraId="2EC344A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质状况和水站环境条件制定易耗品和消耗品（如泵管、接头、密封件等）的更换周期，并保证在耗材使用到期前完成更换；</w:t>
            </w:r>
          </w:p>
          <w:p w14:paraId="2CADD59D">
            <w:pPr>
              <w:numPr>
                <w:ilvl w:val="0"/>
                <w:numId w:val="2"/>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定期校准仪器；应按照水质自动分析仪质控措</w:t>
            </w:r>
          </w:p>
          <w:p w14:paraId="664681F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施及频次进行校准。</w:t>
            </w:r>
          </w:p>
          <w:p w14:paraId="4F1DA244">
            <w:pPr>
              <w:numPr>
                <w:ilvl w:val="0"/>
                <w:numId w:val="2"/>
              </w:numPr>
              <w:ind w:left="315" w:hanging="315"/>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rPr>
              <w:t>UPS、自动留样器、监控等设施正常运行;</w:t>
            </w:r>
          </w:p>
          <w:p w14:paraId="7D0AAAC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6）设备主要参数包括斜率、截距、消解时间、消解温度等参数设置符合相关规定；</w:t>
            </w:r>
          </w:p>
          <w:p w14:paraId="672792D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7）保证网络通畅;</w:t>
            </w:r>
          </w:p>
          <w:p w14:paraId="07E591E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8）异常情况处理率达到100%、运维完成率达到100%；</w:t>
            </w:r>
          </w:p>
          <w:p w14:paraId="3BEDB44E">
            <w:pPr>
              <w:ind w:left="-360" w:leftChars="-150"/>
              <w:jc w:val="left"/>
              <w:rPr>
                <w:rFonts w:hint="eastAsia" w:ascii="宋体" w:hAnsi="宋体" w:eastAsia="宋体" w:cs="宋体"/>
                <w:color w:val="auto"/>
                <w:spacing w:val="-2"/>
                <w:sz w:val="21"/>
                <w:szCs w:val="21"/>
                <w:highlight w:val="none"/>
              </w:rPr>
            </w:pPr>
            <w:r>
              <w:rPr>
                <w:rFonts w:hint="eastAsia" w:ascii="宋体" w:hAnsi="宋体" w:eastAsia="宋体" w:cs="宋体"/>
                <w:b/>
                <w:bCs/>
                <w:color w:val="auto"/>
                <w:sz w:val="21"/>
                <w:szCs w:val="21"/>
                <w:highlight w:val="none"/>
              </w:rPr>
              <w:t>备注：一项不满足扣除2分，扣分上限为单项分值。</w:t>
            </w:r>
          </w:p>
        </w:tc>
        <w:tc>
          <w:tcPr>
            <w:tcW w:w="459" w:type="dxa"/>
            <w:vAlign w:val="center"/>
          </w:tcPr>
          <w:p w14:paraId="73546B91">
            <w:pPr>
              <w:ind w:left="-360" w:leftChars="-150"/>
              <w:jc w:val="left"/>
              <w:rPr>
                <w:rFonts w:hint="eastAsia" w:ascii="宋体" w:hAnsi="宋体" w:eastAsia="宋体" w:cs="宋体"/>
                <w:color w:val="auto"/>
                <w:sz w:val="21"/>
                <w:szCs w:val="21"/>
                <w:highlight w:val="none"/>
              </w:rPr>
            </w:pPr>
          </w:p>
        </w:tc>
      </w:tr>
      <w:tr w14:paraId="3B877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restart"/>
            <w:vAlign w:val="center"/>
          </w:tcPr>
          <w:p w14:paraId="3D5403D3">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3、采配水运行维护</w:t>
            </w:r>
          </w:p>
          <w:p w14:paraId="63CFA491">
            <w:pP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（12分）</w:t>
            </w:r>
          </w:p>
        </w:tc>
        <w:tc>
          <w:tcPr>
            <w:tcW w:w="1267" w:type="dxa"/>
            <w:vAlign w:val="center"/>
          </w:tcPr>
          <w:p w14:paraId="3748028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采水系统的维护*</w:t>
            </w:r>
          </w:p>
        </w:tc>
        <w:tc>
          <w:tcPr>
            <w:tcW w:w="792" w:type="dxa"/>
            <w:vAlign w:val="center"/>
          </w:tcPr>
          <w:p w14:paraId="2854E05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438" w:type="dxa"/>
            <w:vAlign w:val="center"/>
          </w:tcPr>
          <w:p w14:paraId="710EE46A">
            <w:pPr>
              <w:jc w:val="right"/>
              <w:rPr>
                <w:rFonts w:hint="eastAsia" w:ascii="宋体" w:hAnsi="宋体" w:eastAsia="宋体" w:cs="宋体"/>
                <w:color w:val="auto"/>
                <w:sz w:val="21"/>
                <w:szCs w:val="21"/>
                <w:highlight w:val="none"/>
              </w:rPr>
            </w:pPr>
          </w:p>
        </w:tc>
        <w:tc>
          <w:tcPr>
            <w:tcW w:w="5258" w:type="dxa"/>
            <w:vAlign w:val="center"/>
          </w:tcPr>
          <w:p w14:paraId="63D2D02A">
            <w:pPr>
              <w:ind w:left="-360" w:leftChars="-1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检检查采水浮筒固定、泵体运行情况、采排水位置等情况；一项不满足扣除2分，扣分上限为单项分值。</w:t>
            </w:r>
          </w:p>
        </w:tc>
        <w:tc>
          <w:tcPr>
            <w:tcW w:w="459" w:type="dxa"/>
            <w:vAlign w:val="center"/>
          </w:tcPr>
          <w:p w14:paraId="03C9208A">
            <w:pPr>
              <w:jc w:val="left"/>
              <w:rPr>
                <w:rFonts w:hint="eastAsia" w:ascii="宋体" w:hAnsi="宋体" w:eastAsia="宋体" w:cs="宋体"/>
                <w:color w:val="auto"/>
                <w:sz w:val="21"/>
                <w:szCs w:val="21"/>
                <w:highlight w:val="none"/>
              </w:rPr>
            </w:pPr>
          </w:p>
        </w:tc>
      </w:tr>
      <w:tr w14:paraId="0018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continue"/>
            <w:vAlign w:val="center"/>
          </w:tcPr>
          <w:p w14:paraId="4A28D6B6">
            <w:pPr>
              <w:jc w:val="center"/>
              <w:rPr>
                <w:rFonts w:hint="eastAsia" w:ascii="宋体" w:hAnsi="宋体" w:eastAsia="宋体" w:cs="宋体"/>
                <w:b/>
                <w:color w:val="auto"/>
                <w:sz w:val="21"/>
                <w:szCs w:val="21"/>
                <w:highlight w:val="none"/>
              </w:rPr>
            </w:pPr>
          </w:p>
        </w:tc>
        <w:tc>
          <w:tcPr>
            <w:tcW w:w="1267" w:type="dxa"/>
            <w:vAlign w:val="center"/>
          </w:tcPr>
          <w:p w14:paraId="5E98CFC0">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配水系统的维护*</w:t>
            </w:r>
          </w:p>
        </w:tc>
        <w:tc>
          <w:tcPr>
            <w:tcW w:w="792" w:type="dxa"/>
            <w:vAlign w:val="center"/>
          </w:tcPr>
          <w:p w14:paraId="2790A1D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438" w:type="dxa"/>
            <w:vAlign w:val="center"/>
          </w:tcPr>
          <w:p w14:paraId="72907496">
            <w:pPr>
              <w:jc w:val="center"/>
              <w:rPr>
                <w:rFonts w:hint="eastAsia" w:ascii="宋体" w:hAnsi="宋体" w:eastAsia="宋体" w:cs="宋体"/>
                <w:color w:val="auto"/>
                <w:sz w:val="21"/>
                <w:szCs w:val="21"/>
                <w:highlight w:val="none"/>
              </w:rPr>
            </w:pPr>
          </w:p>
        </w:tc>
        <w:tc>
          <w:tcPr>
            <w:tcW w:w="5258" w:type="dxa"/>
            <w:vAlign w:val="center"/>
          </w:tcPr>
          <w:p w14:paraId="22DB289E">
            <w:pPr>
              <w:ind w:left="360" w:hanging="315" w:hanging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检查除藻设备，沉砂池，增压泵等配水集成管路；</w:t>
            </w:r>
          </w:p>
          <w:p w14:paraId="5339DC02">
            <w:pPr>
              <w:ind w:left="360" w:hanging="315" w:hanging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一项不满足扣除2分，扣分上限为单项分值。</w:t>
            </w:r>
          </w:p>
        </w:tc>
        <w:tc>
          <w:tcPr>
            <w:tcW w:w="459" w:type="dxa"/>
            <w:vAlign w:val="center"/>
          </w:tcPr>
          <w:p w14:paraId="411A3942">
            <w:pPr>
              <w:ind w:left="360" w:hanging="315" w:hangingChars="150"/>
              <w:jc w:val="left"/>
              <w:rPr>
                <w:rFonts w:hint="eastAsia" w:ascii="宋体" w:hAnsi="宋体" w:eastAsia="宋体" w:cs="宋体"/>
                <w:color w:val="auto"/>
                <w:sz w:val="21"/>
                <w:szCs w:val="21"/>
                <w:highlight w:val="none"/>
              </w:rPr>
            </w:pPr>
          </w:p>
        </w:tc>
      </w:tr>
      <w:tr w14:paraId="5990E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1499" w:type="dxa"/>
            <w:vAlign w:val="center"/>
          </w:tcPr>
          <w:p w14:paraId="60353221">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4、运维月报及月度比对报告上报</w:t>
            </w:r>
          </w:p>
          <w:p w14:paraId="2F8D1C12">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（10分）</w:t>
            </w:r>
          </w:p>
        </w:tc>
        <w:tc>
          <w:tcPr>
            <w:tcW w:w="1267" w:type="dxa"/>
            <w:vAlign w:val="center"/>
          </w:tcPr>
          <w:p w14:paraId="0D013CB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月报上报（10分）</w:t>
            </w:r>
          </w:p>
        </w:tc>
        <w:tc>
          <w:tcPr>
            <w:tcW w:w="792" w:type="dxa"/>
            <w:vAlign w:val="center"/>
          </w:tcPr>
          <w:p w14:paraId="5848CE4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438" w:type="dxa"/>
            <w:vAlign w:val="center"/>
          </w:tcPr>
          <w:p w14:paraId="6ECBACC4">
            <w:pPr>
              <w:jc w:val="left"/>
              <w:rPr>
                <w:rFonts w:hint="eastAsia" w:ascii="宋体" w:hAnsi="宋体" w:eastAsia="宋体" w:cs="宋体"/>
                <w:color w:val="auto"/>
                <w:sz w:val="21"/>
                <w:szCs w:val="21"/>
                <w:highlight w:val="none"/>
              </w:rPr>
            </w:pPr>
          </w:p>
        </w:tc>
        <w:tc>
          <w:tcPr>
            <w:tcW w:w="5258" w:type="dxa"/>
            <w:vAlign w:val="center"/>
          </w:tcPr>
          <w:p w14:paraId="02F8E2A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运维单位每月5日前提交上月运维月报，内容包括维护水站名称、水站参数配置、维护人员、实际例行巡检日期、维护内容、维护情况等。缺少一项或超时报送扣2分，扣分上限为单项分值。</w:t>
            </w:r>
          </w:p>
        </w:tc>
        <w:tc>
          <w:tcPr>
            <w:tcW w:w="459" w:type="dxa"/>
            <w:vAlign w:val="center"/>
          </w:tcPr>
          <w:p w14:paraId="29BD90AF">
            <w:pPr>
              <w:spacing w:line="280" w:lineRule="exact"/>
              <w:jc w:val="left"/>
              <w:rPr>
                <w:rFonts w:hint="eastAsia" w:ascii="宋体" w:hAnsi="宋体" w:eastAsia="宋体" w:cs="宋体"/>
                <w:color w:val="auto"/>
                <w:sz w:val="21"/>
                <w:szCs w:val="21"/>
                <w:highlight w:val="none"/>
              </w:rPr>
            </w:pPr>
          </w:p>
        </w:tc>
      </w:tr>
      <w:tr w14:paraId="2E162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restart"/>
            <w:vAlign w:val="center"/>
          </w:tcPr>
          <w:p w14:paraId="41F71A59">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5、监测数据的质量管理</w:t>
            </w:r>
          </w:p>
          <w:p w14:paraId="11AA0103">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（51分）</w:t>
            </w:r>
          </w:p>
          <w:p w14:paraId="4FE86C6A">
            <w:pPr>
              <w:jc w:val="center"/>
              <w:rPr>
                <w:rFonts w:hint="eastAsia" w:ascii="宋体" w:hAnsi="宋体" w:eastAsia="宋体" w:cs="宋体"/>
                <w:b/>
                <w:color w:val="auto"/>
                <w:sz w:val="21"/>
                <w:szCs w:val="21"/>
                <w:highlight w:val="none"/>
              </w:rPr>
            </w:pPr>
          </w:p>
        </w:tc>
        <w:tc>
          <w:tcPr>
            <w:tcW w:w="1267" w:type="dxa"/>
            <w:vAlign w:val="center"/>
          </w:tcPr>
          <w:p w14:paraId="778FECAE">
            <w:pPr>
              <w:spacing w:line="340" w:lineRule="exac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质控措施执行情况</w:t>
            </w:r>
          </w:p>
        </w:tc>
        <w:tc>
          <w:tcPr>
            <w:tcW w:w="792" w:type="dxa"/>
            <w:vAlign w:val="center"/>
          </w:tcPr>
          <w:p w14:paraId="18E8ABD6">
            <w:pPr>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10</w:t>
            </w:r>
          </w:p>
        </w:tc>
        <w:tc>
          <w:tcPr>
            <w:tcW w:w="438" w:type="dxa"/>
            <w:vAlign w:val="center"/>
          </w:tcPr>
          <w:p w14:paraId="0E6F6B20">
            <w:pPr>
              <w:jc w:val="center"/>
              <w:rPr>
                <w:rFonts w:hint="eastAsia" w:ascii="宋体" w:hAnsi="宋体" w:eastAsia="宋体" w:cs="宋体"/>
                <w:bCs/>
                <w:color w:val="auto"/>
                <w:sz w:val="21"/>
                <w:szCs w:val="21"/>
                <w:highlight w:val="none"/>
              </w:rPr>
            </w:pPr>
          </w:p>
        </w:tc>
        <w:tc>
          <w:tcPr>
            <w:tcW w:w="5258" w:type="dxa"/>
            <w:vAlign w:val="center"/>
          </w:tcPr>
          <w:p w14:paraId="088FD784">
            <w:pPr>
              <w:spacing w:line="340" w:lineRule="exac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按照规定频次开展标样核查、多点线性核查、水样比对、集成干预检查、加标回收率自动测试等质控措施、测试结果不符合技术要求、记录不完整的每项扣2分，扣分上限为单项分值。</w:t>
            </w:r>
          </w:p>
        </w:tc>
        <w:tc>
          <w:tcPr>
            <w:tcW w:w="459" w:type="dxa"/>
            <w:vAlign w:val="center"/>
          </w:tcPr>
          <w:p w14:paraId="64F6D162">
            <w:pPr>
              <w:jc w:val="left"/>
              <w:rPr>
                <w:rFonts w:hint="eastAsia" w:ascii="宋体" w:hAnsi="宋体" w:eastAsia="宋体" w:cs="宋体"/>
                <w:color w:val="auto"/>
                <w:sz w:val="21"/>
                <w:szCs w:val="21"/>
                <w:highlight w:val="none"/>
              </w:rPr>
            </w:pPr>
          </w:p>
        </w:tc>
      </w:tr>
      <w:tr w14:paraId="481AB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499" w:type="dxa"/>
            <w:vMerge w:val="continue"/>
            <w:vAlign w:val="center"/>
          </w:tcPr>
          <w:p w14:paraId="640EE49F">
            <w:pPr>
              <w:jc w:val="center"/>
              <w:rPr>
                <w:rFonts w:hint="eastAsia" w:ascii="宋体" w:hAnsi="宋体" w:eastAsia="宋体" w:cs="宋体"/>
                <w:b/>
                <w:color w:val="auto"/>
                <w:sz w:val="21"/>
                <w:szCs w:val="21"/>
                <w:highlight w:val="none"/>
              </w:rPr>
            </w:pPr>
          </w:p>
        </w:tc>
        <w:tc>
          <w:tcPr>
            <w:tcW w:w="1267" w:type="dxa"/>
            <w:vAlign w:val="center"/>
          </w:tcPr>
          <w:p w14:paraId="50918991">
            <w:pPr>
              <w:spacing w:line="340" w:lineRule="exact"/>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现场盲样考核*</w:t>
            </w:r>
          </w:p>
        </w:tc>
        <w:tc>
          <w:tcPr>
            <w:tcW w:w="792" w:type="dxa"/>
            <w:vAlign w:val="center"/>
          </w:tcPr>
          <w:p w14:paraId="045C88C4">
            <w:pPr>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438" w:type="dxa"/>
            <w:vAlign w:val="center"/>
          </w:tcPr>
          <w:p w14:paraId="1BB1BFA1">
            <w:pPr>
              <w:jc w:val="center"/>
              <w:rPr>
                <w:rFonts w:hint="eastAsia" w:ascii="宋体" w:hAnsi="宋体" w:eastAsia="宋体" w:cs="宋体"/>
                <w:color w:val="auto"/>
                <w:sz w:val="21"/>
                <w:szCs w:val="21"/>
                <w:highlight w:val="none"/>
              </w:rPr>
            </w:pPr>
          </w:p>
        </w:tc>
        <w:tc>
          <w:tcPr>
            <w:tcW w:w="5258" w:type="dxa"/>
            <w:vAlign w:val="center"/>
          </w:tcPr>
          <w:p w14:paraId="0DAD6E54">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现场随机抽查3项监测项目进行盲样考核，一项满足盲样考核标准的扣5分，扣分上限为单项分值。</w:t>
            </w:r>
          </w:p>
        </w:tc>
        <w:tc>
          <w:tcPr>
            <w:tcW w:w="459" w:type="dxa"/>
            <w:vAlign w:val="center"/>
          </w:tcPr>
          <w:p w14:paraId="01A17F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监测项目：  </w:t>
            </w:r>
          </w:p>
          <w:p w14:paraId="40C0C6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标样值：</w:t>
            </w:r>
          </w:p>
          <w:p w14:paraId="1F6DA6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实际监测值：</w:t>
            </w:r>
          </w:p>
        </w:tc>
      </w:tr>
      <w:tr w14:paraId="2C39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continue"/>
            <w:vAlign w:val="center"/>
          </w:tcPr>
          <w:p w14:paraId="3A5FF7E5">
            <w:pPr>
              <w:jc w:val="center"/>
              <w:rPr>
                <w:rFonts w:hint="eastAsia" w:ascii="宋体" w:hAnsi="宋体" w:eastAsia="宋体" w:cs="宋体"/>
                <w:b/>
                <w:color w:val="auto"/>
                <w:sz w:val="21"/>
                <w:szCs w:val="21"/>
                <w:highlight w:val="none"/>
              </w:rPr>
            </w:pPr>
          </w:p>
        </w:tc>
        <w:tc>
          <w:tcPr>
            <w:tcW w:w="1267" w:type="dxa"/>
            <w:vAlign w:val="center"/>
          </w:tcPr>
          <w:p w14:paraId="00507FF8">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监测数据有效率（%）</w:t>
            </w:r>
          </w:p>
        </w:tc>
        <w:tc>
          <w:tcPr>
            <w:tcW w:w="792" w:type="dxa"/>
            <w:vAlign w:val="center"/>
          </w:tcPr>
          <w:p w14:paraId="24A49BD1">
            <w:pPr>
              <w:spacing w:line="300" w:lineRule="exact"/>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20</w:t>
            </w:r>
          </w:p>
        </w:tc>
        <w:tc>
          <w:tcPr>
            <w:tcW w:w="438" w:type="dxa"/>
            <w:vAlign w:val="center"/>
          </w:tcPr>
          <w:p w14:paraId="0C11BF2D">
            <w:pPr>
              <w:jc w:val="center"/>
              <w:rPr>
                <w:rFonts w:hint="eastAsia" w:ascii="宋体" w:hAnsi="宋体" w:eastAsia="宋体" w:cs="宋体"/>
                <w:color w:val="auto"/>
                <w:sz w:val="21"/>
                <w:szCs w:val="21"/>
                <w:highlight w:val="none"/>
              </w:rPr>
            </w:pPr>
          </w:p>
        </w:tc>
        <w:tc>
          <w:tcPr>
            <w:tcW w:w="5258" w:type="dxa"/>
            <w:vAlign w:val="center"/>
          </w:tcPr>
          <w:p w14:paraId="4E1FB787">
            <w:pPr>
              <w:rPr>
                <w:rFonts w:hint="eastAsia" w:ascii="宋体" w:hAnsi="宋体" w:eastAsia="宋体" w:cs="宋体"/>
                <w:color w:val="auto"/>
                <w:sz w:val="21"/>
                <w:szCs w:val="21"/>
                <w:highlight w:val="none"/>
              </w:rPr>
            </w:pPr>
            <w:r>
              <w:rPr>
                <w:rFonts w:hint="eastAsia" w:ascii="宋体" w:hAnsi="宋体" w:eastAsia="宋体" w:cs="宋体"/>
                <w:color w:val="auto"/>
                <w:position w:val="-26"/>
                <w:sz w:val="21"/>
                <w:szCs w:val="21"/>
                <w:highlight w:val="none"/>
              </w:rPr>
              <w:object>
                <v:shape id="_x0000_i1025" o:spt="75" type="#_x0000_t75" style="height:32.6pt;width:137.5pt;" o:ole="t" filled="f" o:preferrelative="t" stroked="f" coordsize="21600,21600">
                  <v:path/>
                  <v:fill on="f" focussize="0,0"/>
                  <v:stroke on="f"/>
                  <v:imagedata r:id="rId8" o:title=""/>
                  <o:lock v:ext="edit" aspectratio="t"/>
                  <w10:wrap type="none"/>
                  <w10:anchorlock/>
                </v:shape>
                <o:OLEObject Type="Embed" ProgID="Equation.3" ShapeID="_x0000_i1025" DrawAspect="Content" ObjectID="_1468075725" r:id="rId7">
                  <o:LockedField>false</o:LockedField>
                </o:OLEObject>
              </w:object>
            </w:r>
          </w:p>
        </w:tc>
        <w:tc>
          <w:tcPr>
            <w:tcW w:w="459" w:type="dxa"/>
            <w:vAlign w:val="center"/>
          </w:tcPr>
          <w:p w14:paraId="1C1568AA">
            <w:pPr>
              <w:jc w:val="left"/>
              <w:rPr>
                <w:rFonts w:hint="eastAsia" w:ascii="宋体" w:hAnsi="宋体" w:eastAsia="宋体" w:cs="宋体"/>
                <w:color w:val="auto"/>
                <w:sz w:val="21"/>
                <w:szCs w:val="21"/>
                <w:highlight w:val="none"/>
              </w:rPr>
            </w:pPr>
          </w:p>
        </w:tc>
      </w:tr>
      <w:tr w14:paraId="2400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continue"/>
            <w:vAlign w:val="center"/>
          </w:tcPr>
          <w:p w14:paraId="4B2BA7DD">
            <w:pPr>
              <w:jc w:val="center"/>
              <w:rPr>
                <w:rFonts w:hint="eastAsia" w:ascii="宋体" w:hAnsi="宋体" w:eastAsia="宋体" w:cs="宋体"/>
                <w:b/>
                <w:color w:val="auto"/>
                <w:sz w:val="21"/>
                <w:szCs w:val="21"/>
                <w:highlight w:val="none"/>
              </w:rPr>
            </w:pPr>
          </w:p>
        </w:tc>
        <w:tc>
          <w:tcPr>
            <w:tcW w:w="1267" w:type="dxa"/>
            <w:vAlign w:val="center"/>
          </w:tcPr>
          <w:p w14:paraId="71382430">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仪器运转率（%）</w:t>
            </w:r>
          </w:p>
        </w:tc>
        <w:tc>
          <w:tcPr>
            <w:tcW w:w="792" w:type="dxa"/>
            <w:vAlign w:val="center"/>
          </w:tcPr>
          <w:p w14:paraId="50469A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438" w:type="dxa"/>
            <w:vAlign w:val="center"/>
          </w:tcPr>
          <w:p w14:paraId="59D6F7E7">
            <w:pPr>
              <w:spacing w:line="340" w:lineRule="exact"/>
              <w:rPr>
                <w:rFonts w:hint="eastAsia" w:ascii="宋体" w:hAnsi="宋体" w:eastAsia="宋体" w:cs="宋体"/>
                <w:color w:val="auto"/>
                <w:sz w:val="21"/>
                <w:szCs w:val="21"/>
                <w:highlight w:val="none"/>
              </w:rPr>
            </w:pPr>
          </w:p>
        </w:tc>
        <w:tc>
          <w:tcPr>
            <w:tcW w:w="5258" w:type="dxa"/>
            <w:vAlign w:val="center"/>
          </w:tcPr>
          <w:p w14:paraId="4CE48F6A">
            <w:pPr>
              <w:rPr>
                <w:rFonts w:hint="eastAsia" w:ascii="宋体" w:hAnsi="宋体" w:eastAsia="宋体" w:cs="宋体"/>
                <w:color w:val="auto"/>
                <w:sz w:val="21"/>
                <w:szCs w:val="21"/>
                <w:highlight w:val="none"/>
              </w:rPr>
            </w:pPr>
            <w:r>
              <w:rPr>
                <w:rFonts w:hint="eastAsia" w:ascii="宋体" w:hAnsi="宋体" w:eastAsia="宋体" w:cs="宋体"/>
                <w:color w:val="auto"/>
                <w:position w:val="-26"/>
                <w:sz w:val="21"/>
                <w:szCs w:val="21"/>
                <w:highlight w:val="none"/>
              </w:rPr>
              <w:object>
                <v:shape id="_x0000_i1026" o:spt="75" type="#_x0000_t75" style="height:29.95pt;width:177pt;" o:ole="t" filled="f" o:preferrelative="t" stroked="f" coordsize="21600,21600">
                  <v:path/>
                  <v:fill on="f" focussize="0,0"/>
                  <v:stroke on="f"/>
                  <v:imagedata r:id="rId10" o:title=""/>
                  <o:lock v:ext="edit" aspectratio="t"/>
                  <w10:wrap type="none"/>
                  <w10:anchorlock/>
                </v:shape>
                <o:OLEObject Type="Embed" ProgID="Equation.3" ShapeID="_x0000_i1026" DrawAspect="Content" ObjectID="_1468075726" r:id="rId9">
                  <o:LockedField>false</o:LockedField>
                </o:OLEObject>
              </w:object>
            </w:r>
          </w:p>
        </w:tc>
        <w:tc>
          <w:tcPr>
            <w:tcW w:w="459" w:type="dxa"/>
            <w:vAlign w:val="center"/>
          </w:tcPr>
          <w:p w14:paraId="20EFBF27">
            <w:pPr>
              <w:jc w:val="left"/>
              <w:rPr>
                <w:rFonts w:hint="eastAsia" w:ascii="宋体" w:hAnsi="宋体" w:eastAsia="宋体" w:cs="宋体"/>
                <w:color w:val="auto"/>
                <w:sz w:val="21"/>
                <w:szCs w:val="21"/>
                <w:highlight w:val="none"/>
              </w:rPr>
            </w:pPr>
          </w:p>
        </w:tc>
      </w:tr>
      <w:tr w14:paraId="4320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99" w:type="dxa"/>
            <w:vAlign w:val="center"/>
          </w:tcPr>
          <w:p w14:paraId="76599669">
            <w:pPr>
              <w:spacing w:line="34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水站考核总分及结果</w:t>
            </w:r>
          </w:p>
        </w:tc>
        <w:tc>
          <w:tcPr>
            <w:tcW w:w="8214" w:type="dxa"/>
            <w:gridSpan w:val="5"/>
            <w:vAlign w:val="center"/>
          </w:tcPr>
          <w:p w14:paraId="6BAF146C">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tc>
      </w:tr>
    </w:tbl>
    <w:p w14:paraId="507E6AA7">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注：带*为现场打分项。</w:t>
      </w:r>
    </w:p>
    <w:p w14:paraId="76DAADB4">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5.3 单个水站运维费用核算与支付。</w:t>
      </w:r>
    </w:p>
    <w:p w14:paraId="17050FB2">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对每个水站，根据运维任务的完成情况，评定优秀、良好、合格、不合格级别，按照级别支付运维经费，按季度考核结果核算。优秀级别全部支付，良好级别支付80%，合格级别支付60%，不合格的不予支付运维费。（见表7）</w:t>
      </w:r>
    </w:p>
    <w:p w14:paraId="797A6F7B">
      <w:pPr>
        <w:pStyle w:val="11"/>
        <w:ind w:firstLine="640"/>
        <w:rPr>
          <w:rFonts w:hint="eastAsia" w:ascii="宋体" w:hAnsi="宋体" w:eastAsia="宋体" w:cs="宋体"/>
          <w:color w:val="auto"/>
          <w:sz w:val="24"/>
          <w:szCs w:val="24"/>
          <w:highlight w:val="none"/>
        </w:rPr>
      </w:pPr>
      <w:r>
        <w:rPr>
          <w:rFonts w:hint="eastAsia" w:ascii="宋体" w:hAnsi="宋体" w:eastAsia="宋体" w:cs="宋体"/>
          <w:color w:val="auto"/>
          <w:sz w:val="32"/>
          <w:szCs w:val="32"/>
          <w:highlight w:val="none"/>
        </w:rPr>
        <w:br w:type="page"/>
      </w:r>
      <w:r>
        <w:rPr>
          <w:rFonts w:hint="eastAsia" w:ascii="宋体" w:hAnsi="宋体" w:eastAsia="宋体" w:cs="宋体"/>
          <w:color w:val="auto"/>
          <w:sz w:val="32"/>
          <w:szCs w:val="32"/>
          <w:highlight w:val="none"/>
          <w:lang w:val="en-US"/>
        </w:rPr>
        <w:t xml:space="preserve">                </w:t>
      </w:r>
      <w:r>
        <w:rPr>
          <w:rFonts w:hint="eastAsia" w:ascii="宋体" w:hAnsi="宋体" w:eastAsia="宋体" w:cs="宋体"/>
          <w:b/>
          <w:bCs/>
          <w:color w:val="auto"/>
          <w:kern w:val="2"/>
          <w:sz w:val="24"/>
          <w:szCs w:val="24"/>
          <w:highlight w:val="none"/>
          <w:lang w:val="en-US" w:eastAsia="zh-CN" w:bidi="ar-SA"/>
        </w:rPr>
        <w:t>表7  运维费用核算与支付评定表</w:t>
      </w:r>
    </w:p>
    <w:tbl>
      <w:tblPr>
        <w:tblStyle w:val="7"/>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2"/>
        <w:gridCol w:w="2107"/>
        <w:gridCol w:w="1775"/>
        <w:gridCol w:w="1441"/>
        <w:gridCol w:w="1993"/>
      </w:tblGrid>
      <w:tr w14:paraId="31C8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2582" w:type="dxa"/>
            <w:vAlign w:val="center"/>
          </w:tcPr>
          <w:p w14:paraId="21D97DB4">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运维评价结果</w:t>
            </w:r>
          </w:p>
        </w:tc>
        <w:tc>
          <w:tcPr>
            <w:tcW w:w="2107" w:type="dxa"/>
            <w:vAlign w:val="center"/>
          </w:tcPr>
          <w:p w14:paraId="62341622">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优秀</w:t>
            </w:r>
          </w:p>
        </w:tc>
        <w:tc>
          <w:tcPr>
            <w:tcW w:w="1775" w:type="dxa"/>
            <w:vAlign w:val="center"/>
          </w:tcPr>
          <w:p w14:paraId="0D88A069">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良好</w:t>
            </w:r>
          </w:p>
        </w:tc>
        <w:tc>
          <w:tcPr>
            <w:tcW w:w="1441" w:type="dxa"/>
            <w:vAlign w:val="center"/>
          </w:tcPr>
          <w:p w14:paraId="324D4BA4">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合格</w:t>
            </w:r>
          </w:p>
        </w:tc>
        <w:tc>
          <w:tcPr>
            <w:tcW w:w="1993" w:type="dxa"/>
            <w:vAlign w:val="center"/>
          </w:tcPr>
          <w:p w14:paraId="52406133">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不合格</w:t>
            </w:r>
          </w:p>
        </w:tc>
      </w:tr>
      <w:tr w14:paraId="2413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2582" w:type="dxa"/>
            <w:vAlign w:val="center"/>
          </w:tcPr>
          <w:p w14:paraId="38D9B1ED">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考核分数</w:t>
            </w:r>
          </w:p>
        </w:tc>
        <w:tc>
          <w:tcPr>
            <w:tcW w:w="2107" w:type="dxa"/>
            <w:vAlign w:val="center"/>
          </w:tcPr>
          <w:p w14:paraId="6C70742F">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w:t>
            </w:r>
          </w:p>
        </w:tc>
        <w:tc>
          <w:tcPr>
            <w:tcW w:w="1775" w:type="dxa"/>
            <w:vAlign w:val="center"/>
          </w:tcPr>
          <w:p w14:paraId="7C78F9FC">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p>
        </w:tc>
        <w:tc>
          <w:tcPr>
            <w:tcW w:w="1441" w:type="dxa"/>
            <w:vAlign w:val="center"/>
          </w:tcPr>
          <w:p w14:paraId="111E638E">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1993" w:type="dxa"/>
            <w:vAlign w:val="center"/>
          </w:tcPr>
          <w:p w14:paraId="0AE08BC9">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r>
      <w:tr w14:paraId="0C6A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2582" w:type="dxa"/>
            <w:vAlign w:val="center"/>
          </w:tcPr>
          <w:p w14:paraId="60CD8FD8">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数据有效率</w:t>
            </w:r>
          </w:p>
        </w:tc>
        <w:tc>
          <w:tcPr>
            <w:tcW w:w="2107" w:type="dxa"/>
            <w:vAlign w:val="center"/>
          </w:tcPr>
          <w:p w14:paraId="50810F63">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w:t>
            </w:r>
          </w:p>
        </w:tc>
        <w:tc>
          <w:tcPr>
            <w:tcW w:w="1775" w:type="dxa"/>
            <w:vAlign w:val="center"/>
          </w:tcPr>
          <w:p w14:paraId="140FC56A">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p>
        </w:tc>
        <w:tc>
          <w:tcPr>
            <w:tcW w:w="1441" w:type="dxa"/>
            <w:vAlign w:val="center"/>
          </w:tcPr>
          <w:p w14:paraId="4B30C517">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1993" w:type="dxa"/>
            <w:vAlign w:val="center"/>
          </w:tcPr>
          <w:p w14:paraId="0779F2E6">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r>
      <w:tr w14:paraId="2D00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2582" w:type="dxa"/>
            <w:vAlign w:val="center"/>
          </w:tcPr>
          <w:p w14:paraId="4F04956B">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内部质控</w:t>
            </w:r>
          </w:p>
        </w:tc>
        <w:tc>
          <w:tcPr>
            <w:tcW w:w="2107" w:type="dxa"/>
            <w:vAlign w:val="center"/>
          </w:tcPr>
          <w:p w14:paraId="2894A385">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p>
        </w:tc>
        <w:tc>
          <w:tcPr>
            <w:tcW w:w="1775" w:type="dxa"/>
            <w:vAlign w:val="center"/>
          </w:tcPr>
          <w:p w14:paraId="73AB6A43">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≥70%</w:t>
            </w:r>
          </w:p>
        </w:tc>
        <w:tc>
          <w:tcPr>
            <w:tcW w:w="1441" w:type="dxa"/>
            <w:vAlign w:val="center"/>
          </w:tcPr>
          <w:p w14:paraId="234B19BD">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1993" w:type="dxa"/>
            <w:vAlign w:val="center"/>
          </w:tcPr>
          <w:p w14:paraId="5636490E">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r>
      <w:tr w14:paraId="1EA0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582" w:type="dxa"/>
            <w:vAlign w:val="center"/>
          </w:tcPr>
          <w:p w14:paraId="5A60177C">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经费支付</w:t>
            </w:r>
          </w:p>
        </w:tc>
        <w:tc>
          <w:tcPr>
            <w:tcW w:w="2107" w:type="dxa"/>
            <w:vAlign w:val="center"/>
          </w:tcPr>
          <w:p w14:paraId="1AA9F584">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1775" w:type="dxa"/>
            <w:vAlign w:val="center"/>
          </w:tcPr>
          <w:p w14:paraId="2BB82474">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p>
        </w:tc>
        <w:tc>
          <w:tcPr>
            <w:tcW w:w="1441" w:type="dxa"/>
            <w:vAlign w:val="center"/>
          </w:tcPr>
          <w:p w14:paraId="79D7B7AA">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1993" w:type="dxa"/>
            <w:vAlign w:val="center"/>
          </w:tcPr>
          <w:p w14:paraId="5F0FCDF5">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不予支付运维费</w:t>
            </w:r>
          </w:p>
        </w:tc>
      </w:tr>
    </w:tbl>
    <w:p w14:paraId="4C6EB79D">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说明：评价结果的最低评价项代表整体运维任务完成情况评价结果。</w:t>
      </w:r>
    </w:p>
    <w:p w14:paraId="7A2F70ED">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5.4考核结果运用</w:t>
      </w:r>
    </w:p>
    <w:p w14:paraId="515496A9">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对于运维单位，在季度考核中，整体运行情况（取全部运维水站考核分数的平均分参评）第一次出现考核不合格给予预警，连续两次考核不合格停止支付后续运维费，并责令进行整改。对年度评定结果为不合格的第三方运维机构，将工作业绩评定情况纳入企业诚信系统，两年内不具备投标资格。</w:t>
      </w:r>
    </w:p>
    <w:p w14:paraId="71A59D6A">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6.交接方式</w:t>
      </w:r>
    </w:p>
    <w:p w14:paraId="6EDA90A5">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6.1 勘察现场</w:t>
      </w:r>
    </w:p>
    <w:p w14:paraId="6991E95C">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对所有设备安装现场进行勘察，通过勘察，了解各现场工作条件是否符合相关标准要求、自动监测设备是否正常运行、各项指标是否满足标准要求，总结各个监测设备安装现场情况、存在的问题，根据勘察结果提出整改的建议，并为各个监测设备建立档案。</w:t>
      </w:r>
    </w:p>
    <w:p w14:paraId="5E35F410">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6.2 设备资料</w:t>
      </w:r>
    </w:p>
    <w:p w14:paraId="048B7B77">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水质自动监测设备的现场资料，包含但不限于以下内容：设备的中文说明书、维护手册、技术图纸、国家认证检测报告与合格证（复印件）、设备自带的软件备份、安装厂家的调试报告。</w:t>
      </w:r>
    </w:p>
    <w:p w14:paraId="5A08F6A3">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6.3 设备检修调试</w:t>
      </w:r>
    </w:p>
    <w:p w14:paraId="0E008F12">
      <w:pPr>
        <w:pStyle w:val="11"/>
        <w:ind w:firstLine="48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根据国家相关标准，对已安装的自动监测设备进行调试，并对各个主要技术指标进行检测，检测结果必须符合国家相关标准要求。</w:t>
      </w:r>
    </w:p>
    <w:p w14:paraId="442644C6">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6.4 接收运行设备</w:t>
      </w:r>
    </w:p>
    <w:p w14:paraId="7DD4538C">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若自动监测设备运行正常、测试结果符合要求，运维单位在现场重新启动自动监测设备并工作正常，运维单位即正式接收自动监测设备。</w:t>
      </w:r>
    </w:p>
    <w:p w14:paraId="435B0694">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7.技术规范和标准</w:t>
      </w:r>
    </w:p>
    <w:p w14:paraId="3AF156BC">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本文内容引用了下列文件中的条款。凡是不注明日期的引用文件，其有效版本适用于本文内容。</w:t>
      </w:r>
    </w:p>
    <w:p w14:paraId="2193AE86">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《国家地表水自动监测站运行管理办法》</w:t>
      </w:r>
    </w:p>
    <w:p w14:paraId="3A049F29">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《陕西省水质自动监测站第三方运维工作规范与考核办法（试行）》陕环办发﹝2017﹞5号</w:t>
      </w:r>
    </w:p>
    <w:p w14:paraId="7F76583D">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《地表水环境质量标准》（GB 3838）</w:t>
      </w:r>
    </w:p>
    <w:p w14:paraId="3C59C218">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《地表水和污水监测技术规范》（HJ/T 91）</w:t>
      </w:r>
    </w:p>
    <w:p w14:paraId="6669A710">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《地表水自动监测技术规范（试行）》（HJ/T 915）</w:t>
      </w:r>
    </w:p>
    <w:p w14:paraId="24D8097E">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《pH水质自动分析仪技术要求》（HJ/T 96）</w:t>
      </w:r>
    </w:p>
    <w:p w14:paraId="280CD1F5">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《电导率水质自动分析仪技术要求》（HJ/T 97）</w:t>
      </w:r>
    </w:p>
    <w:p w14:paraId="1B0E4980">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《浊度水质自动分析仪技术要求》（HJ/T 98）</w:t>
      </w:r>
    </w:p>
    <w:p w14:paraId="035AF1C3">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《溶解氧（DO）水质自动分析仪技术要求》（HJ/T 99）</w:t>
      </w:r>
    </w:p>
    <w:p w14:paraId="7E9AF32D">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《高锰酸盐指数水质自动分析仪技术要求》（HJ/T 100）</w:t>
      </w:r>
    </w:p>
    <w:p w14:paraId="75ACF5A0">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《氨氮水质自动分析仪技术要求》（HJ/T 101）</w:t>
      </w:r>
    </w:p>
    <w:p w14:paraId="6D7278AA">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《总磷水质自动分析仪技术要求》（HJ/T 103）</w:t>
      </w:r>
    </w:p>
    <w:p w14:paraId="74B7082B">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《环境保护产品技术要求化学需氧量（CODcr）水质在线自动监测仪》（HJ/T337）</w:t>
      </w:r>
    </w:p>
    <w:p w14:paraId="1ECFF75D">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《国家地表水水质自动监测站运行维护技术要求（试行）》</w:t>
      </w:r>
    </w:p>
    <w:p w14:paraId="73AAF997">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《国家地表水环境质量监测数据统计技术规定（试行）》</w:t>
      </w:r>
    </w:p>
    <w:p w14:paraId="59DBF5B1">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0921251">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zh-CN" w:eastAsia="zh-CN"/>
        </w:rPr>
      </w:pPr>
      <w:r>
        <w:rPr>
          <w:rFonts w:hint="eastAsia"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zh-CN" w:eastAsia="zh-CN"/>
        </w:rPr>
        <w:t>服务要求</w:t>
      </w:r>
    </w:p>
    <w:p w14:paraId="4BE78B52">
      <w:pPr>
        <w:adjustRightIn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按采购人要求完成项目服务内容及项目交付，达到采购人验收要求，</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lang w:val="zh-CN" w:eastAsia="zh-CN"/>
        </w:rPr>
        <w:t>达到国家现行法律法规及行业要求合格标准。</w:t>
      </w:r>
    </w:p>
    <w:p w14:paraId="3CB31196">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en-US" w:eastAsia="zh-CN"/>
        </w:rPr>
        <w:t>人员配置要求</w:t>
      </w:r>
    </w:p>
    <w:p w14:paraId="5B9F098D">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按项目服务要求，组织项目实施与管理，实行项目负责人负责制，其他相关人员经过严格培训，能够胜任此项工作。</w:t>
      </w:r>
    </w:p>
    <w:p w14:paraId="1307E6B5">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en-US" w:eastAsia="zh-CN"/>
        </w:rPr>
        <w:t>设施设备配置要求</w:t>
      </w:r>
    </w:p>
    <w:p w14:paraId="44591452">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按项目服务要求，投入有利于本项目顺利实施的各类设施设备。</w:t>
      </w:r>
    </w:p>
    <w:p w14:paraId="467134CE">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val="en-US" w:eastAsia="zh-CN"/>
        </w:rPr>
        <w:t>其他要求</w:t>
      </w:r>
    </w:p>
    <w:p w14:paraId="69DA7236">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无</w:t>
      </w:r>
    </w:p>
    <w:p w14:paraId="6DE2BF1F">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val="en-US" w:eastAsia="zh-CN"/>
        </w:rPr>
        <w:t>商务要求</w:t>
      </w:r>
    </w:p>
    <w:p w14:paraId="1C64CF64">
      <w:pPr>
        <w:adjustRightInd w:val="0"/>
        <w:spacing w:line="360" w:lineRule="auto"/>
        <w:ind w:firstLine="482" w:firstLineChars="200"/>
        <w:textAlignment w:val="baseline"/>
        <w:rPr>
          <w:rFonts w:hint="eastAsia" w:ascii="宋体" w:hAnsi="宋体" w:eastAsia="宋体" w:cs="宋体"/>
          <w:b w:val="0"/>
          <w:bCs w:val="0"/>
          <w:color w:val="auto"/>
          <w:sz w:val="24"/>
          <w:szCs w:val="24"/>
          <w:highlight w:val="none"/>
          <w:lang w:val="en-US" w:eastAsia="zh-CN"/>
        </w:rPr>
      </w:pPr>
      <w:r>
        <w:rPr>
          <w:rFonts w:hint="eastAsia" w:hAnsi="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val="en-US" w:eastAsia="zh-CN"/>
        </w:rPr>
        <w:t>服务期限</w:t>
      </w:r>
      <w:r>
        <w:rPr>
          <w:rFonts w:hint="eastAsia" w:hAnsi="宋体" w:cs="宋体"/>
          <w:b/>
          <w:bCs/>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自合同签订之日起</w:t>
      </w:r>
      <w:r>
        <w:rPr>
          <w:rFonts w:hint="eastAsia" w:hAnsi="宋体" w:cs="宋体"/>
          <w:b w:val="0"/>
          <w:bCs w:val="0"/>
          <w:color w:val="auto"/>
          <w:sz w:val="24"/>
          <w:szCs w:val="24"/>
          <w:highlight w:val="none"/>
          <w:lang w:val="en-US" w:eastAsia="zh-CN"/>
        </w:rPr>
        <w:t>一</w:t>
      </w:r>
      <w:r>
        <w:rPr>
          <w:rFonts w:hint="eastAsia" w:ascii="宋体" w:hAnsi="宋体" w:eastAsia="宋体" w:cs="宋体"/>
          <w:b w:val="0"/>
          <w:bCs w:val="0"/>
          <w:color w:val="auto"/>
          <w:sz w:val="24"/>
          <w:szCs w:val="24"/>
          <w:highlight w:val="none"/>
          <w:lang w:val="en-US" w:eastAsia="zh-CN"/>
        </w:rPr>
        <w:t>年</w:t>
      </w:r>
    </w:p>
    <w:p w14:paraId="2B321851">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en-US" w:eastAsia="zh-CN"/>
        </w:rPr>
        <w:t>服务地点</w:t>
      </w:r>
    </w:p>
    <w:p w14:paraId="4D42A44C">
      <w:pPr>
        <w:adjustRightInd w:val="0"/>
        <w:spacing w:line="360" w:lineRule="auto"/>
        <w:ind w:firstLine="480" w:firstLineChars="200"/>
        <w:textAlignment w:val="baseline"/>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采购人指定地点</w:t>
      </w:r>
    </w:p>
    <w:p w14:paraId="75C5960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考核（验收）标准和方法</w:t>
      </w:r>
    </w:p>
    <w:p w14:paraId="588B8E9E">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按采购人要求完成项目服务内容及项目交付，并达到采购人验收要求，达到国家现行法律法规及行业要求合格标准。</w:t>
      </w:r>
    </w:p>
    <w:p w14:paraId="3E56630D">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en-US" w:eastAsia="zh-CN"/>
        </w:rPr>
        <w:t>支付方式</w:t>
      </w:r>
    </w:p>
    <w:p w14:paraId="624AA085">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分期付款</w:t>
      </w:r>
    </w:p>
    <w:p w14:paraId="227833F0">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en-US" w:eastAsia="zh-CN"/>
        </w:rPr>
        <w:t>支付约定</w:t>
      </w:r>
    </w:p>
    <w:p w14:paraId="5EB5300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本项目分三期支付，具体如下：</w:t>
      </w:r>
    </w:p>
    <w:p w14:paraId="611C19A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第一期（合同签订后）</w:t>
      </w:r>
      <w:r>
        <w:rPr>
          <w:rFonts w:hint="default" w:ascii="宋体" w:hAnsi="宋体" w:eastAsia="宋体" w:cs="宋体"/>
          <w:color w:val="auto"/>
          <w:szCs w:val="24"/>
          <w:highlight w:val="none"/>
        </w:rPr>
        <w:t>：合同签订之日起15个工作日内，甲方向乙方支付合同总价的45%</w:t>
      </w:r>
      <w:r>
        <w:rPr>
          <w:rFonts w:hint="eastAsia" w:ascii="宋体" w:hAnsi="宋体" w:eastAsia="宋体" w:cs="宋体"/>
          <w:color w:val="auto"/>
          <w:szCs w:val="24"/>
          <w:highlight w:val="none"/>
          <w:lang w:eastAsia="zh-CN"/>
        </w:rPr>
        <w:t>作为</w:t>
      </w:r>
      <w:r>
        <w:rPr>
          <w:rFonts w:hint="default" w:ascii="宋体" w:hAnsi="宋体" w:eastAsia="宋体" w:cs="宋体"/>
          <w:color w:val="auto"/>
          <w:szCs w:val="24"/>
          <w:highlight w:val="none"/>
        </w:rPr>
        <w:t>预付款。</w:t>
      </w:r>
    </w:p>
    <w:p w14:paraId="237C637B">
      <w:pPr>
        <w:spacing w:line="360" w:lineRule="auto"/>
        <w:ind w:firstLine="480" w:firstLineChars="200"/>
        <w:rPr>
          <w:rFonts w:hint="default" w:ascii="宋体" w:hAnsi="宋体" w:eastAsia="宋体" w:cs="宋体"/>
          <w:color w:val="auto"/>
          <w:szCs w:val="24"/>
          <w:highlight w:val="none"/>
        </w:rPr>
      </w:pPr>
      <w:r>
        <w:rPr>
          <w:rFonts w:hint="eastAsia" w:ascii="宋体" w:hAnsi="宋体" w:eastAsia="宋体" w:cs="宋体"/>
          <w:color w:val="auto"/>
          <w:szCs w:val="24"/>
          <w:highlight w:val="none"/>
        </w:rPr>
        <w:t>第二期（2027年4月）</w:t>
      </w:r>
      <w:r>
        <w:rPr>
          <w:rFonts w:hint="default" w:ascii="宋体" w:hAnsi="宋体" w:eastAsia="宋体" w:cs="宋体"/>
          <w:color w:val="auto"/>
          <w:szCs w:val="24"/>
          <w:highlight w:val="none"/>
        </w:rPr>
        <w:t>：2027年4月30日前，</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乙方自合同签订之日起至2027年3月</w:t>
      </w:r>
      <w:r>
        <w:rPr>
          <w:rFonts w:hint="eastAsia" w:ascii="宋体" w:hAnsi="宋体" w:eastAsia="宋体" w:cs="宋体"/>
          <w:color w:val="auto"/>
          <w:szCs w:val="24"/>
          <w:highlight w:val="none"/>
          <w:lang w:val="en-US" w:eastAsia="zh-CN"/>
        </w:rPr>
        <w:t>31日</w:t>
      </w:r>
      <w:r>
        <w:rPr>
          <w:rFonts w:hint="default" w:ascii="宋体" w:hAnsi="宋体" w:eastAsia="宋体" w:cs="宋体"/>
          <w:color w:val="auto"/>
          <w:szCs w:val="24"/>
          <w:highlight w:val="none"/>
        </w:rPr>
        <w:t>的运维工作完成情况</w:t>
      </w:r>
      <w:r>
        <w:rPr>
          <w:rFonts w:hint="eastAsia" w:ascii="宋体" w:hAnsi="宋体" w:eastAsia="宋体" w:cs="宋体"/>
          <w:color w:val="auto"/>
          <w:szCs w:val="24"/>
          <w:highlight w:val="none"/>
          <w:lang w:eastAsia="zh-CN"/>
        </w:rPr>
        <w:t>进行确认。甲方在书面确认后，按照该期间各季度的绩效考核成绩得分核算</w:t>
      </w:r>
      <w:r>
        <w:rPr>
          <w:rFonts w:hint="default" w:ascii="宋体" w:hAnsi="宋体" w:eastAsia="宋体" w:cs="宋体"/>
          <w:color w:val="auto"/>
          <w:szCs w:val="24"/>
          <w:highlight w:val="none"/>
        </w:rPr>
        <w:t>应付费用。本期支付上限为合同总价的30%。</w:t>
      </w:r>
    </w:p>
    <w:p w14:paraId="24F31F00">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第三期（合同到期后）</w:t>
      </w:r>
      <w:r>
        <w:rPr>
          <w:rFonts w:hint="default" w:ascii="宋体" w:hAnsi="宋体" w:eastAsia="宋体" w:cs="宋体"/>
          <w:color w:val="auto"/>
          <w:szCs w:val="24"/>
          <w:highlight w:val="none"/>
        </w:rPr>
        <w:t>：本项目服务期满（合同到期）后15个工作日内，</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w:t>
      </w:r>
      <w:r>
        <w:rPr>
          <w:rFonts w:hint="eastAsia" w:ascii="宋体" w:hAnsi="宋体" w:eastAsia="宋体" w:cs="宋体"/>
          <w:color w:val="auto"/>
          <w:szCs w:val="24"/>
          <w:highlight w:val="none"/>
          <w:lang w:eastAsia="zh-CN"/>
        </w:rPr>
        <w:t>全年</w:t>
      </w:r>
      <w:r>
        <w:rPr>
          <w:rFonts w:hint="default" w:ascii="宋体" w:hAnsi="宋体" w:eastAsia="宋体" w:cs="宋体"/>
          <w:color w:val="auto"/>
          <w:szCs w:val="24"/>
          <w:highlight w:val="none"/>
        </w:rPr>
        <w:t>运维工作完成情况</w:t>
      </w:r>
      <w:r>
        <w:rPr>
          <w:rFonts w:hint="eastAsia" w:ascii="宋体" w:hAnsi="宋体" w:eastAsia="宋体" w:cs="宋体"/>
          <w:color w:val="auto"/>
          <w:szCs w:val="24"/>
          <w:highlight w:val="none"/>
          <w:lang w:eastAsia="zh-CN"/>
        </w:rPr>
        <w:t>进行确认。甲方在书面确认后按照服务期内各季度的绩效考核成绩得分和全年增减项综合评价，核算合同尾款</w:t>
      </w:r>
      <w:r>
        <w:rPr>
          <w:rFonts w:hint="default" w:ascii="宋体" w:hAnsi="宋体" w:eastAsia="宋体" w:cs="宋体"/>
          <w:color w:val="auto"/>
          <w:szCs w:val="24"/>
          <w:highlight w:val="none"/>
        </w:rPr>
        <w:t>。</w:t>
      </w:r>
    </w:p>
    <w:p w14:paraId="2C5DA631">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en-US" w:eastAsia="zh-CN"/>
        </w:rPr>
        <w:t>违约责任与解决争议的方法</w:t>
      </w:r>
    </w:p>
    <w:p w14:paraId="7CFC6C22">
      <w:pPr>
        <w:pStyle w:val="10"/>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val="zh-CN" w:eastAsia="zh-CN"/>
        </w:rPr>
        <w:t>甲乙双方必须遵守合同并执行合同中的各项规定，保证合同的正常履行。 2</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val="zh-CN" w:eastAsia="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CEB86B">
      <w:pPr>
        <w:pStyle w:val="10"/>
        <w:spacing w:line="360" w:lineRule="auto"/>
        <w:ind w:firstLine="480"/>
        <w:rPr>
          <w:rFonts w:hint="eastAsia" w:hAnsi="宋体" w:cs="宋体"/>
          <w:color w:val="auto"/>
          <w:szCs w:val="24"/>
          <w:highlight w:val="none"/>
          <w:lang w:val="en-US" w:eastAsia="zh-CN"/>
        </w:rPr>
      </w:pPr>
      <w:r>
        <w:rPr>
          <w:rFonts w:hint="eastAsia" w:ascii="宋体" w:hAnsi="宋体" w:eastAsia="宋体" w:cs="宋体"/>
          <w:b/>
          <w:bCs/>
          <w:color w:val="auto"/>
          <w:sz w:val="24"/>
          <w:szCs w:val="24"/>
          <w:highlight w:val="none"/>
          <w:lang w:val="en-US" w:eastAsia="zh-CN"/>
        </w:rPr>
        <w:t>九、其他事项</w:t>
      </w:r>
    </w:p>
    <w:p w14:paraId="2AE64C24">
      <w:pPr>
        <w:spacing w:line="360" w:lineRule="auto"/>
        <w:ind w:firstLine="480" w:firstLineChars="200"/>
        <w:rPr>
          <w:rFonts w:hint="eastAsia" w:hAnsi="宋体" w:cs="宋体"/>
          <w:szCs w:val="24"/>
          <w:lang w:val="zh-CN" w:eastAsia="zh-CN"/>
        </w:rPr>
      </w:pPr>
      <w:r>
        <w:rPr>
          <w:rFonts w:hint="eastAsia" w:hAnsi="宋体" w:cs="宋体"/>
          <w:szCs w:val="24"/>
          <w:lang w:val="en-US" w:eastAsia="zh-CN"/>
        </w:rPr>
        <w:t>（一）本项目投标人的采购包投标报价不得高于采购包采购预算及各分项预算。（二）采购包3</w:t>
      </w:r>
      <w:bookmarkStart w:id="3" w:name="_GoBack"/>
      <w:bookmarkEnd w:id="3"/>
      <w:r>
        <w:rPr>
          <w:rFonts w:hint="eastAsia" w:hAnsi="宋体" w:cs="宋体"/>
          <w:szCs w:val="24"/>
          <w:lang w:val="en-US" w:eastAsia="zh-CN"/>
        </w:rPr>
        <w:t>标的名称：2026年西安市市级监测网运维项目采购包3。（三）本项目所属行业为：其他未列明行业，根据《工业和信息化部、国家统计局、国家发展和改革委员会、财政部关于印发中小企业划型标准规定的通知》《工信部联企(2011)300 号)规定的划分标准：其他未列明行业。从业人员300人以下的为中小微型企业。其中，从业人员100人及以上的为中型企业；从业人员10人及以上的为小型企业；从业人员10人以下的为微型企业。（四）中标人在领取中标通知书时提供纸质版投标文件3套，应通过专用制作软件直接打印，确保与电子投标文件保持一致，不允许修改和补充。提交地点：西安市未央区未央路与凤城六路十字向西200米盛蕾科创园C座220室。（五）投标人的投标报价包括投标人完成本项目所需直接费、间接费、利润、税金及其它相关的一切费用。（六）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七）合格投标少于3家的处理：评审过程中，合格投标人少于3家时，采购人应依法重新组织采购活动。（八）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九）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十）签名是指手写签名或者加盖签名章(含电子)，盖章是指加盖单位印章。（十一）本项目实行兼投不兼中规则，同一投标人可同时参与本项目多个标包投标，但仅限中标一个标包。评标工作按照采购包1、采购包2、采购包3、采购包4、采购包5顺序依次进行评审，投标人已被确定为第一中标候选人的，可继续参与后续标包评审活动，但其不再列入后续采购包中标候选人推荐名单。</w:t>
      </w:r>
    </w:p>
    <w:p w14:paraId="0B7E92E4">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312F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C154D">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1FC154D">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164E6">
    <w:pPr>
      <w:pStyle w:val="4"/>
      <w:rPr>
        <w:rFonts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38C6DA">
                          <w:pPr>
                            <w:pStyle w:val="4"/>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038C6DA">
                    <w:pPr>
                      <w:pStyle w:val="4"/>
                    </w:pPr>
                    <w:r>
                      <w:fldChar w:fldCharType="begin"/>
                    </w:r>
                    <w:r>
                      <w:instrText xml:space="preserve"> PAGE  \* MERGEFORMAT </w:instrText>
                    </w:r>
                    <w:r>
                      <w:fldChar w:fldCharType="separate"/>
                    </w:r>
                    <w:r>
                      <w:t>24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EB039">
    <w:pPr>
      <w:pStyle w:val="5"/>
      <w:pBdr>
        <w:bottom w:val="none" w:color="auto" w:sz="0" w:space="1"/>
      </w:pBdr>
      <w:ind w:firstLine="360" w:firstLineChars="200"/>
      <w:jc w:val="lef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49CC6"/>
    <w:multiLevelType w:val="singleLevel"/>
    <w:tmpl w:val="59449CC6"/>
    <w:lvl w:ilvl="0" w:tentative="0">
      <w:start w:val="1"/>
      <w:numFmt w:val="decimal"/>
      <w:suff w:val="nothing"/>
      <w:lvlText w:val="%1）"/>
      <w:lvlJc w:val="left"/>
      <w:pPr>
        <w:ind w:left="-15"/>
      </w:pPr>
    </w:lvl>
  </w:abstractNum>
  <w:abstractNum w:abstractNumId="1">
    <w:nsid w:val="59449CE8"/>
    <w:multiLevelType w:val="singleLevel"/>
    <w:tmpl w:val="59449CE8"/>
    <w:lvl w:ilvl="0" w:tentative="0">
      <w:start w:val="1"/>
      <w:numFmt w:val="decimal"/>
      <w:suff w:val="nothing"/>
      <w:lvlText w:val="%1）"/>
      <w:lvlJc w:val="left"/>
      <w:pPr>
        <w:ind w:left="-9"/>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9744B"/>
    <w:rsid w:val="00C11035"/>
    <w:rsid w:val="01583748"/>
    <w:rsid w:val="03B86720"/>
    <w:rsid w:val="08082180"/>
    <w:rsid w:val="0AF81AF7"/>
    <w:rsid w:val="0E474180"/>
    <w:rsid w:val="135A334F"/>
    <w:rsid w:val="1AA650CC"/>
    <w:rsid w:val="1F5A46D7"/>
    <w:rsid w:val="271E248E"/>
    <w:rsid w:val="2A5306A1"/>
    <w:rsid w:val="344D62A8"/>
    <w:rsid w:val="3A861FEB"/>
    <w:rsid w:val="3BBF5B96"/>
    <w:rsid w:val="3C916B22"/>
    <w:rsid w:val="3E067AAC"/>
    <w:rsid w:val="42F524A4"/>
    <w:rsid w:val="4B1B0C45"/>
    <w:rsid w:val="4BFC3912"/>
    <w:rsid w:val="4C2F4672"/>
    <w:rsid w:val="4EE76D76"/>
    <w:rsid w:val="51854632"/>
    <w:rsid w:val="52FE4D9E"/>
    <w:rsid w:val="5B2147D4"/>
    <w:rsid w:val="5FC829BC"/>
    <w:rsid w:val="61A42FB4"/>
    <w:rsid w:val="6E551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6">
    <w:name w:val="Body Text 2"/>
    <w:basedOn w:val="1"/>
    <w:qFormat/>
    <w:uiPriority w:val="0"/>
    <w:rPr>
      <w:kern w:val="2"/>
      <w:sz w:val="30"/>
    </w:rPr>
  </w:style>
  <w:style w:type="character" w:styleId="9">
    <w:name w:val="Strong"/>
    <w:basedOn w:val="8"/>
    <w:qFormat/>
    <w:uiPriority w:val="0"/>
    <w:rPr>
      <w:b/>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
    <w:basedOn w:val="6"/>
    <w:qFormat/>
    <w:uiPriority w:val="0"/>
    <w:pPr>
      <w:spacing w:line="360" w:lineRule="auto"/>
      <w:ind w:firstLine="420" w:firstLineChars="200"/>
      <w:jc w:val="left"/>
    </w:pPr>
    <w:rPr>
      <w:rFonts w:hAnsi="宋体"/>
      <w:szCs w:val="28"/>
      <w:lang w:val="zh-CN"/>
    </w:rPr>
  </w:style>
  <w:style w:type="paragraph" w:customStyle="1" w:styleId="12">
    <w:name w:val="Table Text"/>
    <w:basedOn w:val="1"/>
    <w:semiHidden/>
    <w:qFormat/>
    <w:uiPriority w:val="0"/>
    <w:rPr>
      <w:rFonts w:ascii="微软雅黑" w:hAnsi="微软雅黑" w:eastAsia="微软雅黑" w:cs="微软雅黑"/>
      <w:sz w:val="16"/>
      <w:szCs w:val="16"/>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16170</Words>
  <Characters>17136</Characters>
  <Lines>0</Lines>
  <Paragraphs>0</Paragraphs>
  <TotalTime>0</TotalTime>
  <ScaleCrop>false</ScaleCrop>
  <LinksUpToDate>false</LinksUpToDate>
  <CharactersWithSpaces>17480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2026-06-09T12:28:00Z</dcterms:created>
  <dc:creator>Administrator</dc:creator>
  <cp:lastModifiedBy>依偎在你臂弯</cp:lastModifiedBy>
  <dcterms:modified xsi:type="dcterms:W3CDTF">2026-06-15T07:35:10Z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eyJoZGlkIjoiMDY1N2UxODdlOGQyNzRlOTYxZjM3NmJkY2IyOWE2MzMiLCJ1c2VySWQiOiI3NjM4MTQifQ==</vt:lpwstr>
  </property>
  <property fmtid="{D5CDD505-2E9C-101B-9397-08002B2CF9AE}" pid="4" name="ICV">
    <vt:lpwstr>33D4C7F258714AB6AAECE4DB72CF60EB_12</vt:lpwstr>
  </property>
</Properties>
</file>