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版本号：YXZB-2026-070220260727001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西安市城棚改项目“一项目一策”实施方案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YXZB-2026-0702</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陕西玥鑫项目管理有限公司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陕西玥鑫项目管理有限公司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西安市城棚改项目“一项目一策”实施方案</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YXZB-2026-0702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西安市城棚改项目“一项目一策”实施方案</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充分发挥国土空间规划对城中村改造的推动作用，积极稳妥推进城棚改工作，以及进一步助力盘活存量空间，提高土地集约节约利用效率，推动西安高质量发展和空间优化，现计划启动实施西安市城棚改项目“一项目一策”实施方案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证明文件：提供合格有效的法人或者其他组织的营业执照等证明文件，自然人的身份证明；投标人是法人或其他组织的应提供营业执照等证明文件，投标人是自然人的应提供有效的自然人身份证明（提供加盖单位公章附在投标文件中）</w:t>
      </w:r>
    </w:p>
    <w:p>
      <w:pPr>
        <w:pStyle w:val="null3"/>
      </w:pPr>
      <w:r>
        <w:rPr>
          <w:rFonts w:ascii="仿宋_GB2312" w:hAnsi="仿宋_GB2312" w:cs="仿宋_GB2312" w:eastAsia="仿宋_GB2312"/>
        </w:rPr>
        <w:t>2、税收缴纳证明：提供投标截止日前一年内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3、社会保障资金缴纳证明：提供投标截止日前一年内已缴存任意一个月社会保障资金缴存单据或社保机构开具的社会保险参保缴费证明，依法不需要缴纳社会保障资金的单位应提供相应证明文件；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4、履行合同所必需的设备和专业技术能力的承诺：提供具有履行合同所必需的设备和专业技术能力的承诺；</w:t>
      </w:r>
    </w:p>
    <w:p>
      <w:pPr>
        <w:pStyle w:val="null3"/>
      </w:pPr>
      <w:r>
        <w:rPr>
          <w:rFonts w:ascii="仿宋_GB2312" w:hAnsi="仿宋_GB2312" w:cs="仿宋_GB2312" w:eastAsia="仿宋_GB2312"/>
        </w:rPr>
        <w:t>5、三年内无重大违法记录的书面声明：参加政府采购活动前3年内，在经营活动中没有重大违法记录的书面声明。</w:t>
      </w:r>
    </w:p>
    <w:p>
      <w:pPr>
        <w:pStyle w:val="null3"/>
      </w:pPr>
      <w:r>
        <w:rPr>
          <w:rFonts w:ascii="仿宋_GB2312" w:hAnsi="仿宋_GB2312" w:cs="仿宋_GB2312" w:eastAsia="仿宋_GB2312"/>
        </w:rPr>
        <w:t>6、信誉要求：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7、法定代表人授权书：法定代表人授权书：法定代表人授权代表参加投标的，须出具法定代表人授权书及授权代表身份证、授权代表本单位证明（提供投标截止时间前近三个月内任意一个月的社保缴纳证明）（法定代表人直接参加投标，须提供法定代表人身份证明）；</w:t>
      </w:r>
    </w:p>
    <w:p>
      <w:pPr>
        <w:pStyle w:val="null3"/>
      </w:pPr>
      <w:r>
        <w:rPr>
          <w:rFonts w:ascii="仿宋_GB2312" w:hAnsi="仿宋_GB2312" w:cs="仿宋_GB2312" w:eastAsia="仿宋_GB2312"/>
        </w:rPr>
        <w:t>8、资质要求：投标人需具有国家主管部门颁发的城乡规划（国土空间规划）编制乙级及以上资质（含乙级）；</w:t>
      </w:r>
    </w:p>
    <w:p>
      <w:pPr>
        <w:pStyle w:val="null3"/>
      </w:pPr>
      <w:r>
        <w:rPr>
          <w:rFonts w:ascii="仿宋_GB2312" w:hAnsi="仿宋_GB2312" w:cs="仿宋_GB2312" w:eastAsia="仿宋_GB2312"/>
        </w:rPr>
        <w:t>9、项目负责人：拟派项目负责人须具备注册城乡规划师执业资格，且须为投标单位在职人员（提供投标截止时间前近三个月内任意一个月的社保缴纳证明）；</w:t>
      </w:r>
    </w:p>
    <w:p>
      <w:pPr>
        <w:pStyle w:val="null3"/>
      </w:pPr>
      <w:r>
        <w:rPr>
          <w:rFonts w:ascii="仿宋_GB2312" w:hAnsi="仿宋_GB2312" w:cs="仿宋_GB2312" w:eastAsia="仿宋_GB2312"/>
        </w:rPr>
        <w:t>10、本项目不接受联合体投标：本项目不接受联合体投标，单位负责人为同一人或者存在直接控股、管理关系的不同投标人，不得参加同一合同项下的政府采购活动（提供书面声明）。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西安市经济技术开发区凤城九路139号1号楼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曹嘉文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陕西玥鑫项目管理有限公司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陕西省西安市高新区丈八一路泰维智链中心1期B栋2楼202室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孙梅雪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029-81141306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采购包1：4,635,000.00元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国家发展改革委关于降低部分建设项目收费标准规范收费行为等有关问题的通知》（发改办价格[2011]534号）文收费标准计取。不足5000.00元，按5000.00元收取。 2.采购代理服务费收取： 单位名称：陕西玥鑫项目管理有限公司 开户银行：中国建设银行股份有限公司西安祥和居支行 银行账户：6105 0110 1948 0000 0615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陕西玥鑫项目管理有限公司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陕西玥鑫项目管理有限公司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陕西玥鑫项目管理有限公司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建立城棚改遗留项目总台账。形成并完善一项目一策成果，履行市资源规划局审查程序。形成矢量数据并纳入一张图平台管控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联系人：孙梅雪</w:t>
      </w:r>
    </w:p>
    <w:p>
      <w:pPr>
        <w:pStyle w:val="null3"/>
      </w:pPr>
      <w:r>
        <w:rPr>
          <w:rFonts w:ascii="仿宋_GB2312" w:hAnsi="仿宋_GB2312" w:cs="仿宋_GB2312" w:eastAsia="仿宋_GB2312"/>
        </w:rPr>
        <w:t>联系电话：029-81141306</w:t>
      </w:r>
    </w:p>
    <w:p>
      <w:pPr>
        <w:pStyle w:val="null3"/>
      </w:pPr>
      <w:r>
        <w:rPr>
          <w:rFonts w:ascii="仿宋_GB2312" w:hAnsi="仿宋_GB2312" w:cs="仿宋_GB2312" w:eastAsia="仿宋_GB2312"/>
        </w:rPr>
        <w:t>地址：陕西省西安市高新区丈八一路泰维智链中心1期B栋2楼202室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为充分发挥国土空间规划对城中村改造的推动作用，积极稳妥推进城棚改工作，以及进一步助力盘活存量空间，提高土地集约节约利用效率，推动西安高质量发展和空间优化，现计划启动实施西安市城棚改项目“一项目一策”实施方案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4,635,000.00</w:t>
      </w:r>
    </w:p>
    <w:p>
      <w:pPr>
        <w:pStyle w:val="null3"/>
      </w:pPr>
      <w:r>
        <w:rPr>
          <w:rFonts w:ascii="仿宋_GB2312" w:hAnsi="仿宋_GB2312" w:cs="仿宋_GB2312" w:eastAsia="仿宋_GB2312"/>
        </w:rPr>
        <w:t>采购包最高限价（元）: 4,635,000.00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西安市城棚改项目“一项目一策”实施方案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4,635,000.00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标的名称：西安市城棚改项目“一项目一策”实施方案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8"/>
                <w:color w:val="0A82E5"/>
                <w:u w:val="single"/>
              </w:rPr>
              <w:t>一</w:t>
            </w:r>
            <w:r>
              <w:rPr>
                <w:rFonts w:ascii="仿宋_GB2312" w:hAnsi="仿宋_GB2312" w:cs="仿宋_GB2312" w:eastAsia="仿宋_GB2312"/>
                <w:sz w:val="28"/>
                <w:color w:val="0A82E5"/>
                <w:u w:val="single"/>
              </w:rPr>
              <w:t>、项目概况</w:t>
            </w:r>
          </w:p>
          <w:p>
            <w:pPr>
              <w:pStyle w:val="null3"/>
              <w:ind w:firstLine="480"/>
              <w:jc w:val="left"/>
            </w:pPr>
            <w:r>
              <w:rPr>
                <w:rFonts w:ascii="仿宋_GB2312" w:hAnsi="仿宋_GB2312" w:cs="仿宋_GB2312" w:eastAsia="仿宋_GB2312"/>
                <w:sz w:val="28"/>
                <w:color w:val="0A82E5"/>
                <w:u w:val="single"/>
              </w:rPr>
              <w:t>为充分发挥国土空间规划对城中村改造的推动作用，积极稳妥推进城棚改工作，以及进一步助力盘活存量空间，提高土地集约节约利用效率，推动西安高质量发展和空间优化，</w:t>
            </w:r>
            <w:r>
              <w:rPr>
                <w:rFonts w:ascii="仿宋_GB2312" w:hAnsi="仿宋_GB2312" w:cs="仿宋_GB2312" w:eastAsia="仿宋_GB2312"/>
                <w:sz w:val="28"/>
                <w:color w:val="0A82E5"/>
                <w:u w:val="single"/>
              </w:rPr>
              <w:t>现</w:t>
            </w:r>
            <w:r>
              <w:rPr>
                <w:rFonts w:ascii="仿宋_GB2312" w:hAnsi="仿宋_GB2312" w:cs="仿宋_GB2312" w:eastAsia="仿宋_GB2312"/>
                <w:sz w:val="28"/>
                <w:color w:val="0A82E5"/>
                <w:u w:val="single"/>
              </w:rPr>
              <w:t>计划启动实施西安市城棚改项目</w:t>
            </w:r>
            <w:r>
              <w:rPr>
                <w:rFonts w:ascii="仿宋_GB2312" w:hAnsi="仿宋_GB2312" w:cs="仿宋_GB2312" w:eastAsia="仿宋_GB2312"/>
                <w:sz w:val="28"/>
                <w:color w:val="0A82E5"/>
                <w:u w:val="single"/>
              </w:rPr>
              <w:t>“一项目一策”实施方案项目。</w:t>
            </w:r>
          </w:p>
          <w:p>
            <w:pPr>
              <w:pStyle w:val="null3"/>
              <w:ind w:firstLine="480"/>
              <w:jc w:val="left"/>
            </w:pPr>
            <w:r>
              <w:rPr>
                <w:rFonts w:ascii="仿宋_GB2312" w:hAnsi="仿宋_GB2312" w:cs="仿宋_GB2312" w:eastAsia="仿宋_GB2312"/>
                <w:sz w:val="28"/>
                <w:color w:val="0A82E5"/>
                <w:u w:val="single"/>
              </w:rPr>
              <w:t>二</w:t>
            </w:r>
            <w:r>
              <w:rPr>
                <w:rFonts w:ascii="仿宋_GB2312" w:hAnsi="仿宋_GB2312" w:cs="仿宋_GB2312" w:eastAsia="仿宋_GB2312"/>
                <w:sz w:val="28"/>
                <w:color w:val="0A82E5"/>
                <w:u w:val="single"/>
              </w:rPr>
              <w:t>、服务内容</w:t>
            </w:r>
          </w:p>
          <w:p>
            <w:pPr>
              <w:pStyle w:val="null3"/>
              <w:ind w:firstLine="480"/>
              <w:jc w:val="left"/>
            </w:pPr>
            <w:r>
              <w:rPr>
                <w:rFonts w:ascii="仿宋_GB2312" w:hAnsi="仿宋_GB2312" w:cs="仿宋_GB2312" w:eastAsia="仿宋_GB2312"/>
                <w:sz w:val="28"/>
                <w:color w:val="0A82E5"/>
                <w:u w:val="single"/>
              </w:rPr>
              <w:t>（一）建立城棚改遗留项目总台账</w:t>
            </w:r>
          </w:p>
          <w:p>
            <w:pPr>
              <w:pStyle w:val="null3"/>
              <w:ind w:firstLine="480"/>
              <w:jc w:val="left"/>
            </w:pPr>
            <w:r>
              <w:rPr>
                <w:rFonts w:ascii="仿宋_GB2312" w:hAnsi="仿宋_GB2312" w:cs="仿宋_GB2312" w:eastAsia="仿宋_GB2312"/>
                <w:sz w:val="28"/>
                <w:color w:val="0A82E5"/>
                <w:u w:val="single"/>
              </w:rPr>
              <w:t>针对全市约</w:t>
            </w:r>
            <w:r>
              <w:rPr>
                <w:rFonts w:ascii="仿宋_GB2312" w:hAnsi="仿宋_GB2312" w:cs="仿宋_GB2312" w:eastAsia="仿宋_GB2312"/>
                <w:sz w:val="28"/>
                <w:color w:val="0A82E5"/>
                <w:u w:val="single"/>
              </w:rPr>
              <w:t>103个有剩余开发用地的城棚改历史遗留项目，收集整理历史资料（立项情况、安置情况、已办理的土地规划手续情况、开发用地剩余情况等的内容)。</w:t>
            </w:r>
          </w:p>
          <w:p>
            <w:pPr>
              <w:pStyle w:val="null3"/>
              <w:ind w:firstLine="480"/>
              <w:jc w:val="left"/>
            </w:pPr>
            <w:r>
              <w:rPr>
                <w:rFonts w:ascii="仿宋_GB2312" w:hAnsi="仿宋_GB2312" w:cs="仿宋_GB2312" w:eastAsia="仿宋_GB2312"/>
                <w:sz w:val="28"/>
                <w:color w:val="0A82E5"/>
                <w:u w:val="single"/>
              </w:rPr>
              <w:t>（二）编制</w:t>
            </w:r>
            <w:r>
              <w:rPr>
                <w:rFonts w:ascii="仿宋_GB2312" w:hAnsi="仿宋_GB2312" w:cs="仿宋_GB2312" w:eastAsia="仿宋_GB2312"/>
                <w:sz w:val="28"/>
                <w:color w:val="0A82E5"/>
                <w:u w:val="single"/>
              </w:rPr>
              <w:t>“一项目一策”实施方案</w:t>
            </w:r>
          </w:p>
          <w:p>
            <w:pPr>
              <w:pStyle w:val="null3"/>
              <w:ind w:firstLine="480"/>
              <w:jc w:val="left"/>
            </w:pPr>
            <w:r>
              <w:rPr>
                <w:rFonts w:ascii="仿宋_GB2312" w:hAnsi="仿宋_GB2312" w:cs="仿宋_GB2312" w:eastAsia="仿宋_GB2312"/>
                <w:sz w:val="28"/>
                <w:color w:val="0A82E5"/>
                <w:u w:val="single"/>
              </w:rPr>
              <w:t>以项目现状为基础，结合片区发展目标、上位规划等内容对规划指标进行统筹核算，对存在的具体问题进行精准分析，形成</w:t>
            </w:r>
            <w:r>
              <w:rPr>
                <w:rFonts w:ascii="仿宋_GB2312" w:hAnsi="仿宋_GB2312" w:cs="仿宋_GB2312" w:eastAsia="仿宋_GB2312"/>
                <w:sz w:val="28"/>
                <w:color w:val="0A82E5"/>
                <w:u w:val="single"/>
              </w:rPr>
              <w:t>“一项目一策”实施方案。</w:t>
            </w:r>
          </w:p>
          <w:p>
            <w:pPr>
              <w:pStyle w:val="null3"/>
              <w:ind w:firstLine="480"/>
              <w:jc w:val="left"/>
            </w:pPr>
            <w:r>
              <w:rPr>
                <w:rFonts w:ascii="仿宋_GB2312" w:hAnsi="仿宋_GB2312" w:cs="仿宋_GB2312" w:eastAsia="仿宋_GB2312"/>
                <w:sz w:val="28"/>
                <w:color w:val="0A82E5"/>
                <w:u w:val="single"/>
              </w:rPr>
              <w:t>（三）建立城棚改遗留项目数据库</w:t>
            </w:r>
          </w:p>
          <w:p>
            <w:pPr>
              <w:pStyle w:val="null3"/>
              <w:ind w:firstLine="480"/>
              <w:jc w:val="left"/>
            </w:pPr>
            <w:r>
              <w:rPr>
                <w:rFonts w:ascii="仿宋_GB2312" w:hAnsi="仿宋_GB2312" w:cs="仿宋_GB2312" w:eastAsia="仿宋_GB2312"/>
                <w:sz w:val="28"/>
                <w:color w:val="0A82E5"/>
                <w:u w:val="single"/>
              </w:rPr>
              <w:t>将项目信息、规划土地办理信息纳入一张图平台管控，确保城棚改遗留项目办理的延续性与完整性。</w:t>
            </w:r>
          </w:p>
          <w:p>
            <w:pPr>
              <w:pStyle w:val="null3"/>
              <w:ind w:firstLine="480"/>
              <w:jc w:val="left"/>
            </w:pPr>
            <w:r>
              <w:rPr>
                <w:rFonts w:ascii="仿宋_GB2312" w:hAnsi="仿宋_GB2312" w:cs="仿宋_GB2312" w:eastAsia="仿宋_GB2312"/>
                <w:sz w:val="28"/>
                <w:color w:val="0A82E5"/>
                <w:u w:val="single"/>
              </w:rPr>
              <w:t>三</w:t>
            </w:r>
            <w:r>
              <w:rPr>
                <w:rFonts w:ascii="仿宋_GB2312" w:hAnsi="仿宋_GB2312" w:cs="仿宋_GB2312" w:eastAsia="仿宋_GB2312"/>
                <w:sz w:val="28"/>
                <w:color w:val="0A82E5"/>
                <w:u w:val="single"/>
              </w:rPr>
              <w:t>、技术要求</w:t>
            </w:r>
          </w:p>
          <w:p>
            <w:pPr>
              <w:pStyle w:val="null3"/>
              <w:ind w:firstLine="480"/>
              <w:jc w:val="left"/>
            </w:pPr>
            <w:r>
              <w:rPr>
                <w:rFonts w:ascii="仿宋_GB2312" w:hAnsi="仿宋_GB2312" w:cs="仿宋_GB2312" w:eastAsia="仿宋_GB2312"/>
                <w:sz w:val="28"/>
                <w:color w:val="0A82E5"/>
                <w:u w:val="single"/>
              </w:rPr>
              <w:t>形成与</w:t>
            </w:r>
            <w:r>
              <w:rPr>
                <w:rFonts w:ascii="仿宋_GB2312" w:hAnsi="仿宋_GB2312" w:cs="仿宋_GB2312" w:eastAsia="仿宋_GB2312"/>
                <w:sz w:val="28"/>
                <w:color w:val="0A82E5"/>
                <w:u w:val="single"/>
              </w:rPr>
              <w:t>成果</w:t>
            </w:r>
            <w:r>
              <w:rPr>
                <w:rFonts w:ascii="仿宋_GB2312" w:hAnsi="仿宋_GB2312" w:cs="仿宋_GB2312" w:eastAsia="仿宋_GB2312"/>
                <w:sz w:val="28"/>
                <w:color w:val="0A82E5"/>
                <w:u w:val="single"/>
              </w:rPr>
              <w:t>对应的全面、详实、精准的方案</w:t>
            </w:r>
            <w:r>
              <w:rPr>
                <w:rFonts w:ascii="仿宋_GB2312" w:hAnsi="仿宋_GB2312" w:cs="仿宋_GB2312" w:eastAsia="仿宋_GB2312"/>
                <w:sz w:val="28"/>
                <w:color w:val="0A82E5"/>
                <w:u w:val="single"/>
              </w:rPr>
              <w:t>成果及数据库成果，数据库成果需符合国土空间规划</w:t>
            </w:r>
            <w:r>
              <w:rPr>
                <w:rFonts w:ascii="仿宋_GB2312" w:hAnsi="仿宋_GB2312" w:cs="仿宋_GB2312" w:eastAsia="仿宋_GB2312"/>
                <w:sz w:val="28"/>
                <w:color w:val="0A82E5"/>
                <w:u w:val="single"/>
              </w:rPr>
              <w:t>“一张图”系统要求</w:t>
            </w:r>
            <w:r>
              <w:rPr>
                <w:rFonts w:ascii="仿宋_GB2312" w:hAnsi="仿宋_GB2312" w:cs="仿宋_GB2312" w:eastAsia="仿宋_GB2312"/>
                <w:sz w:val="28"/>
                <w:color w:val="0A82E5"/>
                <w:u w:val="single"/>
              </w:rPr>
              <w:t>。提交形式包括：纸质版和电子版。</w:t>
            </w:r>
          </w:p>
          <w:p>
            <w:pPr>
              <w:pStyle w:val="null3"/>
              <w:ind w:firstLine="480"/>
              <w:jc w:val="left"/>
            </w:pPr>
            <w:r>
              <w:rPr>
                <w:rFonts w:ascii="仿宋_GB2312" w:hAnsi="仿宋_GB2312" w:cs="仿宋_GB2312" w:eastAsia="仿宋_GB2312"/>
                <w:sz w:val="28"/>
                <w:color w:val="0A82E5"/>
                <w:u w:val="single"/>
              </w:rPr>
              <w:t>纸质成果要求：</w:t>
            </w:r>
            <w:r>
              <w:rPr>
                <w:rFonts w:ascii="仿宋_GB2312" w:hAnsi="仿宋_GB2312" w:cs="仿宋_GB2312" w:eastAsia="仿宋_GB2312"/>
                <w:sz w:val="28"/>
                <w:color w:val="0A82E5"/>
                <w:u w:val="single"/>
              </w:rPr>
              <w:t>相关成果文件</w:t>
            </w:r>
            <w:r>
              <w:rPr>
                <w:rFonts w:ascii="仿宋_GB2312" w:hAnsi="仿宋_GB2312" w:cs="仿宋_GB2312" w:eastAsia="仿宋_GB2312"/>
                <w:sz w:val="28"/>
                <w:color w:val="0A82E5"/>
                <w:u w:val="single"/>
              </w:rPr>
              <w:t>，加盖公章</w:t>
            </w:r>
            <w:r>
              <w:rPr>
                <w:rFonts w:ascii="仿宋_GB2312" w:hAnsi="仿宋_GB2312" w:cs="仿宋_GB2312" w:eastAsia="仿宋_GB2312"/>
                <w:sz w:val="28"/>
                <w:color w:val="0A82E5"/>
                <w:u w:val="single"/>
              </w:rPr>
              <w:t>/技术成果章，图面字体清晰，</w:t>
            </w:r>
            <w:r>
              <w:rPr>
                <w:rFonts w:ascii="仿宋_GB2312" w:hAnsi="仿宋_GB2312" w:cs="仿宋_GB2312" w:eastAsia="仿宋_GB2312"/>
                <w:sz w:val="28"/>
                <w:color w:val="0A82E5"/>
                <w:u w:val="single"/>
              </w:rPr>
              <w:t>需向采购人提供一套完整归档资料，采购人后续如有额外存档、留存需求，中标单位应无条件配合补充完善相关资料</w:t>
            </w:r>
            <w:r>
              <w:rPr>
                <w:rFonts w:ascii="仿宋_GB2312" w:hAnsi="仿宋_GB2312" w:cs="仿宋_GB2312" w:eastAsia="仿宋_GB2312"/>
                <w:sz w:val="28"/>
                <w:color w:val="0A82E5"/>
                <w:u w:val="single"/>
              </w:rPr>
              <w:t>。</w:t>
            </w:r>
          </w:p>
          <w:p>
            <w:pPr>
              <w:pStyle w:val="null3"/>
              <w:ind w:firstLine="480"/>
              <w:jc w:val="left"/>
            </w:pPr>
            <w:r>
              <w:rPr>
                <w:rFonts w:ascii="仿宋_GB2312" w:hAnsi="仿宋_GB2312" w:cs="仿宋_GB2312" w:eastAsia="仿宋_GB2312"/>
                <w:sz w:val="28"/>
                <w:color w:val="0A82E5"/>
                <w:u w:val="single"/>
              </w:rPr>
              <w:t>电子成果要求：</w:t>
            </w:r>
            <w:r>
              <w:rPr>
                <w:rFonts w:ascii="仿宋_GB2312" w:hAnsi="仿宋_GB2312" w:cs="仿宋_GB2312" w:eastAsia="仿宋_GB2312"/>
                <w:sz w:val="28"/>
                <w:color w:val="0A82E5"/>
                <w:u w:val="single"/>
              </w:rPr>
              <w:t>数据库文件采用</w:t>
            </w:r>
            <w:r>
              <w:rPr>
                <w:rFonts w:ascii="仿宋_GB2312" w:hAnsi="仿宋_GB2312" w:cs="仿宋_GB2312" w:eastAsia="仿宋_GB2312"/>
                <w:sz w:val="28"/>
                <w:color w:val="0A82E5"/>
                <w:u w:val="single"/>
              </w:rPr>
              <w:t>gdb格式</w:t>
            </w:r>
            <w:r>
              <w:rPr>
                <w:rFonts w:ascii="仿宋_GB2312" w:hAnsi="仿宋_GB2312" w:cs="仿宋_GB2312" w:eastAsia="仿宋_GB2312"/>
                <w:sz w:val="28"/>
                <w:color w:val="0A82E5"/>
                <w:u w:val="single"/>
              </w:rPr>
              <w:t>。最终成果提供</w:t>
            </w:r>
            <w:r>
              <w:rPr>
                <w:rFonts w:ascii="仿宋_GB2312" w:hAnsi="仿宋_GB2312" w:cs="仿宋_GB2312" w:eastAsia="仿宋_GB2312"/>
                <w:sz w:val="28"/>
                <w:color w:val="0A82E5"/>
                <w:u w:val="single"/>
              </w:rPr>
              <w:t>U盘</w:t>
            </w:r>
            <w:r>
              <w:rPr>
                <w:rFonts w:ascii="仿宋_GB2312" w:hAnsi="仿宋_GB2312" w:cs="仿宋_GB2312" w:eastAsia="仿宋_GB2312"/>
                <w:sz w:val="28"/>
                <w:color w:val="0A82E5"/>
                <w:u w:val="single"/>
              </w:rPr>
              <w:t>2</w:t>
            </w:r>
            <w:r>
              <w:rPr>
                <w:rFonts w:ascii="仿宋_GB2312" w:hAnsi="仿宋_GB2312" w:cs="仿宋_GB2312" w:eastAsia="仿宋_GB2312"/>
                <w:sz w:val="28"/>
                <w:color w:val="0A82E5"/>
                <w:u w:val="single"/>
              </w:rPr>
              <w:t>个</w:t>
            </w:r>
            <w:r>
              <w:rPr>
                <w:rFonts w:ascii="仿宋_GB2312" w:hAnsi="仿宋_GB2312" w:cs="仿宋_GB2312" w:eastAsia="仿宋_GB2312"/>
                <w:sz w:val="28"/>
                <w:color w:val="0A82E5"/>
                <w:u w:val="single"/>
              </w:rPr>
              <w:t>，</w:t>
            </w:r>
            <w:r>
              <w:rPr>
                <w:rFonts w:ascii="仿宋_GB2312" w:hAnsi="仿宋_GB2312" w:cs="仿宋_GB2312" w:eastAsia="仿宋_GB2312"/>
                <w:sz w:val="28"/>
                <w:color w:val="0A82E5"/>
                <w:u w:val="single"/>
              </w:rPr>
              <w:t>U盘</w:t>
            </w:r>
            <w:r>
              <w:rPr>
                <w:rFonts w:ascii="仿宋_GB2312" w:hAnsi="仿宋_GB2312" w:cs="仿宋_GB2312" w:eastAsia="仿宋_GB2312"/>
                <w:sz w:val="28"/>
                <w:color w:val="0A82E5"/>
                <w:u w:val="single"/>
              </w:rPr>
              <w:t>贴标签：注明项目名称、完成时间。电子成果与上述纸质成果相对应，文件采用</w:t>
            </w:r>
            <w:r>
              <w:rPr>
                <w:rFonts w:ascii="仿宋_GB2312" w:hAnsi="仿宋_GB2312" w:cs="仿宋_GB2312" w:eastAsia="仿宋_GB2312"/>
                <w:sz w:val="28"/>
                <w:color w:val="0A82E5"/>
                <w:u w:val="single"/>
              </w:rPr>
              <w:t>word和pdf格式。</w:t>
            </w:r>
          </w:p>
          <w:p>
            <w:pPr>
              <w:pStyle w:val="null3"/>
              <w:ind w:firstLine="480"/>
              <w:jc w:val="left"/>
            </w:pPr>
            <w:r>
              <w:rPr>
                <w:rFonts w:ascii="仿宋_GB2312" w:hAnsi="仿宋_GB2312" w:cs="仿宋_GB2312" w:eastAsia="仿宋_GB2312"/>
                <w:sz w:val="28"/>
                <w:color w:val="0A82E5"/>
                <w:u w:val="single"/>
              </w:rPr>
              <w:t>四</w:t>
            </w:r>
            <w:r>
              <w:rPr>
                <w:rFonts w:ascii="仿宋_GB2312" w:hAnsi="仿宋_GB2312" w:cs="仿宋_GB2312" w:eastAsia="仿宋_GB2312"/>
                <w:sz w:val="28"/>
                <w:color w:val="0A82E5"/>
                <w:u w:val="single"/>
              </w:rPr>
              <w:t>、服务要求</w:t>
            </w:r>
          </w:p>
          <w:p>
            <w:pPr>
              <w:pStyle w:val="null3"/>
              <w:ind w:firstLine="480"/>
              <w:jc w:val="left"/>
            </w:pPr>
            <w:r>
              <w:rPr>
                <w:rFonts w:ascii="仿宋_GB2312" w:hAnsi="仿宋_GB2312" w:cs="仿宋_GB2312" w:eastAsia="仿宋_GB2312"/>
                <w:sz w:val="28"/>
                <w:color w:val="0A82E5"/>
                <w:u w:val="single"/>
              </w:rPr>
              <w:t>（一）服务商须精心组建项目团队，确定项目负责人，并对项目团队的政治素质和业务素质负责。</w:t>
            </w:r>
          </w:p>
          <w:p>
            <w:pPr>
              <w:pStyle w:val="null3"/>
              <w:ind w:firstLine="480"/>
              <w:jc w:val="left"/>
            </w:pPr>
            <w:r>
              <w:rPr>
                <w:rFonts w:ascii="仿宋_GB2312" w:hAnsi="仿宋_GB2312" w:cs="仿宋_GB2312" w:eastAsia="仿宋_GB2312"/>
                <w:sz w:val="28"/>
                <w:color w:val="0A82E5"/>
                <w:u w:val="single"/>
              </w:rPr>
              <w:t>（二）项目组成员须有较强的组织和协调能力，具有较高的理论素养和分析解决问题的能力。</w:t>
            </w:r>
          </w:p>
          <w:p>
            <w:pPr>
              <w:pStyle w:val="null3"/>
              <w:ind w:firstLine="480"/>
              <w:jc w:val="left"/>
            </w:pPr>
            <w:r>
              <w:rPr>
                <w:rFonts w:ascii="仿宋_GB2312" w:hAnsi="仿宋_GB2312" w:cs="仿宋_GB2312" w:eastAsia="仿宋_GB2312"/>
                <w:sz w:val="28"/>
                <w:color w:val="0A82E5"/>
                <w:u w:val="single"/>
              </w:rPr>
              <w:t>（三）项目负责人必须是该项目实施全过程的真正组织者和指导者，并担负项目成果审查工作。挂名或不担负成果审查工作的，不得作为项目负责人。</w:t>
            </w:r>
          </w:p>
          <w:p>
            <w:pPr>
              <w:pStyle w:val="null3"/>
              <w:ind w:firstLine="480"/>
              <w:jc w:val="left"/>
            </w:pPr>
            <w:r>
              <w:rPr>
                <w:rFonts w:ascii="仿宋_GB2312" w:hAnsi="仿宋_GB2312" w:cs="仿宋_GB2312" w:eastAsia="仿宋_GB2312"/>
                <w:sz w:val="28"/>
                <w:color w:val="0A82E5"/>
                <w:u w:val="single"/>
              </w:rPr>
              <w:t>（四）项目团队成员应当熟悉动态维护的相关内容，项目实施应紧贴上位政策要求。</w:t>
            </w:r>
          </w:p>
          <w:p>
            <w:pPr>
              <w:pStyle w:val="null3"/>
              <w:ind w:firstLine="480"/>
              <w:jc w:val="left"/>
            </w:pPr>
            <w:r>
              <w:rPr>
                <w:rFonts w:ascii="仿宋_GB2312" w:hAnsi="仿宋_GB2312" w:cs="仿宋_GB2312" w:eastAsia="仿宋_GB2312"/>
                <w:sz w:val="28"/>
                <w:color w:val="0A82E5"/>
                <w:u w:val="single"/>
              </w:rPr>
              <w:t>（五）项目团队成员及其主要成员履约过程中不得随意更换，确需调整时，须书面提请采购人同意。</w:t>
            </w:r>
          </w:p>
          <w:p>
            <w:pPr>
              <w:pStyle w:val="null3"/>
              <w:ind w:firstLine="480"/>
              <w:jc w:val="left"/>
            </w:pPr>
            <w:r>
              <w:rPr>
                <w:rFonts w:ascii="仿宋_GB2312" w:hAnsi="仿宋_GB2312" w:cs="仿宋_GB2312" w:eastAsia="仿宋_GB2312"/>
                <w:sz w:val="28"/>
                <w:color w:val="0A82E5"/>
                <w:u w:val="single"/>
              </w:rPr>
              <w:t>（六）项目团队需对项目全过程涉密资料及数据进行保密。</w:t>
            </w:r>
          </w:p>
          <w:p>
            <w:pPr>
              <w:pStyle w:val="null3"/>
              <w:ind w:firstLine="480"/>
              <w:jc w:val="left"/>
            </w:pPr>
            <w:r>
              <w:rPr>
                <w:rFonts w:ascii="仿宋_GB2312" w:hAnsi="仿宋_GB2312" w:cs="仿宋_GB2312" w:eastAsia="仿宋_GB2312"/>
                <w:sz w:val="28"/>
                <w:color w:val="0A82E5"/>
                <w:u w:val="single"/>
              </w:rPr>
              <w:t>五</w:t>
            </w:r>
            <w:r>
              <w:rPr>
                <w:rFonts w:ascii="仿宋_GB2312" w:hAnsi="仿宋_GB2312" w:cs="仿宋_GB2312" w:eastAsia="仿宋_GB2312"/>
                <w:sz w:val="28"/>
                <w:color w:val="0A82E5"/>
                <w:u w:val="single"/>
              </w:rPr>
              <w:t>、商务要求</w:t>
            </w:r>
          </w:p>
          <w:p>
            <w:pPr>
              <w:pStyle w:val="null3"/>
              <w:ind w:firstLine="480"/>
              <w:jc w:val="left"/>
            </w:pPr>
            <w:r>
              <w:rPr>
                <w:rFonts w:ascii="仿宋_GB2312" w:hAnsi="仿宋_GB2312" w:cs="仿宋_GB2312" w:eastAsia="仿宋_GB2312"/>
                <w:sz w:val="28"/>
                <w:color w:val="0A82E5"/>
                <w:u w:val="single"/>
              </w:rPr>
              <w:t>（</w:t>
            </w:r>
            <w:r>
              <w:rPr>
                <w:rFonts w:ascii="仿宋_GB2312" w:hAnsi="仿宋_GB2312" w:cs="仿宋_GB2312" w:eastAsia="仿宋_GB2312"/>
                <w:sz w:val="28"/>
                <w:color w:val="0A82E5"/>
                <w:u w:val="single"/>
              </w:rPr>
              <w:t>1）</w:t>
            </w:r>
            <w:r>
              <w:rPr>
                <w:rFonts w:ascii="仿宋_GB2312" w:hAnsi="仿宋_GB2312" w:cs="仿宋_GB2312" w:eastAsia="仿宋_GB2312"/>
                <w:sz w:val="28"/>
                <w:color w:val="0A82E5"/>
                <w:u w:val="single"/>
              </w:rPr>
              <w:t>服务期限</w:t>
            </w:r>
            <w:r>
              <w:rPr>
                <w:rFonts w:ascii="仿宋_GB2312" w:hAnsi="仿宋_GB2312" w:cs="仿宋_GB2312" w:eastAsia="仿宋_GB2312"/>
                <w:sz w:val="28"/>
                <w:color w:val="0A82E5"/>
                <w:u w:val="single"/>
              </w:rPr>
              <w:t>：自合同签订之日起至</w:t>
            </w:r>
            <w:r>
              <w:rPr>
                <w:rFonts w:ascii="仿宋_GB2312" w:hAnsi="仿宋_GB2312" w:cs="仿宋_GB2312" w:eastAsia="仿宋_GB2312"/>
                <w:sz w:val="28"/>
                <w:color w:val="0A82E5"/>
                <w:u w:val="single"/>
              </w:rPr>
              <w:t>2026年12月15日止。</w:t>
            </w:r>
          </w:p>
          <w:p>
            <w:pPr>
              <w:pStyle w:val="null3"/>
              <w:ind w:firstLine="480"/>
              <w:jc w:val="left"/>
            </w:pPr>
            <w:r>
              <w:rPr>
                <w:rFonts w:ascii="仿宋_GB2312" w:hAnsi="仿宋_GB2312" w:cs="仿宋_GB2312" w:eastAsia="仿宋_GB2312"/>
                <w:sz w:val="28"/>
                <w:color w:val="0A82E5"/>
                <w:u w:val="single"/>
              </w:rPr>
              <w:t>（</w:t>
            </w:r>
            <w:r>
              <w:rPr>
                <w:rFonts w:ascii="仿宋_GB2312" w:hAnsi="仿宋_GB2312" w:cs="仿宋_GB2312" w:eastAsia="仿宋_GB2312"/>
                <w:sz w:val="28"/>
                <w:color w:val="0A82E5"/>
                <w:u w:val="single"/>
              </w:rPr>
              <w:t>2）</w:t>
            </w:r>
            <w:r>
              <w:rPr>
                <w:rFonts w:ascii="仿宋_GB2312" w:hAnsi="仿宋_GB2312" w:cs="仿宋_GB2312" w:eastAsia="仿宋_GB2312"/>
                <w:sz w:val="28"/>
                <w:color w:val="0A82E5"/>
                <w:u w:val="single"/>
              </w:rPr>
              <w:t>款项结算</w:t>
            </w:r>
          </w:p>
          <w:p>
            <w:pPr>
              <w:pStyle w:val="null3"/>
              <w:ind w:firstLine="480"/>
              <w:jc w:val="left"/>
            </w:pPr>
            <w:r>
              <w:rPr>
                <w:rFonts w:ascii="仿宋_GB2312" w:hAnsi="仿宋_GB2312" w:cs="仿宋_GB2312" w:eastAsia="仿宋_GB2312"/>
                <w:sz w:val="28"/>
                <w:color w:val="0A82E5"/>
                <w:u w:val="single"/>
              </w:rPr>
              <w:t>1.本项目拟采用政府采购的方式进行；</w:t>
            </w:r>
          </w:p>
          <w:p>
            <w:pPr>
              <w:pStyle w:val="null3"/>
              <w:ind w:firstLine="480"/>
              <w:jc w:val="left"/>
            </w:pPr>
            <w:r>
              <w:rPr>
                <w:rFonts w:ascii="仿宋_GB2312" w:hAnsi="仿宋_GB2312" w:cs="仿宋_GB2312" w:eastAsia="仿宋_GB2312"/>
                <w:sz w:val="28"/>
                <w:color w:val="0A82E5"/>
                <w:u w:val="single"/>
              </w:rPr>
              <w:t>2.合同总价一次性包死，不受市场价格变化和税率变化等因素的影响。</w:t>
            </w:r>
          </w:p>
          <w:p>
            <w:pPr>
              <w:pStyle w:val="null3"/>
              <w:ind w:firstLine="480"/>
              <w:jc w:val="left"/>
            </w:pPr>
            <w:r>
              <w:rPr>
                <w:rFonts w:ascii="仿宋_GB2312" w:hAnsi="仿宋_GB2312" w:cs="仿宋_GB2312" w:eastAsia="仿宋_GB2312"/>
                <w:sz w:val="28"/>
                <w:color w:val="0A82E5"/>
                <w:u w:val="single"/>
              </w:rPr>
              <w:t>3.付款比例：</w:t>
            </w:r>
          </w:p>
          <w:p>
            <w:pPr>
              <w:pStyle w:val="null3"/>
              <w:ind w:firstLine="480"/>
              <w:jc w:val="left"/>
            </w:pPr>
            <w:r>
              <w:rPr>
                <w:rFonts w:ascii="仿宋_GB2312" w:hAnsi="仿宋_GB2312" w:cs="仿宋_GB2312" w:eastAsia="仿宋_GB2312"/>
                <w:sz w:val="28"/>
                <w:color w:val="0A82E5"/>
                <w:u w:val="single"/>
              </w:rPr>
              <w:t>3.1 合同签订后7个工作日内，甲方向乙方支付合同总价款的30%。</w:t>
            </w:r>
          </w:p>
          <w:p>
            <w:pPr>
              <w:pStyle w:val="null3"/>
              <w:ind w:firstLine="480"/>
              <w:jc w:val="left"/>
            </w:pPr>
            <w:r>
              <w:rPr>
                <w:rFonts w:ascii="仿宋_GB2312" w:hAnsi="仿宋_GB2312" w:cs="仿宋_GB2312" w:eastAsia="仿宋_GB2312"/>
                <w:sz w:val="28"/>
                <w:color w:val="0A82E5"/>
                <w:u w:val="single"/>
              </w:rPr>
              <w:t>3.2 建立城棚改遗留项目总台账。形成并完善一项目一策成果，履行市资源规划局审查程序后，15个工作日内甲方向乙方支付合同总价款的40%。</w:t>
            </w:r>
          </w:p>
          <w:p>
            <w:pPr>
              <w:pStyle w:val="null3"/>
              <w:ind w:firstLine="480"/>
              <w:jc w:val="left"/>
            </w:pPr>
            <w:r>
              <w:rPr>
                <w:rFonts w:ascii="仿宋_GB2312" w:hAnsi="仿宋_GB2312" w:cs="仿宋_GB2312" w:eastAsia="仿宋_GB2312"/>
                <w:sz w:val="28"/>
                <w:color w:val="0A82E5"/>
                <w:u w:val="single"/>
              </w:rPr>
              <w:t>3.3 形成矢量数据并纳入一张图平台管控后，15个工作日内甲方向乙方支付剩余款项，共计合同总价款的30%。</w:t>
            </w:r>
          </w:p>
          <w:p>
            <w:pPr>
              <w:pStyle w:val="null3"/>
              <w:ind w:firstLine="480"/>
              <w:jc w:val="left"/>
            </w:pPr>
            <w:r>
              <w:rPr>
                <w:rFonts w:ascii="仿宋_GB2312" w:hAnsi="仿宋_GB2312" w:cs="仿宋_GB2312" w:eastAsia="仿宋_GB2312"/>
                <w:sz w:val="28"/>
                <w:color w:val="0A82E5"/>
                <w:u w:val="single"/>
              </w:rPr>
              <w:t>4. 支付比例及金额以最终政府采购服务合同约定为准。</w:t>
            </w:r>
          </w:p>
          <w:p>
            <w:pPr>
              <w:pStyle w:val="null3"/>
              <w:ind w:firstLine="480"/>
              <w:jc w:val="left"/>
            </w:pPr>
            <w:r>
              <w:rPr>
                <w:rFonts w:ascii="仿宋_GB2312" w:hAnsi="仿宋_GB2312" w:cs="仿宋_GB2312" w:eastAsia="仿宋_GB2312"/>
                <w:sz w:val="28"/>
                <w:color w:val="0A82E5"/>
                <w:u w:val="single"/>
              </w:rPr>
              <w:t>由于本项目为政府委托项目，项目资金需根据政府统一安排，由此本合同内所定的各次付款时间应根据财政局拨付资金的时间相应顺延或调整。</w:t>
            </w:r>
          </w:p>
          <w:p>
            <w:pPr>
              <w:pStyle w:val="null3"/>
              <w:ind w:firstLine="480"/>
              <w:jc w:val="left"/>
            </w:pPr>
            <w:r>
              <w:rPr>
                <w:rFonts w:ascii="仿宋_GB2312" w:hAnsi="仿宋_GB2312" w:cs="仿宋_GB2312" w:eastAsia="仿宋_GB2312"/>
                <w:sz w:val="28"/>
                <w:color w:val="0A82E5"/>
                <w:u w:val="single"/>
              </w:rPr>
              <w:t>5. 结算方式：银行转账。</w:t>
            </w:r>
          </w:p>
          <w:p>
            <w:pPr>
              <w:pStyle w:val="null3"/>
              <w:ind w:firstLine="480"/>
              <w:jc w:val="left"/>
            </w:pPr>
            <w:r>
              <w:rPr>
                <w:rFonts w:ascii="仿宋_GB2312" w:hAnsi="仿宋_GB2312" w:cs="仿宋_GB2312" w:eastAsia="仿宋_GB2312"/>
                <w:sz w:val="28"/>
                <w:color w:val="0A82E5"/>
                <w:u w:val="single"/>
              </w:rPr>
              <w:t>乙方应确保所指定账户为唯一收款账户，确保该账户的稳定性与准确性，乙方变更收款账户信息的，应当提前</w:t>
            </w:r>
            <w:r>
              <w:rPr>
                <w:rFonts w:ascii="仿宋_GB2312" w:hAnsi="仿宋_GB2312" w:cs="仿宋_GB2312" w:eastAsia="仿宋_GB2312"/>
                <w:sz w:val="28"/>
                <w:color w:val="0A82E5"/>
                <w:u w:val="single"/>
              </w:rPr>
              <w:t>10个工作日书面告知甲方。如因乙方提供账户信息不准确、不真实，或变动账户后不及时告知甲方，导致甲方付款错误或失败的，甲方不承担逾期付款责任，由乙方承担一切损失赔偿责任。</w:t>
            </w:r>
          </w:p>
          <w:p>
            <w:pPr>
              <w:pStyle w:val="null3"/>
              <w:ind w:firstLine="480"/>
              <w:jc w:val="left"/>
            </w:pPr>
            <w:r>
              <w:rPr>
                <w:rFonts w:ascii="仿宋_GB2312" w:hAnsi="仿宋_GB2312" w:cs="仿宋_GB2312" w:eastAsia="仿宋_GB2312"/>
                <w:sz w:val="28"/>
                <w:color w:val="0A82E5"/>
                <w:u w:val="single"/>
              </w:rPr>
              <w:t>6.结算单位：由甲方负责结算，甲方付款前，乙方应当开具正式等额合法、合规且符合甲方要求的等额增值税发票，乙方不提供或提供不符合要求的，甲方有权拒绝支付，且不承担因此导致的逾期付款违约责任。</w:t>
            </w:r>
          </w:p>
          <w:p>
            <w:pPr>
              <w:pStyle w:val="null3"/>
              <w:ind w:firstLine="480"/>
              <w:jc w:val="left"/>
            </w:pPr>
            <w:r>
              <w:rPr>
                <w:rFonts w:ascii="仿宋_GB2312" w:hAnsi="仿宋_GB2312" w:cs="仿宋_GB2312" w:eastAsia="仿宋_GB2312"/>
                <w:sz w:val="28"/>
                <w:color w:val="0A82E5"/>
                <w:u w:val="single"/>
              </w:rPr>
              <w:t>六</w:t>
            </w:r>
            <w:r>
              <w:rPr>
                <w:rFonts w:ascii="仿宋_GB2312" w:hAnsi="仿宋_GB2312" w:cs="仿宋_GB2312" w:eastAsia="仿宋_GB2312"/>
                <w:sz w:val="28"/>
                <w:color w:val="0A82E5"/>
                <w:u w:val="single"/>
              </w:rPr>
              <w:t>、其他</w:t>
            </w:r>
          </w:p>
          <w:p>
            <w:pPr>
              <w:pStyle w:val="null3"/>
              <w:ind w:firstLine="480"/>
              <w:jc w:val="left"/>
            </w:pPr>
            <w:r>
              <w:rPr>
                <w:rFonts w:ascii="仿宋_GB2312" w:hAnsi="仿宋_GB2312" w:cs="仿宋_GB2312" w:eastAsia="仿宋_GB2312"/>
                <w:sz w:val="28"/>
                <w:color w:val="0A82E5"/>
                <w:u w:val="single"/>
              </w:rPr>
              <w:t>（一）符合《中华人民共和国政府采购法》第二十二条、第二十三条、第二十四条规定；</w:t>
            </w:r>
          </w:p>
          <w:p>
            <w:pPr>
              <w:pStyle w:val="null3"/>
              <w:ind w:firstLine="480"/>
              <w:jc w:val="left"/>
            </w:pPr>
            <w:r>
              <w:rPr>
                <w:rFonts w:ascii="仿宋_GB2312" w:hAnsi="仿宋_GB2312" w:cs="仿宋_GB2312" w:eastAsia="仿宋_GB2312"/>
                <w:sz w:val="28"/>
                <w:color w:val="0A82E5"/>
                <w:u w:val="single"/>
              </w:rPr>
              <w:t>（二）项目不接受联合体。</w:t>
            </w:r>
          </w:p>
          <w:p>
            <w:pPr>
              <w:pStyle w:val="null3"/>
              <w:ind w:firstLine="480"/>
              <w:jc w:val="left"/>
            </w:pPr>
            <w:r>
              <w:rPr>
                <w:rFonts w:ascii="仿宋_GB2312" w:hAnsi="仿宋_GB2312" w:cs="仿宋_GB2312" w:eastAsia="仿宋_GB2312"/>
                <w:sz w:val="28"/>
                <w:color w:val="0A82E5"/>
                <w:u w:val="single"/>
              </w:rPr>
              <w:t>（三）技术服务单位需配合完成采购人安排的与本项目有关的其他事项。</w:t>
            </w:r>
          </w:p>
          <w:p>
            <w:pPr>
              <w:pStyle w:val="null3"/>
              <w:ind w:firstLine="480"/>
              <w:jc w:val="left"/>
            </w:pPr>
            <w:r>
              <w:rPr>
                <w:rFonts w:ascii="仿宋_GB2312" w:hAnsi="仿宋_GB2312" w:cs="仿宋_GB2312" w:eastAsia="仿宋_GB2312"/>
                <w:sz w:val="28"/>
                <w:color w:val="0A82E5"/>
                <w:u w:val="single"/>
              </w:rPr>
              <w:t>（四）进度要求</w:t>
            </w:r>
          </w:p>
          <w:p>
            <w:pPr>
              <w:pStyle w:val="null3"/>
              <w:ind w:firstLine="480"/>
              <w:jc w:val="left"/>
            </w:pPr>
            <w:r>
              <w:rPr>
                <w:rFonts w:ascii="仿宋_GB2312" w:hAnsi="仿宋_GB2312" w:cs="仿宋_GB2312" w:eastAsia="仿宋_GB2312"/>
                <w:sz w:val="28"/>
                <w:color w:val="0A82E5"/>
                <w:u w:val="single"/>
              </w:rPr>
              <w:t>1.合同签订10个工作日内形成工作方案。</w:t>
            </w:r>
          </w:p>
          <w:p>
            <w:pPr>
              <w:pStyle w:val="null3"/>
              <w:ind w:firstLine="480"/>
              <w:jc w:val="left"/>
            </w:pPr>
            <w:r>
              <w:rPr>
                <w:rFonts w:ascii="仿宋_GB2312" w:hAnsi="仿宋_GB2312" w:cs="仿宋_GB2312" w:eastAsia="仿宋_GB2312"/>
                <w:sz w:val="28"/>
                <w:color w:val="0A82E5"/>
                <w:u w:val="single"/>
              </w:rPr>
              <w:t>2.合同签订2个月内形成阶段性成果。</w:t>
            </w:r>
          </w:p>
          <w:p>
            <w:pPr>
              <w:pStyle w:val="null3"/>
              <w:ind w:firstLine="480"/>
              <w:jc w:val="left"/>
            </w:pPr>
            <w:r>
              <w:rPr>
                <w:rFonts w:ascii="仿宋_GB2312" w:hAnsi="仿宋_GB2312" w:cs="仿宋_GB2312" w:eastAsia="仿宋_GB2312"/>
                <w:sz w:val="28"/>
                <w:color w:val="0A82E5"/>
                <w:u w:val="single"/>
              </w:rPr>
              <w:t>3.合同签订4个月内形成成果。</w:t>
            </w:r>
          </w:p>
          <w:p>
            <w:pPr>
              <w:pStyle w:val="null3"/>
              <w:ind w:firstLine="480"/>
              <w:jc w:val="left"/>
            </w:pPr>
            <w:r>
              <w:rPr>
                <w:rFonts w:ascii="仿宋_GB2312" w:hAnsi="仿宋_GB2312" w:cs="仿宋_GB2312" w:eastAsia="仿宋_GB2312"/>
                <w:sz w:val="28"/>
                <w:color w:val="0A82E5"/>
                <w:u w:val="single"/>
              </w:rPr>
              <w:t>4.技术服务单位应定期（周、月）向采购人提供项目工作进度。</w:t>
            </w:r>
          </w:p>
          <w:p>
            <w:pPr>
              <w:pStyle w:val="null3"/>
              <w:ind w:firstLine="480"/>
              <w:jc w:val="left"/>
            </w:pPr>
            <w:r>
              <w:rPr>
                <w:rFonts w:ascii="仿宋_GB2312" w:hAnsi="仿宋_GB2312" w:cs="仿宋_GB2312" w:eastAsia="仿宋_GB2312"/>
                <w:sz w:val="28"/>
                <w:color w:val="0A82E5"/>
                <w:u w:val="single"/>
              </w:rPr>
              <w:t>5.采购人根据实际需要，对项目进展情况不定期听取汇报。</w:t>
            </w:r>
          </w:p>
          <w:p>
            <w:pPr>
              <w:pStyle w:val="null3"/>
              <w:ind w:firstLine="480"/>
              <w:jc w:val="left"/>
            </w:pPr>
            <w:r>
              <w:rPr>
                <w:rFonts w:ascii="仿宋_GB2312" w:hAnsi="仿宋_GB2312" w:cs="仿宋_GB2312" w:eastAsia="仿宋_GB2312"/>
                <w:sz w:val="28"/>
                <w:color w:val="0A82E5"/>
                <w:u w:val="single"/>
              </w:rPr>
              <w:t>6.受不可抗力（规划编制完成时间延后、提前；上位要求变化等）因素影响，采购人可适当调整进度要求。</w:t>
            </w:r>
          </w:p>
          <w:p>
            <w:pPr>
              <w:pStyle w:val="null3"/>
              <w:ind w:firstLine="480"/>
              <w:jc w:val="left"/>
            </w:pPr>
            <w:r>
              <w:rPr>
                <w:rFonts w:ascii="仿宋_GB2312" w:hAnsi="仿宋_GB2312" w:cs="仿宋_GB2312" w:eastAsia="仿宋_GB2312"/>
                <w:sz w:val="28"/>
                <w:color w:val="0A82E5"/>
                <w:u w:val="single"/>
              </w:rPr>
              <w:t>7.技术单位应接受采购人与此项目有关的其他工作安排。</w:t>
            </w:r>
          </w:p>
          <w:p>
            <w:pPr>
              <w:pStyle w:val="null3"/>
              <w:ind w:firstLine="480"/>
              <w:jc w:val="left"/>
            </w:pPr>
            <w:r>
              <w:rPr>
                <w:rFonts w:ascii="仿宋_GB2312" w:hAnsi="仿宋_GB2312" w:cs="仿宋_GB2312" w:eastAsia="仿宋_GB2312"/>
                <w:sz w:val="28"/>
                <w:color w:val="0A82E5"/>
                <w:u w:val="single"/>
              </w:rPr>
              <w:t>（五）质量验收标准或规范</w:t>
            </w:r>
          </w:p>
          <w:p>
            <w:pPr>
              <w:pStyle w:val="null3"/>
              <w:ind w:firstLine="480"/>
              <w:jc w:val="left"/>
            </w:pPr>
            <w:r>
              <w:rPr>
                <w:rFonts w:ascii="仿宋_GB2312" w:hAnsi="仿宋_GB2312" w:cs="仿宋_GB2312" w:eastAsia="仿宋_GB2312"/>
                <w:sz w:val="28"/>
                <w:color w:val="0A82E5"/>
                <w:u w:val="single"/>
              </w:rPr>
              <w:t>成果质量符合西安市自然资源和规划局的相关要求，并通过采购人组织的验收会。</w:t>
            </w:r>
          </w:p>
          <w:p>
            <w:pPr>
              <w:pStyle w:val="null3"/>
              <w:ind w:firstLine="480"/>
              <w:jc w:val="left"/>
            </w:pPr>
            <w:r>
              <w:rPr>
                <w:rFonts w:ascii="仿宋_GB2312" w:hAnsi="仿宋_GB2312" w:cs="仿宋_GB2312" w:eastAsia="仿宋_GB2312"/>
                <w:sz w:val="28"/>
                <w:color w:val="0A82E5"/>
                <w:u w:val="single"/>
              </w:rPr>
              <w:t>（六）违约责任</w:t>
            </w:r>
          </w:p>
          <w:p>
            <w:pPr>
              <w:pStyle w:val="null3"/>
              <w:ind w:firstLine="480"/>
              <w:jc w:val="left"/>
            </w:pPr>
            <w:r>
              <w:rPr>
                <w:rFonts w:ascii="仿宋_GB2312" w:hAnsi="仿宋_GB2312" w:cs="仿宋_GB2312" w:eastAsia="仿宋_GB2312"/>
                <w:sz w:val="28"/>
                <w:color w:val="0A82E5"/>
                <w:u w:val="single"/>
              </w:rPr>
              <w:t>1、如果乙方未按国家或省、市有关技术标准、规程、规定完成任务，甲方有权要求乙方返工或解除合同，甲方解除合同的，乙方应向甲方支付合同总金额 万分之</w:t>
            </w:r>
            <w:r>
              <w:rPr>
                <w:rFonts w:ascii="仿宋_GB2312" w:hAnsi="仿宋_GB2312" w:cs="仿宋_GB2312" w:eastAsia="仿宋_GB2312"/>
                <w:sz w:val="28"/>
                <w:color w:val="0A82E5"/>
                <w:u w:val="single"/>
              </w:rPr>
              <w:t>五</w:t>
            </w:r>
            <w:r>
              <w:rPr>
                <w:rFonts w:ascii="仿宋_GB2312" w:hAnsi="仿宋_GB2312" w:cs="仿宋_GB2312" w:eastAsia="仿宋_GB2312"/>
                <w:sz w:val="28"/>
                <w:color w:val="0A82E5"/>
                <w:u w:val="single"/>
              </w:rPr>
              <w:t>的违约金。</w:t>
            </w:r>
          </w:p>
          <w:p>
            <w:pPr>
              <w:pStyle w:val="null3"/>
              <w:ind w:firstLine="480"/>
              <w:jc w:val="left"/>
            </w:pPr>
            <w:r>
              <w:rPr>
                <w:rFonts w:ascii="仿宋_GB2312" w:hAnsi="仿宋_GB2312" w:cs="仿宋_GB2312" w:eastAsia="仿宋_GB2312"/>
                <w:sz w:val="28"/>
                <w:color w:val="0A82E5"/>
                <w:u w:val="singl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sz w:val="28"/>
                <w:color w:val="0A82E5"/>
                <w:u w:val="single"/>
              </w:rPr>
              <w:t>3、如乙方因个人原因造成工期延误的，甲方有权追偿乙方的违约责任，违约金为万分之</w:t>
            </w:r>
            <w:r>
              <w:rPr>
                <w:rFonts w:ascii="仿宋_GB2312" w:hAnsi="仿宋_GB2312" w:cs="仿宋_GB2312" w:eastAsia="仿宋_GB2312"/>
                <w:sz w:val="28"/>
                <w:color w:val="0A82E5"/>
                <w:u w:val="single"/>
              </w:rPr>
              <w:t>五</w:t>
            </w:r>
            <w:r>
              <w:rPr>
                <w:rFonts w:ascii="仿宋_GB2312" w:hAnsi="仿宋_GB2312" w:cs="仿宋_GB2312" w:eastAsia="仿宋_GB2312"/>
                <w:sz w:val="28"/>
                <w:color w:val="0A82E5"/>
                <w:u w:val="single"/>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具有履行本项目所必需的专业设备和技术能力。</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自合同签订之日起至2026年12月15日止。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成果质量符合西安市自然资源和规划局的相关要求，并通过采购人组织的验收会。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进度款，建立城棚改遗留项目总台账。形成并完善一项目一策成果，履行市资源规划局审查程序后，达到付款条件起15个工作日内，支付合同总金额的40.0%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进度款，形成矢量数据并纳入一张图平台管控后，达到付款条件起15个工作日内，支付合同总金额的30.0%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违约责任：甲乙双方如违反本合同规定，应承担违约责任和相应的经济处罚。具体规定如下： 1、如果乙方未按国家或省、市有关技术标准、规程、规定完成任务，甲方有权要求乙方返工或解除合同，甲方解除合同的，乙方应向甲方支付合同总金额 万分之五的违约金。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3、如乙方因个人原因造成工期延误的，甲方有权追偿乙方的违约责任，违约金为万分之五。 解决争议的方法：履行本合同时发生的争议，双方应通过友好协商解决。协商不成时，可向西安市人民法院提起诉讼或向西安仲裁委员会按其仲裁规则申请仲裁，在仲裁或诉讼期间，本合同应继续履行。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投标人完整的全套财务报表（应当包括资产负债表、利润表、现金流量表、所有者权益变动表、附注），③可提供截至响应文件提交截止日前三个月内银行出具的资信证明，④投标人注册时间截至响应文件提交截止日不足一年的，也可提供在工商管理部门备案的公司章程。不得要求投标人提供证明财务报告中签字签章人或者第三方机构的身份证明、财务报告中数据信息真实性有效性的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投标人是法人或其他组织的应提供营业执照等证明文件，投标人是自然人的应提供有效的自然人身份证明（提供加盖单位公章附在投标文件中）</w:t>
            </w:r>
          </w:p>
        </w:tc>
        <w:tc>
          <w:tcPr>
            <w:tcW w:type="dxa" w:w="1661"/>
          </w:tcPr>
          <w:p>
            <w:pPr>
              <w:pStyle w:val="null3"/>
            </w:pPr>
            <w:r>
              <w:rPr>
                <w:rFonts w:ascii="仿宋_GB2312" w:hAnsi="仿宋_GB2312" w:cs="仿宋_GB2312" w:eastAsia="仿宋_GB2312"/>
              </w:rPr>
              <w:t>投标人资格证明材料.docx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一年内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投标人资格证明材料.docx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投标人资格证明材料.docx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履行合同所必需的设备和专业技术能力的承诺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投标人资格证明材料.docx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授权代表参加投标的，须出具法定代表人授权书及授权代表身份证、授权代表本单位证明（提供投标截止时间前近三个月内任意一个月的社保缴纳证明）（法定代表人直接参加投标，须提供法定代表人身份证明）；</w:t>
            </w:r>
          </w:p>
        </w:tc>
        <w:tc>
          <w:tcPr>
            <w:tcW w:type="dxa" w:w="1661"/>
          </w:tcPr>
          <w:p>
            <w:pPr>
              <w:pStyle w:val="null3"/>
            </w:pPr>
            <w:r>
              <w:rPr>
                <w:rFonts w:ascii="仿宋_GB2312" w:hAnsi="仿宋_GB2312" w:cs="仿宋_GB2312" w:eastAsia="仿宋_GB2312"/>
              </w:rPr>
              <w:t>投标人资格证明材料.docx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投标人需具有国家主管部门颁发的城乡规划（国土空间规划）编制乙级及以上资质（含乙级）；</w:t>
            </w:r>
          </w:p>
        </w:tc>
        <w:tc>
          <w:tcPr>
            <w:tcW w:type="dxa" w:w="1661"/>
          </w:tcPr>
          <w:p>
            <w:pPr>
              <w:pStyle w:val="null3"/>
            </w:pPr>
            <w:r>
              <w:rPr>
                <w:rFonts w:ascii="仿宋_GB2312" w:hAnsi="仿宋_GB2312" w:cs="仿宋_GB2312" w:eastAsia="仿宋_GB2312"/>
              </w:rPr>
              <w:t>投标人资格证明材料.docx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拟派项目负责人须具备注册城乡规划师执业资格，且须为投标单位在职人员（提供投标截止时间前近三个月内任意一个月的社保缴纳证明）；</w:t>
            </w:r>
          </w:p>
        </w:tc>
        <w:tc>
          <w:tcPr>
            <w:tcW w:type="dxa" w:w="1661"/>
          </w:tcPr>
          <w:p>
            <w:pPr>
              <w:pStyle w:val="null3"/>
            </w:pPr>
            <w:r>
              <w:rPr>
                <w:rFonts w:ascii="仿宋_GB2312" w:hAnsi="仿宋_GB2312" w:cs="仿宋_GB2312" w:eastAsia="仿宋_GB2312"/>
              </w:rPr>
              <w:t>投标人资格证明材料.docx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本项目不接受联合体投标，单位负责人为同一人或者存在直接控股、管理关系的不同投标人，不得参加同一合同项下的政府采购活动（提供书面声明）。</w:t>
            </w:r>
          </w:p>
        </w:tc>
        <w:tc>
          <w:tcPr>
            <w:tcW w:type="dxa" w:w="1661"/>
          </w:tcPr>
          <w:p>
            <w:pPr>
              <w:pStyle w:val="null3"/>
            </w:pPr>
            <w:r>
              <w:rPr>
                <w:rFonts w:ascii="仿宋_GB2312" w:hAnsi="仿宋_GB2312" w:cs="仿宋_GB2312" w:eastAsia="仿宋_GB2312"/>
              </w:rPr>
              <w:t>投标人资格证明材料.docx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投标文件签署及盖章</w:t>
            </w:r>
          </w:p>
        </w:tc>
        <w:tc>
          <w:tcPr>
            <w:tcW w:type="dxa" w:w="3322"/>
          </w:tcPr>
          <w:p>
            <w:pPr>
              <w:pStyle w:val="null3"/>
            </w:pPr>
            <w:r>
              <w:rPr>
                <w:rFonts w:ascii="仿宋_GB2312" w:hAnsi="仿宋_GB2312" w:cs="仿宋_GB2312" w:eastAsia="仿宋_GB2312"/>
              </w:rPr>
              <w:t>签字、盖章有效，字迹清晰可辨符合招标文件要求，且无遗漏。</w:t>
            </w:r>
          </w:p>
        </w:tc>
        <w:tc>
          <w:tcPr>
            <w:tcW w:type="dxa" w:w="1661"/>
          </w:tcPr>
          <w:p>
            <w:pPr>
              <w:pStyle w:val="null3"/>
            </w:pPr>
            <w:r>
              <w:rPr>
                <w:rFonts w:ascii="仿宋_GB2312" w:hAnsi="仿宋_GB2312" w:cs="仿宋_GB2312" w:eastAsia="仿宋_GB2312"/>
              </w:rPr>
              <w:t>开标一览表 技术方案.docx 中小企业声明函 商务应答表 服务内容及服务要求应答表 分项报价表.docx 投标人认为需要补充的其他材料.docx 投标函 投标人资格证明材料.docx 残疾人福利性单位声明函 标的清单 投标文件封面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技术方案.docx 中小企业声明函 商务应答表 服务内容及服务要求应答表 分项报价表.docx 投标人认为需要补充的其他材料.docx 投标函 投标人资格证明材料.docx 残疾人福利性单位声明函 标的清单 投标文件封面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完全理解并接受法律法规和招标文件对投标人合法经营的各类规约和责任义务要求，没有出现法律法规或招标文件规定的其他无效情形且不能有招标人不能接受的附加条件。</w:t>
            </w:r>
          </w:p>
        </w:tc>
        <w:tc>
          <w:tcPr>
            <w:tcW w:type="dxa" w:w="1661"/>
          </w:tcPr>
          <w:p>
            <w:pPr>
              <w:pStyle w:val="null3"/>
            </w:pPr>
            <w:r>
              <w:rPr>
                <w:rFonts w:ascii="仿宋_GB2312" w:hAnsi="仿宋_GB2312" w:cs="仿宋_GB2312" w:eastAsia="仿宋_GB2312"/>
              </w:rPr>
              <w:t>开标一览表 技术方案.docx 中小企业声明函 商务应答表 服务内容及服务要求应答表 分项报价表.docx 投标人认为需要补充的其他材料.docx 投标函 投标人资格证明材料.docx 残疾人福利性单位声明函 标的清单 投标文件封面 监狱企业的证明文件 采购供应商拒绝政府采购领域商业贿赂承诺书.docx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项目背景及服务内容分析</w:t>
            </w:r>
          </w:p>
        </w:tc>
        <w:tc>
          <w:tcPr>
            <w:tcW w:type="dxa" w:w="2492"/>
          </w:tcPr>
          <w:p>
            <w:pPr>
              <w:pStyle w:val="null3"/>
            </w:pPr>
            <w:r>
              <w:rPr>
                <w:rFonts w:ascii="仿宋_GB2312" w:hAnsi="仿宋_GB2312" w:cs="仿宋_GB2312" w:eastAsia="仿宋_GB2312"/>
              </w:rPr>
              <w:t>内容至少包括①项目背景及相关政策解读；②服务内容分析及目标③专业资料搜集与整理。评审标准：1、完整性：内容全面，对评审内容中的各项要求有详细描述。2、针对性：内容能够紧扣项目实际情况，内容科学合理。3、可实施性：切合本项目实际情况，提出步骤清晰、合理的内容。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建立城棚改遗留项目总台账;②编制“一项目一策”实施方案；③建立城棚改遗留项目数据库。评审标准：1、完整性：内容全面，对评审内容中的各项要求有详细描述。2、针对性：内容能够紧扣项目实际情况，内容科学合理。3、可实施性：切合本项目实际情况，提出步骤清晰、合理的内容。每完全满足一个评审标准得2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安全、保密管 理方案及承诺</w:t>
            </w:r>
          </w:p>
        </w:tc>
        <w:tc>
          <w:tcPr>
            <w:tcW w:type="dxa" w:w="2492"/>
          </w:tcPr>
          <w:p>
            <w:pPr>
              <w:pStyle w:val="null3"/>
            </w:pPr>
            <w:r>
              <w:rPr>
                <w:rFonts w:ascii="仿宋_GB2312" w:hAnsi="仿宋_GB2312" w:cs="仿宋_GB2312" w:eastAsia="仿宋_GB2312"/>
              </w:rPr>
              <w:t>内容包括①安全管理方案及承诺，得3分，未提供以上内容不得分；②保密管理方案及承诺，得3分，未提供以上内容不得分。 每项内容需详细、具体，可行性强，满足采购需求，未满足不得分。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内容包括①设备种类及设备数量满足项目需要，得3分，未提供以上内容不得分；②设备投入使用及管理计划，得3分，未提供以上内容不得分。 每项内容需详细、具体，可行性强，满足采购需求，未满足不得分。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内容至少包括①提供合理的工作计划及时间节点；②具体工作进度的保障措施及突发状况的应急预案。评审标准：1、完整性：内容全面，对评审内容中的各项要求有详细描述。2、针对性：内容能够紧扣项目实际情况，内容科学合理。3、可实施性：切合本项目实际情况，提出步骤清晰、合理的内容。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同时具有国土规划类相关专业高级职称的得3分，中级职称的得1分，不满足的不得分。（需提供身份证、毕业证、职称证等复印件或扫描件，且提供近三个月本单位社保缴纳证明）；2.项目负责人自注册批准之日起注册城乡规划师执业年限满5年及以上的得3分，执业年限满3年、不足5年的得1分，执业年限不满3年的不得分。（拟派项目负责人注册执业单位与投标单位一致，且提供近三个月内任意一个月本单位社保缴纳证明。依法不需要缴纳社会保障资金的，应当提供相应证明文件，否则不得分。仅提供证书、无社保及不需要缴纳社保证明材料的或注册单位不符的，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拟配备团队人员</w:t>
            </w:r>
          </w:p>
        </w:tc>
        <w:tc>
          <w:tcPr>
            <w:tcW w:type="dxa" w:w="2492"/>
          </w:tcPr>
          <w:p>
            <w:pPr>
              <w:pStyle w:val="null3"/>
            </w:pPr>
            <w:r>
              <w:rPr>
                <w:rFonts w:ascii="仿宋_GB2312" w:hAnsi="仿宋_GB2312" w:cs="仿宋_GB2312" w:eastAsia="仿宋_GB2312"/>
              </w:rPr>
              <w:t>项目组人员配置及分工合理，拟派本项目组人员中（不含项目负责人）具有国土规划类相关专业高级（及以上）职称且具有注册规划师资格的，每提供一个得2分，仅具有国土规划类相关专业高级（及以上）职称的，每提供一个得1分，共8分；具有土地、规划、地理信息等专业中级及以上工程师职称的，每提供1个得1分，共9分；满分15分。（所有人员分值累加，同一人不得重复计分。 需提供身份证、毕业证、职称证等复印件或扫描件，且提供近三个月内任意一个月本单位社保缴纳证明，依法不需要缴纳社会保障资金的，应当提供相应证明文件，否则不得分。）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内容至少包括①工作标准：具有岗位工作标准、服务质量准；②内控制度：问责机制、监督机制、自查机制。评审标准：1、完整性：内容全面，对评审内容中的各项要求有详细描述。2、针对性：内容能够紧扣项目实际情况，内容科学合理。3、可实施性：切合本项目实际情况，提出步骤清晰、合理的内容。每完全满足一个评审标准得0.5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内容至少包括①服务质量目标分析；②针对本项目质量管理制度及内部管控流程。评审标准：1、完整性：内容全面，对评审内容中的各项要求有详细描述。2、针对性：内容能够紧扣项目实际情况，内容科学合理。3、可实施性：切合本项目实际情况，提出步骤清晰、合理的内容。每完全满足一个评审标准得0.5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承诺对于一般技术问题能当时解决、对于重要技术问题和关键性技术问题能及时给予解决，能提供现场技术咨询服务等内容，得2分，无承诺不得分；②廉洁从业的承诺，得2分，无承诺不得分；③未能完全履行承诺时的相关处罚承诺等，得2分，无承诺不得分。 每项承诺需详细、具体，可行性强，未满足不得分。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投标截止之日前三年内，已完成的城棚改项目用地研究或规划设计等同类业绩。每提供一份得1分，满分10分，未提供不得分。业绩证明（以合同或中标通知书为准，须在投标文件中附合同或中标通知书的扫描件或复印件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满足采购文件内容及技术要求且投标总报价最低的投标价为评标基准价，其价格分为满分。投标报价得分=（评标基准价／投标报价）×10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详见附件：采购供应商拒绝政府采购领域商业贿赂承诺书.docx</w:t>
      </w:r>
    </w:p>
    <w:p>
      <w:pPr>
        <w:pStyle w:val="null3"/>
        <w:ind w:firstLine="960"/>
      </w:pPr>
      <w:r>
        <w:rPr>
          <w:rFonts w:ascii="仿宋_GB2312" w:hAnsi="仿宋_GB2312" w:cs="仿宋_GB2312" w:eastAsia="仿宋_GB2312"/>
        </w:rPr>
        <w:t>详见附件：投标人资格证明材料.docx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详见附件：投标人认为需要补充的其他材料.docx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