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版本号：SCZE2026-CS-1938-00120260709001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高中扩容操场提升改造工程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SCZE2026-CS-1938-001</w:t>
      </w:r>
      <w:r>
        <w:br/>
      </w:r>
      <w:r>
        <w:br/>
      </w:r>
      <w:r>
        <w:br/>
      </w:r>
    </w:p>
    <w:p>
      <w:pPr>
        <w:pStyle w:val="null3"/>
        <w:jc w:val="center"/>
        <w:outlineLvl w:val="2"/>
      </w:pPr>
      <w:r>
        <w:rPr>
          <w:rFonts w:ascii="仿宋_GB2312" w:hAnsi="仿宋_GB2312" w:cs="仿宋_GB2312" w:eastAsia="仿宋_GB2312"/>
          <w:sz w:val="28"/>
          <w:b/>
        </w:rPr>
        <w:t>西安市第七十一中学</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西安市第七十一中学</w:t>
      </w:r>
      <w:r>
        <w:rPr>
          <w:rFonts w:ascii="仿宋_GB2312" w:hAnsi="仿宋_GB2312" w:cs="仿宋_GB2312" w:eastAsia="仿宋_GB2312"/>
        </w:rPr>
        <w:t>委托，拟对</w:t>
      </w:r>
      <w:r>
        <w:rPr>
          <w:rFonts w:ascii="仿宋_GB2312" w:hAnsi="仿宋_GB2312" w:cs="仿宋_GB2312" w:eastAsia="仿宋_GB2312"/>
        </w:rPr>
        <w:t>高中扩容操场提升改造工程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SCZE2026-CS-1938-001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高中扩容操场提升改造工程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本项目为高中扩容操场提升改造工程，本次改造内容包括施工图纸室外装饰装修工程、电气工程、给排水工程等，具体工作内容详见采购文件、图纸及工程量清单。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采购包1（高中扩容操场提升改造工程）：属于专门面向中小企业采购。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或法人身份证明：法定代表人或单位负责人参加磋商的，应提供法定代表人或单位负责人身份证明；授权代表参加磋商的，应提供法定代表人或单位负责人身份证明、授权委托书及授权代表在本单位缴纳养老保险证明。</w:t>
      </w:r>
    </w:p>
    <w:p>
      <w:pPr>
        <w:pStyle w:val="null3"/>
      </w:pPr>
      <w:r>
        <w:rPr>
          <w:rFonts w:ascii="仿宋_GB2312" w:hAnsi="仿宋_GB2312" w:cs="仿宋_GB2312" w:eastAsia="仿宋_GB2312"/>
        </w:rPr>
        <w:t>2、“信用中国”网站和中国政府采购网（www.ccgp.gov.cn）查询记录：供应商未被列入“信用中国”网站(www.creditchina.gov.cn)“失信被执行人或重大税收违法失信主体”记录名单； 不处于中国政府采购网(www.ccgp.gov.cn)“政府采购严重违法失信行为信息记录”中。 （以代理机构于开启响应文件当天进行资格审查时在“信用中国”网站（www.creditchina.gov.cn）及中国政府采购网(www.ccgp.gov.cn)查询结果为准）。</w:t>
      </w:r>
    </w:p>
    <w:p>
      <w:pPr>
        <w:pStyle w:val="null3"/>
      </w:pPr>
      <w:r>
        <w:rPr>
          <w:rFonts w:ascii="仿宋_GB2312" w:hAnsi="仿宋_GB2312" w:cs="仿宋_GB2312" w:eastAsia="仿宋_GB2312"/>
        </w:rPr>
        <w:t>3、企业资质：具备建筑工程施工总承包三级及以上资质及有效的安全生产许可证；附资质证书的复印件或扫描件。</w:t>
      </w:r>
    </w:p>
    <w:p>
      <w:pPr>
        <w:pStyle w:val="null3"/>
      </w:pPr>
      <w:r>
        <w:rPr>
          <w:rFonts w:ascii="仿宋_GB2312" w:hAnsi="仿宋_GB2312" w:cs="仿宋_GB2312" w:eastAsia="仿宋_GB2312"/>
        </w:rPr>
        <w:t>4、拟派项目经理：具有建筑工程专业注册二级及以上建造师资格及有效的安全生产考核合格证（建安B证），在本单位注册且未担任其他在建工程项目的项目经理；附证件的复印件或扫描件。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西安市第七十一中学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西安市碑林区友谊东路369号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李媛（主任）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029-85426377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陕西省西安市高新区唐延南路都市之门C座9层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李江西、马超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029-88490543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西安市碑林区政府采购管理股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郝天峰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代理服务费收费标准：成交服务费参照《国家计委关于印发&lt;招标代理服务收费管理暂行办法&gt;的通知》（计价格[2002]1980号）标准收取，不足8000.00元的，按8000.00元计取。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西安市第七十一中学</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西安市第七十一中学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西安市第七十一中学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地址：陕西省西安市高新区唐延南路都市之门C座9层</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2,240,000.00</w:t>
      </w:r>
    </w:p>
    <w:p>
      <w:pPr>
        <w:pStyle w:val="null3"/>
      </w:pPr>
      <w:r>
        <w:rPr>
          <w:rFonts w:ascii="仿宋_GB2312" w:hAnsi="仿宋_GB2312" w:cs="仿宋_GB2312" w:eastAsia="仿宋_GB2312"/>
        </w:rPr>
        <w:t>采购包最高限价（元）: 2,086,079.23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西安市第七十一中学高中扩容操场提升改造工程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2,240,000.00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标的名称：西安市第七十一中学高中扩容操场提升改造工程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（1）工程内容：本次改造内容包括施工图纸室外装饰装修工程、电气工程、给排水工程等，具体工作内容详见采购文件、图纸及工程量清单。</w:t>
            </w:r>
          </w:p>
          <w:p>
            <w:pPr>
              <w:pStyle w:val="null3"/>
            </w:pPr>
            <w:r>
              <w:rPr>
                <w:rFonts w:ascii="仿宋_GB2312" w:hAnsi="仿宋_GB2312" w:cs="仿宋_GB2312" w:eastAsia="仿宋_GB2312"/>
              </w:rPr>
              <w:t>（2）工期：自进场之日起60个日历日内竣工。</w:t>
            </w:r>
          </w:p>
          <w:p>
            <w:pPr>
              <w:pStyle w:val="null3"/>
            </w:pPr>
            <w:r>
              <w:rPr>
                <w:rFonts w:ascii="仿宋_GB2312" w:hAnsi="仿宋_GB2312" w:cs="仿宋_GB2312" w:eastAsia="仿宋_GB2312"/>
              </w:rPr>
              <w:t>（3）项目地点:陕西省西安市碑林区。</w:t>
            </w:r>
          </w:p>
          <w:p>
            <w:pPr>
              <w:pStyle w:val="null3"/>
            </w:pPr>
            <w:r>
              <w:rPr>
                <w:rFonts w:ascii="仿宋_GB2312" w:hAnsi="仿宋_GB2312" w:cs="仿宋_GB2312" w:eastAsia="仿宋_GB2312"/>
              </w:rPr>
              <w:t>（4）质保期：自工程竣工验收合格之日起2年，分部分项工程质量保修期按《建设工程质量管理条例》及国家有关规定执行。（5）质量要求：符合国家现行有关施工质量验收规范要求“合格”标准。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按格式要求填写《响应函》及《资格证明文件》并按要求进行签章。</w:t>
            </w:r>
          </w:p>
        </w:tc>
        <w:tc>
          <w:tcPr>
            <w:tcW w:type="dxa" w:w="1661"/>
          </w:tcPr>
          <w:p>
            <w:pPr>
              <w:pStyle w:val="null3"/>
            </w:pPr>
            <w:r>
              <w:rPr>
                <w:rFonts w:ascii="仿宋_GB2312" w:hAnsi="仿宋_GB2312" w:cs="仿宋_GB2312" w:eastAsia="仿宋_GB2312"/>
              </w:rPr>
              <w:t>响应函 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按格式要求填写《响应函》及《资格证明文件》并按要求进行签章。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按格式要求填写《响应函》及《资格证明文件》并按要求进行签章。</w:t>
            </w:r>
          </w:p>
        </w:tc>
        <w:tc>
          <w:tcPr>
            <w:tcW w:type="dxa" w:w="1661"/>
          </w:tcPr>
          <w:p>
            <w:pPr>
              <w:pStyle w:val="null3"/>
            </w:pPr>
            <w:r>
              <w:rPr>
                <w:rFonts w:ascii="仿宋_GB2312" w:hAnsi="仿宋_GB2312" w:cs="仿宋_GB2312" w:eastAsia="仿宋_GB2312"/>
              </w:rPr>
              <w:t>响应函 资格证明文件.pdf</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授权委托书或法人身份证明</w:t>
            </w:r>
          </w:p>
        </w:tc>
        <w:tc>
          <w:tcPr>
            <w:tcW w:type="dxa" w:w="3322"/>
          </w:tcPr>
          <w:p>
            <w:pPr>
              <w:pStyle w:val="null3"/>
            </w:pPr>
            <w:r>
              <w:rPr>
                <w:rFonts w:ascii="仿宋_GB2312" w:hAnsi="仿宋_GB2312" w:cs="仿宋_GB2312" w:eastAsia="仿宋_GB2312"/>
              </w:rPr>
              <w:t>法定代表人或单位负责人参加磋商的，应提供法定代表人或单位负责人身份证明；授权代表参加磋商的，应提供法定代表人或单位负责人身份证明、授权委托书及授权代表在本单位缴纳养老保险证明。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“信用中国”网站和中国政府采购网（www.ccgp.gov.cn）查询记录</w:t>
            </w:r>
          </w:p>
        </w:tc>
        <w:tc>
          <w:tcPr>
            <w:tcW w:type="dxa" w:w="3322"/>
          </w:tcPr>
          <w:p>
            <w:pPr>
              <w:pStyle w:val="null3"/>
            </w:pPr>
            <w:r>
              <w:rPr>
                <w:rFonts w:ascii="仿宋_GB2312" w:hAnsi="仿宋_GB2312" w:cs="仿宋_GB2312" w:eastAsia="仿宋_GB2312"/>
              </w:rPr>
              <w:t>供应商未被列入“信用中国”网站(www.creditchina.gov.cn)“失信被执行人或重大税收违法失信主体”记录名单； 不处于中国政府采购网(www.ccgp.gov.cn)“政府采购严重违法失信行为信息记录”中。 （以代理机构于开启响应文件当天进行资格审查时在“信用中国”网站（www.creditchina.gov.cn）及中国政府采购网(www.ccgp.gov.cn)查询结果为准）。</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具备建筑工程施工总承包三级及以上资质及有效的安全生产许可证；附资质证书的复印件或扫描件。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具有建筑工程专业注册二级及以上建造师资格及有效的安全生产考核合格证（建安B证），在本单位注册且未担任其他在建工程项目的项目经理；附证件的复印件或扫描件。</w:t>
            </w:r>
          </w:p>
        </w:tc>
        <w:tc>
          <w:tcPr>
            <w:tcW w:type="dxa" w:w="1661"/>
          </w:tcPr>
          <w:p>
            <w:pPr>
              <w:pStyle w:val="null3"/>
            </w:pPr>
            <w:r>
              <w:rPr>
                <w:rFonts w:ascii="仿宋_GB2312" w:hAnsi="仿宋_GB2312" w:cs="仿宋_GB2312" w:eastAsia="仿宋_GB2312"/>
              </w:rPr>
              <w:t>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响应文件封面 分项报价表（工程）.pdf 响应方案说明.pdf 拒绝政府采购领域商业贿赂承诺书.pdf 中小企业声明函 残疾人福利性单位声明函 报价函 标的清单 偏离表.pdf 响应函 资格证明文件.pdf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按磋商文件格式要求加盖了供应商公章和有法定代表人或其委托代理人签字或盖章。</w:t>
            </w:r>
          </w:p>
        </w:tc>
        <w:tc>
          <w:tcPr>
            <w:tcW w:type="dxa" w:w="1661"/>
          </w:tcPr>
          <w:p>
            <w:pPr>
              <w:pStyle w:val="null3"/>
            </w:pPr>
            <w:r>
              <w:rPr>
                <w:rFonts w:ascii="仿宋_GB2312" w:hAnsi="仿宋_GB2312" w:cs="仿宋_GB2312" w:eastAsia="仿宋_GB2312"/>
              </w:rPr>
              <w:t>响应文件封面 分项报价表（工程）.pdf 响应方案说明.pdf 拒绝政府采购领域商业贿赂承诺书.pdf 中小企业声明函 报价函 标的清单 偏离表.pdf 响应函 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内容无重大缺漏项，报价唯一，且没有超过采购预算及最高限价。</w:t>
            </w:r>
          </w:p>
        </w:tc>
        <w:tc>
          <w:tcPr>
            <w:tcW w:type="dxa" w:w="1661"/>
          </w:tcPr>
          <w:p>
            <w:pPr>
              <w:pStyle w:val="null3"/>
            </w:pPr>
            <w:r>
              <w:rPr>
                <w:rFonts w:ascii="仿宋_GB2312" w:hAnsi="仿宋_GB2312" w:cs="仿宋_GB2312" w:eastAsia="仿宋_GB2312"/>
              </w:rPr>
              <w:t>分项报价表（工程）.pdf 最终报价表.pdf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分项报价表（工程）.pdf 响应方案说明.pdf 拒绝政府采购领域商业贿赂承诺书.pdf 中小企业声明函 报价函 标的清单 偏离表.pdf 响应函 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符合“采购需求”要求，无重大偏差</w:t>
            </w:r>
          </w:p>
        </w:tc>
        <w:tc>
          <w:tcPr>
            <w:tcW w:type="dxa" w:w="1661"/>
          </w:tcPr>
          <w:p>
            <w:pPr>
              <w:pStyle w:val="null3"/>
            </w:pPr>
            <w:r>
              <w:rPr>
                <w:rFonts w:ascii="仿宋_GB2312" w:hAnsi="仿宋_GB2312" w:cs="仿宋_GB2312" w:eastAsia="仿宋_GB2312"/>
              </w:rPr>
              <w:t>响应文件封面 分项报价表（工程）.pdf 响应方案说明.pdf 拒绝政府采购领域商业贿赂承诺书.pdf 中小企业声明函 报价函 标的清单 偏离表.pdf 响应函 资格证明文件.pdf</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总体施工组织布置及规划</w:t>
            </w:r>
          </w:p>
        </w:tc>
        <w:tc>
          <w:tcPr>
            <w:tcW w:type="dxa" w:w="2492"/>
          </w:tcPr>
          <w:p>
            <w:pPr>
              <w:pStyle w:val="null3"/>
            </w:pPr>
            <w:r>
              <w:rPr>
                <w:rFonts w:ascii="仿宋_GB2312" w:hAnsi="仿宋_GB2312" w:cs="仿宋_GB2312" w:eastAsia="仿宋_GB2312"/>
              </w:rPr>
              <w:t>针对本项目提供科学、可行、合理的总体施工组织布置及规划，满足采购人需求。 1.总体施工组织布置及规划内容详尽，全面、具体、可行、科学合理，得10分； 2.总体施工组织布置及规划内容较详尽，比较全面、可行，得8分； 3.总体施工组织布置及规划没有明显缺漏，相对全面，得6分； 4.总体施工组织布置及规划基本全面，有一定合理性，得4分； 5.总体施工组织布置及规划简单，合理性差的得2分； 6.不满足项目要求或未提供不计分。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响应方案说明.pdf</w:t>
            </w:r>
          </w:p>
        </w:tc>
      </w:tr>
      <w:tr>
        <w:tc>
          <w:tcPr>
            <w:tcW w:type="dxa" w:w="831"/>
            <w:vMerge/>
          </w:tcPr>
          <w:p/>
        </w:tc>
        <w:tc>
          <w:tcPr>
            <w:tcW w:type="dxa" w:w="1661"/>
          </w:tcPr>
          <w:p>
            <w:pPr>
              <w:pStyle w:val="null3"/>
            </w:pPr>
            <w:r>
              <w:rPr>
                <w:rFonts w:ascii="仿宋_GB2312" w:hAnsi="仿宋_GB2312" w:cs="仿宋_GB2312" w:eastAsia="仿宋_GB2312"/>
              </w:rPr>
              <w:t>施工方案、方法与技术措施</w:t>
            </w:r>
          </w:p>
        </w:tc>
        <w:tc>
          <w:tcPr>
            <w:tcW w:type="dxa" w:w="2492"/>
          </w:tcPr>
          <w:p>
            <w:pPr>
              <w:pStyle w:val="null3"/>
            </w:pPr>
            <w:r>
              <w:rPr>
                <w:rFonts w:ascii="仿宋_GB2312" w:hAnsi="仿宋_GB2312" w:cs="仿宋_GB2312" w:eastAsia="仿宋_GB2312"/>
              </w:rPr>
              <w:t>针对本项目提供科学、可行、合理的施工方案、方法与技术措施，满足采购人需求。 1.施工方案、方法与技术措施全面、具体、可行、科学合理，得6分； 2.施工方案、方法与技术措施比较全面、具体、可行，得3分； 3.施工方案、方法与技术措施简单，有一定的合理性得1分； 4.不满足项目要求或未提供不计分。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响应方案说明.pdf</w:t>
            </w:r>
          </w:p>
        </w:tc>
      </w:tr>
      <w:tr>
        <w:tc>
          <w:tcPr>
            <w:tcW w:type="dxa" w:w="831"/>
            <w:vMerge/>
          </w:tcPr>
          <w:p/>
        </w:tc>
        <w:tc>
          <w:tcPr>
            <w:tcW w:type="dxa" w:w="1661"/>
          </w:tcPr>
          <w:p>
            <w:pPr>
              <w:pStyle w:val="null3"/>
            </w:pPr>
            <w:r>
              <w:rPr>
                <w:rFonts w:ascii="仿宋_GB2312" w:hAnsi="仿宋_GB2312" w:cs="仿宋_GB2312" w:eastAsia="仿宋_GB2312"/>
              </w:rPr>
              <w:t>质量保证体系及措施</w:t>
            </w:r>
          </w:p>
        </w:tc>
        <w:tc>
          <w:tcPr>
            <w:tcW w:type="dxa" w:w="2492"/>
          </w:tcPr>
          <w:p>
            <w:pPr>
              <w:pStyle w:val="null3"/>
            </w:pPr>
            <w:r>
              <w:rPr>
                <w:rFonts w:ascii="仿宋_GB2312" w:hAnsi="仿宋_GB2312" w:cs="仿宋_GB2312" w:eastAsia="仿宋_GB2312"/>
              </w:rPr>
              <w:t>针对本项目提供的项目质量保证体系及措施科学、合理、可行，满足采购人需求。 1.质量保证体系及措施科学、合理、可行得5分； 2.质量保证体系及措施内容较完善，有一定的科学性、可行性得3分； 3.质量保证体系及措施内容简单，可行性差得1分； 4.不满足项目要求或未提供不计分。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响应方案说明.pdf</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针对本项目提供的项目安全保证措施科学、合理、可行，满足采购人需求。 1.安全保证措施科学、合理、可行得5分； 2.安全保证措施内容较完善，有一定的科学性、可行性得3分； 3.安全保证措施内容简单，可行性差得1分； 4.不满足项目要求或未提供不计分。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响应方案说明.pdf</w:t>
            </w:r>
          </w:p>
        </w:tc>
      </w:tr>
      <w:tr>
        <w:tc>
          <w:tcPr>
            <w:tcW w:type="dxa" w:w="831"/>
            <w:vMerge/>
          </w:tcPr>
          <w:p/>
        </w:tc>
        <w:tc>
          <w:tcPr>
            <w:tcW w:type="dxa" w:w="1661"/>
          </w:tcPr>
          <w:p>
            <w:pPr>
              <w:pStyle w:val="null3"/>
            </w:pPr>
            <w:r>
              <w:rPr>
                <w:rFonts w:ascii="仿宋_GB2312" w:hAnsi="仿宋_GB2312" w:cs="仿宋_GB2312" w:eastAsia="仿宋_GB2312"/>
              </w:rPr>
              <w:t>项目进度计划和工期目标</w:t>
            </w:r>
          </w:p>
        </w:tc>
        <w:tc>
          <w:tcPr>
            <w:tcW w:type="dxa" w:w="2492"/>
          </w:tcPr>
          <w:p>
            <w:pPr>
              <w:pStyle w:val="null3"/>
            </w:pPr>
            <w:r>
              <w:rPr>
                <w:rFonts w:ascii="仿宋_GB2312" w:hAnsi="仿宋_GB2312" w:cs="仿宋_GB2312" w:eastAsia="仿宋_GB2312"/>
              </w:rPr>
              <w:t>针对本项目提供的项目进度计划和工期目标，项目进度计划和工期目标科学、合理、可行，满足采购人需求。 1.项目进度计划和工期目标科学、合理、可行得6分； 2.项目进度计划和工期安排内容较完善，有一定的科学性、可行性得3分； 3.项目进度计划和工期内容简单，可行性差得1分； 4.不满足项目要求或未提供不计分。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响应方案说明.pdf</w:t>
            </w:r>
          </w:p>
        </w:tc>
      </w:tr>
      <w:tr>
        <w:tc>
          <w:tcPr>
            <w:tcW w:type="dxa" w:w="831"/>
            <w:vMerge/>
          </w:tcPr>
          <w:p/>
        </w:tc>
        <w:tc>
          <w:tcPr>
            <w:tcW w:type="dxa" w:w="1661"/>
          </w:tcPr>
          <w:p>
            <w:pPr>
              <w:pStyle w:val="null3"/>
            </w:pPr>
            <w:r>
              <w:rPr>
                <w:rFonts w:ascii="仿宋_GB2312" w:hAnsi="仿宋_GB2312" w:cs="仿宋_GB2312" w:eastAsia="仿宋_GB2312"/>
              </w:rPr>
              <w:t>项目风险预测与防范，事故应急预案。</w:t>
            </w:r>
          </w:p>
        </w:tc>
        <w:tc>
          <w:tcPr>
            <w:tcW w:type="dxa" w:w="2492"/>
          </w:tcPr>
          <w:p>
            <w:pPr>
              <w:pStyle w:val="null3"/>
            </w:pPr>
            <w:r>
              <w:rPr>
                <w:rFonts w:ascii="仿宋_GB2312" w:hAnsi="仿宋_GB2312" w:cs="仿宋_GB2312" w:eastAsia="仿宋_GB2312"/>
              </w:rPr>
              <w:t>项目风险预测与防范，事故应急预案。 1.项目风险预测与防范，事故应急预案科学、合理、可行得5分； 2.项目风险预测与防范，事故应急预案内容较完善，有一定的科学性、可行性得3分； 3.项目风险预测与防范，事故应急预案内容简单，可行性差得1分； 4.不满足项目要求或未提供不计分。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响应方案说明.pdf</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1.拟投入本项目人员数量充足，专业人员配置齐全、针对性强、分工明确，能够满足采购人项目需求的得5分； 2.人员配备数量一般，专业人员配备能够基本满足项目实施需要，分工有一定的合理性，基本能满足项目需求的得3分； 3.人员配备数量较少，专业人员配备不齐全的得1分； 4.不满足项目要求或未提供不计分。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响应方案说明.pdf</w:t>
            </w:r>
          </w:p>
        </w:tc>
      </w:tr>
      <w:tr>
        <w:tc>
          <w:tcPr>
            <w:tcW w:type="dxa" w:w="831"/>
            <w:vMerge/>
          </w:tcPr>
          <w:p/>
        </w:tc>
        <w:tc>
          <w:tcPr>
            <w:tcW w:type="dxa" w:w="1661"/>
          </w:tcPr>
          <w:p>
            <w:pPr>
              <w:pStyle w:val="null3"/>
            </w:pPr>
            <w:r>
              <w:rPr>
                <w:rFonts w:ascii="仿宋_GB2312" w:hAnsi="仿宋_GB2312" w:cs="仿宋_GB2312" w:eastAsia="仿宋_GB2312"/>
              </w:rPr>
              <w:t>拟投入本项目主要机具、设备和劳动力配置情况</w:t>
            </w:r>
          </w:p>
        </w:tc>
        <w:tc>
          <w:tcPr>
            <w:tcW w:type="dxa" w:w="2492"/>
          </w:tcPr>
          <w:p>
            <w:pPr>
              <w:pStyle w:val="null3"/>
            </w:pPr>
            <w:r>
              <w:rPr>
                <w:rFonts w:ascii="仿宋_GB2312" w:hAnsi="仿宋_GB2312" w:cs="仿宋_GB2312" w:eastAsia="仿宋_GB2312"/>
              </w:rPr>
              <w:t>拟投入本项目主要机具、设备和劳动力配置情况，磋商小组可根据拟投入本项目设备情况自主打分。 1.拟投入的主要机具、设备和劳动力充分、能满足项目需要得6分； 2.拟投入的主要机具、设备和劳动力较充分、基本满足项目需要得3分； 3.拟投入的主要机具、设备和劳动力有缺漏、配备不齐全得1分； 4.不满足项目要求或未提供不计分。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响应方案说明.pdf</w:t>
            </w:r>
          </w:p>
        </w:tc>
      </w:tr>
      <w:tr>
        <w:tc>
          <w:tcPr>
            <w:tcW w:type="dxa" w:w="831"/>
            <w:vMerge/>
          </w:tcPr>
          <w:p/>
        </w:tc>
        <w:tc>
          <w:tcPr>
            <w:tcW w:type="dxa" w:w="1661"/>
          </w:tcPr>
          <w:p>
            <w:pPr>
              <w:pStyle w:val="null3"/>
            </w:pPr>
            <w:r>
              <w:rPr>
                <w:rFonts w:ascii="仿宋_GB2312" w:hAnsi="仿宋_GB2312" w:cs="仿宋_GB2312" w:eastAsia="仿宋_GB2312"/>
              </w:rPr>
              <w:t>企业业绩证明</w:t>
            </w:r>
          </w:p>
        </w:tc>
        <w:tc>
          <w:tcPr>
            <w:tcW w:type="dxa" w:w="2492"/>
          </w:tcPr>
          <w:p>
            <w:pPr>
              <w:pStyle w:val="null3"/>
            </w:pPr>
            <w:r>
              <w:rPr>
                <w:rFonts w:ascii="仿宋_GB2312" w:hAnsi="仿宋_GB2312" w:cs="仿宋_GB2312" w:eastAsia="仿宋_GB2312"/>
              </w:rPr>
              <w:t>2023年1月1日以来承接过类似项目的合同证明（以合同的签订日期为准）（每提供一个得2.5分，满分5分）（合同内容须清晰可辨认，无涂改，否则视为无效合同）</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响应方案说明.pdf</w:t>
            </w:r>
          </w:p>
        </w:tc>
      </w:tr>
      <w:tr>
        <w:tc>
          <w:tcPr>
            <w:tcW w:type="dxa" w:w="831"/>
            <w:vMerge/>
          </w:tcPr>
          <w:p/>
        </w:tc>
        <w:tc>
          <w:tcPr>
            <w:tcW w:type="dxa" w:w="1661"/>
          </w:tcPr>
          <w:p>
            <w:pPr>
              <w:pStyle w:val="null3"/>
            </w:pPr>
            <w:r>
              <w:rPr>
                <w:rFonts w:ascii="仿宋_GB2312" w:hAnsi="仿宋_GB2312" w:cs="仿宋_GB2312" w:eastAsia="仿宋_GB2312"/>
              </w:rPr>
              <w:t>拟派项目负责人业绩证明</w:t>
            </w:r>
          </w:p>
        </w:tc>
        <w:tc>
          <w:tcPr>
            <w:tcW w:type="dxa" w:w="2492"/>
          </w:tcPr>
          <w:p>
            <w:pPr>
              <w:pStyle w:val="null3"/>
            </w:pPr>
            <w:r>
              <w:rPr>
                <w:rFonts w:ascii="仿宋_GB2312" w:hAnsi="仿宋_GB2312" w:cs="仿宋_GB2312" w:eastAsia="仿宋_GB2312"/>
              </w:rPr>
              <w:t>拟派项目负责人需提供2023年1月1日以来承接过类似项目（以合同的签订日期为准）（每提供一个得5分，满分5分）（合同需包含项目负责人/项目经理姓名，合同内容须清晰可辨认，无涂改，否则视为无效合同）</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响应方案说明.pdf</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质量保修承诺： 1.完整、科学、合理、可行得7分； 2.质量保修承诺较完整、较科学、较可行得4分； 3.质量保修承诺简单得1分； 4.不满足项目要求或未提供不计分。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根据采购人意见及时调整人员及服务方案的承诺： 1.承诺具体、详细、可行得5分； 2.承诺较具体、内容较全面、较可行得3分； 3.承诺内容简单、可行性较差的得1分； 4.不满足项目要求或未提供不计分。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分项报价表（工程）.pdf</w:t>
            </w:r>
          </w:p>
          <w:p>
            <w:pPr>
              <w:pStyle w:val="null3"/>
            </w:pPr>
            <w:r>
              <w:rPr>
                <w:rFonts w:ascii="仿宋_GB2312" w:hAnsi="仿宋_GB2312" w:cs="仿宋_GB2312" w:eastAsia="仿宋_GB2312"/>
              </w:rPr>
              <w:t>最终报价表.pdf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分项报价表（工程）.pdf</w:t>
            </w:r>
          </w:p>
          <w:p>
            <w:pPr>
              <w:pStyle w:val="null3"/>
            </w:pPr>
            <w:r>
              <w:rPr>
                <w:rFonts w:ascii="仿宋_GB2312" w:hAnsi="仿宋_GB2312" w:cs="仿宋_GB2312" w:eastAsia="仿宋_GB2312"/>
              </w:rPr>
              <w:t>最终报价表.pdf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详见附件：分项报价表（工程）.pdf</w:t>
      </w:r>
    </w:p>
    <w:p>
      <w:pPr>
        <w:pStyle w:val="null3"/>
        <w:ind w:firstLine="960"/>
      </w:pPr>
      <w:r>
        <w:rPr>
          <w:rFonts w:ascii="仿宋_GB2312" w:hAnsi="仿宋_GB2312" w:cs="仿宋_GB2312" w:eastAsia="仿宋_GB2312"/>
        </w:rPr>
        <w:t>详见附件：拒绝政府采购领域商业贿赂承诺书.pdf</w:t>
      </w:r>
    </w:p>
    <w:p>
      <w:pPr>
        <w:pStyle w:val="null3"/>
        <w:ind w:firstLine="960"/>
      </w:pPr>
      <w:r>
        <w:rPr>
          <w:rFonts w:ascii="仿宋_GB2312" w:hAnsi="仿宋_GB2312" w:cs="仿宋_GB2312" w:eastAsia="仿宋_GB2312"/>
        </w:rPr>
        <w:t>详见附件：偏离表.pdf</w:t>
      </w:r>
    </w:p>
    <w:p>
      <w:pPr>
        <w:pStyle w:val="null3"/>
        <w:ind w:firstLine="960"/>
      </w:pPr>
      <w:r>
        <w:rPr>
          <w:rFonts w:ascii="仿宋_GB2312" w:hAnsi="仿宋_GB2312" w:cs="仿宋_GB2312" w:eastAsia="仿宋_GB2312"/>
        </w:rPr>
        <w:t>详见附件：响应方案说明.pdf</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详见附件：最终报价表.pdf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