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版本号：ZX2026-05-4420260824001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高标准农田建设底数核查省级项目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ZX2026-05-44</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高标准农田建设底数核查省级项目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高标准农田建设底数核查省级项目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通过开展高标准农田建设底数核查省级核查，对县级成果进行质量把关和问题修改指导，形成符合农业农村部质量检查要求的数据成果、并最终通过国家级核查。通过开展高标准农田建设底数核查省级汇总，理清省域高标准农田建成情况、保有情况及待建等情况，实现高标准农田“底数清、位置准、情况明”的目标。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3、测绘：提供投标人有效的测绘乙级及以上资质证书。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党振彬、李涛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029-87373292、029-87215128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祁鑫、马演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采购包1保证金金额：20,544.00元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按照合同约定。</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通过开展高标准农田建设底数核查省级核查，对县级成果进行质量把关和问题修改指导，形成符合农业农村部质量检查要求的数据成果、并最终通过国家级核查。通过开展高标准农田建设底数核查省级汇总，理清省域高标准农田建成情况、保有情况及待建等情况，实现高标准农田“底数清、位置准、情况明”的目标。具体内容详见招标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1,213,000.00</w:t>
      </w:r>
    </w:p>
    <w:p>
      <w:pPr>
        <w:pStyle w:val="null3"/>
      </w:pPr>
      <w:r>
        <w:rPr>
          <w:rFonts w:ascii="仿宋_GB2312" w:hAnsi="仿宋_GB2312" w:cs="仿宋_GB2312" w:eastAsia="仿宋_GB2312"/>
        </w:rPr>
        <w:t>采购包最高限价（元）: 1,213,000.00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高标准农田建设底数核查省级项目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1,213,000.00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标的名称：高标准农田建设底数核查省级项目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一、项目目标</w:t>
            </w:r>
          </w:p>
          <w:p>
            <w:pPr>
              <w:pStyle w:val="null3"/>
            </w:pPr>
            <w:r>
              <w:rPr>
                <w:rFonts w:ascii="仿宋_GB2312" w:hAnsi="仿宋_GB2312" w:cs="仿宋_GB2312" w:eastAsia="仿宋_GB2312"/>
              </w:rPr>
              <w:t>通过开展高标准农田建设底数核查省级核查，对县级成果进行质量把关和问题修改指导，形成符合农业农村部质量检查要求的数据成果、并最终通过国家级核查。通过开展高标准农田建设底数核查省级汇总，理清省域高标准农田建成情况、保有情况及待建等情况，实现高标准农田“底数清、位置准、情况明”的目标。</w:t>
            </w:r>
          </w:p>
          <w:p>
            <w:pPr>
              <w:pStyle w:val="null3"/>
            </w:pPr>
            <w:r>
              <w:rPr>
                <w:rFonts w:ascii="仿宋_GB2312" w:hAnsi="仿宋_GB2312" w:cs="仿宋_GB2312" w:eastAsia="仿宋_GB2312"/>
              </w:rPr>
              <w:t>二、实施范围</w:t>
            </w:r>
          </w:p>
          <w:p>
            <w:pPr>
              <w:pStyle w:val="null3"/>
            </w:pPr>
            <w:r>
              <w:rPr>
                <w:rFonts w:ascii="仿宋_GB2312" w:hAnsi="仿宋_GB2312" w:cs="仿宋_GB2312" w:eastAsia="仿宋_GB2312"/>
              </w:rPr>
              <w:t>一是2019—2025年度农业农村部门统一建设管理的已立项、已完工、已验收的高标准农田建设项目，特别是审计等部门反映的数据不实项目，进行全面核查。</w:t>
            </w:r>
          </w:p>
          <w:p>
            <w:pPr>
              <w:pStyle w:val="null3"/>
            </w:pPr>
            <w:r>
              <w:rPr>
                <w:rFonts w:ascii="仿宋_GB2312" w:hAnsi="仿宋_GB2312" w:cs="仿宋_GB2312" w:eastAsia="仿宋_GB2312"/>
              </w:rPr>
              <w:t>二是2011—2018年度建成并完成上图入库的高标准农田建设项目。</w:t>
            </w:r>
          </w:p>
          <w:p>
            <w:pPr>
              <w:pStyle w:val="null3"/>
            </w:pPr>
            <w:r>
              <w:rPr>
                <w:rFonts w:ascii="仿宋_GB2312" w:hAnsi="仿宋_GB2312" w:cs="仿宋_GB2312" w:eastAsia="仿宋_GB2312"/>
              </w:rPr>
              <w:t>三是永久基本农田未建高标准农田区域“具备建设条件”情况。</w:t>
            </w:r>
          </w:p>
          <w:p>
            <w:pPr>
              <w:pStyle w:val="null3"/>
            </w:pPr>
            <w:r>
              <w:rPr>
                <w:rFonts w:ascii="仿宋_GB2312" w:hAnsi="仿宋_GB2312" w:cs="仿宋_GB2312" w:eastAsia="仿宋_GB2312"/>
              </w:rPr>
              <w:t>三、工作内容</w:t>
            </w:r>
          </w:p>
          <w:p>
            <w:pPr>
              <w:pStyle w:val="null3"/>
            </w:pPr>
            <w:r>
              <w:rPr>
                <w:rFonts w:ascii="仿宋_GB2312" w:hAnsi="仿宋_GB2312" w:cs="仿宋_GB2312" w:eastAsia="仿宋_GB2312"/>
              </w:rPr>
              <w:t>（一）数据整理。梳理归集全省高标准农田建设项目列表、项目属性、项目矢量等数据；对接自然资源、林业、水利等部门收集永久基本农田保护红线、相关年度国土变更调查成果、最新生态保护红线和大中型灌区，以及第二、第三次国土调查成果和禁建区、限建区等专题数据，按需进行必要预处理，形成底数核查基础数据，为后续数据分析、核查核验、成果编制提供支撑。根据项目需求，需自筹分辨率优于2米的卫星影像辅助后续图数地一致性检查。</w:t>
            </w:r>
          </w:p>
          <w:p>
            <w:pPr>
              <w:pStyle w:val="null3"/>
            </w:pPr>
            <w:r>
              <w:rPr>
                <w:rFonts w:ascii="仿宋_GB2312" w:hAnsi="仿宋_GB2312" w:cs="仿宋_GB2312" w:eastAsia="仿宋_GB2312"/>
              </w:rPr>
              <w:t>（二）底图制作。基于核改后项目数据，区分年度开展坐标转换、图斑去重分析、图斑合并等数据处理，形成分阶段工作底图，逐项目统计原始图斑面积、重叠面积及去重后的图斑面积，摸清建成面积底数和交叉重叠面积。</w:t>
            </w:r>
          </w:p>
          <w:p>
            <w:pPr>
              <w:pStyle w:val="null3"/>
            </w:pPr>
            <w:r>
              <w:rPr>
                <w:rFonts w:ascii="仿宋_GB2312" w:hAnsi="仿宋_GB2312" w:cs="仿宋_GB2312" w:eastAsia="仿宋_GB2312"/>
              </w:rPr>
              <w:t>（三）套合分析。基于高标准农田建设项目工作底图，与多源专题数据进行空间套合分析，统计高标准农田建设底数、保有情况、待建规模，以及已建成高标准农田内永久基本农田、生态保护红线、大中型灌区等情况。</w:t>
            </w:r>
          </w:p>
          <w:p>
            <w:pPr>
              <w:pStyle w:val="null3"/>
            </w:pPr>
            <w:r>
              <w:rPr>
                <w:rFonts w:ascii="仿宋_GB2312" w:hAnsi="仿宋_GB2312" w:cs="仿宋_GB2312" w:eastAsia="仿宋_GB2312"/>
              </w:rPr>
              <w:t>（四）成果质检。全面检查核对市县提交的高标准农田建设底数核查成果，开展数据逻辑性检查、空间一致性检查、成果合规性检查，排查数据缺项错项、逻辑冲突、空间偏差等各类问题，形成问题整改清单，指导各地完成问题整改、数据修正、成果复核，确保所有核查成果真实准确、口径统一、符合要求。</w:t>
            </w:r>
          </w:p>
          <w:p>
            <w:pPr>
              <w:pStyle w:val="null3"/>
            </w:pPr>
            <w:r>
              <w:rPr>
                <w:rFonts w:ascii="仿宋_GB2312" w:hAnsi="仿宋_GB2312" w:cs="仿宋_GB2312" w:eastAsia="仿宋_GB2312"/>
              </w:rPr>
              <w:t>（五）外业调查。省级抽取每个县10%的项目进行核验，全部存疑地块100%现场踏勘，现场采集影像、坐标，核查地块面积大小、空间位置、地类信息等核心信息，逐一校验图、数、地一致性，摸清地块真实情况，排查数据偏差、图实不符等问题，夯实核查成果真实性与准确性。</w:t>
            </w:r>
          </w:p>
          <w:p>
            <w:pPr>
              <w:pStyle w:val="null3"/>
            </w:pPr>
            <w:r>
              <w:rPr>
                <w:rFonts w:ascii="仿宋_GB2312" w:hAnsi="仿宋_GB2312" w:cs="仿宋_GB2312" w:eastAsia="仿宋_GB2312"/>
              </w:rPr>
              <w:t>（六）报告编制。全面汇总资料归集、底图制作、套合分析、成果质检、外业调查各环节工作成果，系统梳理全省高标准农田建设底数核查整体情况，准确统计全省高标准农田建设底数、保有情况、待建规模等数据，深入分析当前高标准农田建设上图入库工作存在的短板与问题，提出针对性建议意见。</w:t>
            </w:r>
          </w:p>
          <w:p>
            <w:pPr>
              <w:pStyle w:val="null3"/>
            </w:pPr>
            <w:r>
              <w:rPr>
                <w:rFonts w:ascii="仿宋_GB2312" w:hAnsi="仿宋_GB2312" w:cs="仿宋_GB2312" w:eastAsia="仿宋_GB2312"/>
              </w:rPr>
              <w:t>四、执行技术标准</w:t>
            </w:r>
          </w:p>
          <w:p>
            <w:pPr>
              <w:pStyle w:val="null3"/>
            </w:pPr>
            <w:r>
              <w:rPr>
                <w:rFonts w:ascii="仿宋_GB2312" w:hAnsi="仿宋_GB2312" w:cs="仿宋_GB2312" w:eastAsia="仿宋_GB2312"/>
              </w:rPr>
              <w:t>（一）高标准农田建设底数核查技术方案</w:t>
            </w:r>
          </w:p>
          <w:p>
            <w:pPr>
              <w:pStyle w:val="null3"/>
            </w:pPr>
            <w:r>
              <w:rPr>
                <w:rFonts w:ascii="仿宋_GB2312" w:hAnsi="仿宋_GB2312" w:cs="仿宋_GB2312" w:eastAsia="仿宋_GB2312"/>
              </w:rPr>
              <w:t>（二）高标准农田建设底数核查数据质量检查技术规则</w:t>
            </w:r>
          </w:p>
          <w:p>
            <w:pPr>
              <w:pStyle w:val="null3"/>
            </w:pPr>
            <w:r>
              <w:rPr>
                <w:rFonts w:ascii="仿宋_GB2312" w:hAnsi="仿宋_GB2312" w:cs="仿宋_GB2312" w:eastAsia="仿宋_GB2312"/>
              </w:rPr>
              <w:t>（三）高标准农田建设底数核查底图制作技术规则</w:t>
            </w:r>
          </w:p>
          <w:p>
            <w:pPr>
              <w:pStyle w:val="null3"/>
            </w:pPr>
            <w:r>
              <w:rPr>
                <w:rFonts w:ascii="仿宋_GB2312" w:hAnsi="仿宋_GB2312" w:cs="仿宋_GB2312" w:eastAsia="仿宋_GB2312"/>
              </w:rPr>
              <w:t>（四）高标准农田建设底数核查套合分析技术规则</w:t>
            </w:r>
          </w:p>
          <w:p>
            <w:pPr>
              <w:pStyle w:val="null3"/>
            </w:pPr>
            <w:r>
              <w:rPr>
                <w:rFonts w:ascii="仿宋_GB2312" w:hAnsi="仿宋_GB2312" w:cs="仿宋_GB2312" w:eastAsia="仿宋_GB2312"/>
              </w:rPr>
              <w:t>（五）高标准农田建设底数核查数据安全管理技术规则</w:t>
            </w:r>
          </w:p>
          <w:p>
            <w:pPr>
              <w:pStyle w:val="null3"/>
            </w:pPr>
            <w:r>
              <w:rPr>
                <w:rFonts w:ascii="仿宋_GB2312" w:hAnsi="仿宋_GB2312" w:cs="仿宋_GB2312" w:eastAsia="仿宋_GB2312"/>
              </w:rPr>
              <w:t>（六）高标准农田建设底数核查实地核查技术规则</w:t>
            </w:r>
          </w:p>
          <w:p>
            <w:pPr>
              <w:pStyle w:val="null3"/>
            </w:pPr>
            <w:r>
              <w:rPr>
                <w:rFonts w:ascii="仿宋_GB2312" w:hAnsi="仿宋_GB2312" w:cs="仿宋_GB2312" w:eastAsia="仿宋_GB2312"/>
              </w:rPr>
              <w:t>（七）高标准农田建设底数核查成果汇交技术规则</w:t>
            </w:r>
          </w:p>
          <w:p>
            <w:pPr>
              <w:pStyle w:val="null3"/>
            </w:pPr>
            <w:r>
              <w:rPr>
                <w:rFonts w:ascii="仿宋_GB2312" w:hAnsi="仿宋_GB2312" w:cs="仿宋_GB2312" w:eastAsia="仿宋_GB2312"/>
              </w:rPr>
              <w:t>五、预期成果</w:t>
            </w:r>
          </w:p>
          <w:p>
            <w:pPr>
              <w:pStyle w:val="null3"/>
            </w:pPr>
            <w:r>
              <w:rPr>
                <w:rFonts w:ascii="仿宋_GB2312" w:hAnsi="仿宋_GB2312" w:cs="仿宋_GB2312" w:eastAsia="仿宋_GB2312"/>
              </w:rPr>
              <w:t>1、项目基础数据成果。包括历次提交和上报的各县项目基础数据。</w:t>
            </w:r>
          </w:p>
          <w:p>
            <w:pPr>
              <w:pStyle w:val="null3"/>
            </w:pPr>
            <w:r>
              <w:rPr>
                <w:rFonts w:ascii="仿宋_GB2312" w:hAnsi="仿宋_GB2312" w:cs="仿宋_GB2312" w:eastAsia="仿宋_GB2312"/>
              </w:rPr>
              <w:t>2、省级检查成果。包括历次基础数据质量检查结果。</w:t>
            </w:r>
          </w:p>
          <w:p>
            <w:pPr>
              <w:pStyle w:val="null3"/>
            </w:pPr>
            <w:r>
              <w:rPr>
                <w:rFonts w:ascii="仿宋_GB2312" w:hAnsi="仿宋_GB2312" w:cs="仿宋_GB2312" w:eastAsia="仿宋_GB2312"/>
              </w:rPr>
              <w:t>3、分析成果。包括底图制作成果数据和套合分析成果数据（矢量、表格）。</w:t>
            </w:r>
          </w:p>
          <w:p>
            <w:pPr>
              <w:pStyle w:val="null3"/>
            </w:pPr>
            <w:r>
              <w:rPr>
                <w:rFonts w:ascii="仿宋_GB2312" w:hAnsi="仿宋_GB2312" w:cs="仿宋_GB2312" w:eastAsia="仿宋_GB2312"/>
              </w:rPr>
              <w:t>4、文档成果。陕西省高标准农田建设底数核查省级项目工作报告（电子版及纸质版）。</w:t>
            </w:r>
          </w:p>
          <w:p>
            <w:pPr>
              <w:pStyle w:val="null3"/>
            </w:pPr>
            <w:r>
              <w:rPr>
                <w:rFonts w:ascii="仿宋_GB2312" w:hAnsi="仿宋_GB2312" w:cs="仿宋_GB2312" w:eastAsia="仿宋_GB2312"/>
              </w:rPr>
              <w:t>六、人员要求</w:t>
            </w:r>
          </w:p>
          <w:p>
            <w:pPr>
              <w:pStyle w:val="null3"/>
            </w:pPr>
            <w:r>
              <w:rPr>
                <w:rFonts w:ascii="仿宋_GB2312" w:hAnsi="仿宋_GB2312" w:cs="仿宋_GB2312" w:eastAsia="仿宋_GB2312"/>
              </w:rPr>
              <w:t>投标人须配置足额、稳定的专业服务团队，技术人员不得随意缩减，若需更换，需经采购人同意，并且更换人员与投标承诺人员具有同等或以上的经验和相关证书。在项目实施高峰期，能够增加相应专业能力的技术人员，保障项目实施。</w:t>
            </w:r>
          </w:p>
          <w:p>
            <w:pPr>
              <w:pStyle w:val="null3"/>
            </w:pPr>
            <w:r>
              <w:rPr>
                <w:rFonts w:ascii="仿宋_GB2312" w:hAnsi="仿宋_GB2312" w:cs="仿宋_GB2312" w:eastAsia="仿宋_GB2312"/>
              </w:rPr>
              <w:t>七、质量要求</w:t>
            </w:r>
          </w:p>
          <w:p>
            <w:pPr>
              <w:pStyle w:val="null3"/>
            </w:pPr>
            <w:r>
              <w:rPr>
                <w:rFonts w:ascii="仿宋_GB2312" w:hAnsi="仿宋_GB2312" w:cs="仿宋_GB2312" w:eastAsia="仿宋_GB2312"/>
              </w:rPr>
              <w:t>投标人可利用软件工具保障成果质量、提高工作效率，交付成果需满足农业农村部质量检查要求，并最终通过国家级核查。</w:t>
            </w:r>
          </w:p>
          <w:p>
            <w:pPr>
              <w:pStyle w:val="null3"/>
            </w:pPr>
            <w:r>
              <w:rPr>
                <w:rFonts w:ascii="仿宋_GB2312" w:hAnsi="仿宋_GB2312" w:cs="仿宋_GB2312" w:eastAsia="仿宋_GB2312"/>
              </w:rPr>
              <w:t>八、保密要求</w:t>
            </w:r>
          </w:p>
          <w:p>
            <w:pPr>
              <w:pStyle w:val="null3"/>
            </w:pPr>
            <w:r>
              <w:rPr>
                <w:rFonts w:ascii="仿宋_GB2312" w:hAnsi="仿宋_GB2312" w:cs="仿宋_GB2312" w:eastAsia="仿宋_GB2312"/>
              </w:rPr>
              <w:t>1、投标人应严格遵守国家有关数据安全保密的有关法律法规，按照数据类别和数据分级采取数据加密、访问控制、边界防护等安全措施，保障数据安全。</w:t>
            </w:r>
          </w:p>
          <w:p>
            <w:pPr>
              <w:pStyle w:val="null3"/>
            </w:pPr>
            <w:r>
              <w:rPr>
                <w:rFonts w:ascii="仿宋_GB2312" w:hAnsi="仿宋_GB2312" w:cs="仿宋_GB2312" w:eastAsia="仿宋_GB2312"/>
              </w:rPr>
              <w:t>2、投标人应确保检查结果客观公正，不得与受检单位（或利益相关单位）联系，透漏检查有关信息。</w:t>
            </w:r>
          </w:p>
          <w:p>
            <w:pPr>
              <w:pStyle w:val="null3"/>
            </w:pPr>
            <w:r>
              <w:rPr>
                <w:rFonts w:ascii="仿宋_GB2312" w:hAnsi="仿宋_GB2312" w:cs="仿宋_GB2312" w:eastAsia="仿宋_GB2312"/>
              </w:rPr>
              <w:t>3、国土空间数据属于内部涉密资料，投标人应与采购方签订专项保密协议，严禁外网传输、私自留存、对外转借全部项目数据，项目结束全部资料完整归还。</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陕西省农业农村厅指定地点。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根据招标文件、投标文件及合同约定内容进行考核验收。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进度款，完成外业核查，数据成果审核通过，达到付款条件起10个工作日内，支付合同总金额的40.0%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进度款，全套成果通过国家验收，并完成数据汇交、报告编制、档案移交后，达到付款条件起10个工作日内，支付合同总金额的20.0%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投标保证金注意事项：（1）投标保证金须在投标文件递交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投标人自身原因导致无法及时退还的除外。 3.4.2本项目采购人名称全称为陕西省农业农村厅。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含8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8月（含8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2026年1月1日以来银行出具的资信证明（以上两种形式的资料提供任何一种即可）；其他组织和自然人提供银行出具的资信证明或财务报表。 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3资格证明文件.docx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测绘</w:t>
            </w:r>
          </w:p>
        </w:tc>
        <w:tc>
          <w:tcPr>
            <w:tcW w:type="dxa" w:w="3322"/>
          </w:tcPr>
          <w:p>
            <w:pPr>
              <w:pStyle w:val="null3"/>
            </w:pPr>
            <w:r>
              <w:rPr>
                <w:rFonts w:ascii="仿宋_GB2312" w:hAnsi="仿宋_GB2312" w:cs="仿宋_GB2312" w:eastAsia="仿宋_GB2312"/>
              </w:rPr>
              <w:t>提供投标人有效的测绘乙级及以上资质证书。</w:t>
            </w:r>
          </w:p>
        </w:tc>
        <w:tc>
          <w:tcPr>
            <w:tcW w:type="dxa" w:w="1661"/>
          </w:tcPr>
          <w:p>
            <w:pPr>
              <w:pStyle w:val="null3"/>
            </w:pPr>
            <w:r>
              <w:rPr>
                <w:rFonts w:ascii="仿宋_GB2312" w:hAnsi="仿宋_GB2312" w:cs="仿宋_GB2312" w:eastAsia="仿宋_GB2312"/>
              </w:rPr>
              <w:t>3资格证明文件.docx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报价未超过招标文件的最高限价的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满足本招标文件中3.3商务要求中3.3.1服务期限、3.3.2服务地点以及3.3.5支付约定要求的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投标人针对本项目有明确的需求理解，应至少包含：①项目背景及要求；②工作内容理解与分析；③项目重点难点分析及应对措施。 上述3项内容，每提供1项内容计2分，每项内容存在1处瑕疵扣0.5分，本评分点满分6分。 注：内容存在瑕疵是指内容不满足项目要求、或与项目无关的、或与项目不匹配之处、或内容、实施时间地点、涉及的规范、服务标准要求与本项目有不一致之处、或不符合项目实际 或存在细节错误等情形。本评分标准针对瑕疵的定义均同此处。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5服务响应偏离表.docx</w:t>
            </w:r>
          </w:p>
          <w:p>
            <w:pPr>
              <w:pStyle w:val="null3"/>
            </w:pPr>
            <w:r>
              <w:rPr>
                <w:rFonts w:ascii="仿宋_GB2312" w:hAnsi="仿宋_GB2312" w:cs="仿宋_GB2312" w:eastAsia="仿宋_GB2312"/>
              </w:rPr>
              <w:t>6需求理解.docx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投标人针对本项目提供项目实施方案，应包括但不限于以下内容：①数据整理；②底图制作；③套合分析；④成果质检；⑤外业调查；⑥工作总结等方面。 上述6项内容，每提供1项内容计3分，每项内容存在1处瑕疵扣0.5分，本评分点满分18分。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7实施方案.docx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投标人针对本项目提供保障措施，应包括但不限于以下内容：①项目进度计划及保障措施；②全过程质量保障措施；③安全作业保障措施；④保密管理措施。 上述4项内容，每提供1项内容计3分，每项内容存在1处瑕疵扣0.5分，本评分点满分12分。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8项目保障措施.docx</w:t>
            </w:r>
          </w:p>
        </w:tc>
      </w:tr>
      <w:tr>
        <w:tc>
          <w:tcPr>
            <w:tcW w:type="dxa" w:w="831"/>
            <w:vMerge/>
          </w:tcPr>
          <w:p/>
        </w:tc>
        <w:tc>
          <w:tcPr>
            <w:tcW w:type="dxa" w:w="1661"/>
          </w:tcPr>
          <w:p>
            <w:pPr>
              <w:pStyle w:val="null3"/>
            </w:pPr>
            <w:r>
              <w:rPr>
                <w:rFonts w:ascii="仿宋_GB2312" w:hAnsi="仿宋_GB2312" w:cs="仿宋_GB2312" w:eastAsia="仿宋_GB2312"/>
              </w:rPr>
              <w:t>后续售后服务方案</w:t>
            </w:r>
          </w:p>
        </w:tc>
        <w:tc>
          <w:tcPr>
            <w:tcW w:type="dxa" w:w="2492"/>
          </w:tcPr>
          <w:p>
            <w:pPr>
              <w:pStyle w:val="null3"/>
            </w:pPr>
            <w:r>
              <w:rPr>
                <w:rFonts w:ascii="仿宋_GB2312" w:hAnsi="仿宋_GB2312" w:cs="仿宋_GB2312" w:eastAsia="仿宋_GB2312"/>
              </w:rPr>
              <w:t>投标人针对本项目采购需求提供后续售后服务方案，应包括但不限于以下内容：①售后服务工作流程与响应时间；②售后服务保障措施。 上述2项内容，每提供1项内容计2分，每项内容存在1处瑕疵扣0.5分，本评分点满分4分。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9后续售后服务方案.docx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以来至今（以合同或任务书签订日期为准）类似项目合同或任务书扫描件，扫描件必须清晰体现签约主体和日期、项目内容等核心要素，否则不计为有效业绩。每提供1个有效业绩得1分，最高得10分。 备注：类似业绩指高标准农田核查、永久基本农田核查、耕地保护等相关业绩。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投标人提供针对本项目的项目团队配置清单，包括项目负责人、技术负责人、质量负责人、其他专业技术人员。清单需明确人员姓名、身份证号、岗位、工作经验年限。 1.投标人提供的人员清单内容完整，包括上述列明的岗位人员，以及人员相关信息，计2分，否则不计分。 2.投标人提供的人员每有1人工作经验年限≥3年计0.5分，1年≤工作经验年限＜3年计0.25分，否则不计分。本项最多计5分。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11团队配置.docx</w:t>
            </w:r>
          </w:p>
        </w:tc>
      </w:tr>
      <w:tr>
        <w:tc>
          <w:tcPr>
            <w:tcW w:type="dxa" w:w="831"/>
            <w:vMerge/>
          </w:tcPr>
          <w:p/>
        </w:tc>
        <w:tc>
          <w:tcPr>
            <w:tcW w:type="dxa" w:w="1661"/>
          </w:tcPr>
          <w:p>
            <w:pPr>
              <w:pStyle w:val="null3"/>
            </w:pPr>
            <w:r>
              <w:rPr>
                <w:rFonts w:ascii="仿宋_GB2312" w:hAnsi="仿宋_GB2312" w:cs="仿宋_GB2312" w:eastAsia="仿宋_GB2312"/>
              </w:rPr>
              <w:t>专业能力</w:t>
            </w:r>
          </w:p>
        </w:tc>
        <w:tc>
          <w:tcPr>
            <w:tcW w:type="dxa" w:w="2492"/>
          </w:tcPr>
          <w:p>
            <w:pPr>
              <w:pStyle w:val="null3"/>
            </w:pPr>
            <w:r>
              <w:rPr>
                <w:rFonts w:ascii="仿宋_GB2312" w:hAnsi="仿宋_GB2312" w:cs="仿宋_GB2312" w:eastAsia="仿宋_GB2312"/>
              </w:rPr>
              <w:t>1.项目负责人：具有测绘相关专业正高级职称得2分；具有测绘相关专业副高级职称得1分；同时具备注册测绘师资格证书的再加0.5分；本项最高得2.5分； 2.技术负责人：具有测绘相关专业正高级职称得2分；具有测绘相关专业副高级职称得1分；同时具备注册测绘师资格证书的再加0.5分；本项最高得2.5分； 3.质量负责人：具有测绘相关专业高级职称得1分；具有测绘相关专业中级职称得0.5分；同时具备注册测绘师资格证书的再加0.5分；本项最高得1.5分； 4.团队中其他技术人员（项目负责人和技术、质量负责人除外）：具有测绘相关专业高级职称的得0.5分；具有测绘相关专业中级职称的得0.2分；本项最高得11分。 5.团队中其他技术人员（项目负责人和技术、质量负责人除外）：具备注册测绘师资格证书的得0.5分；本项最高得1.5分。 注：以上各项人员不重复计分，按最高职称计分。需提供加盖投标人公章的①职称证、资格证等相关证书扫描件和②劳动合同或2026年1月以来任意一个月在本单位的社保证明。否则不予认定。</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12专业能力.docx</w:t>
            </w:r>
          </w:p>
        </w:tc>
      </w:tr>
      <w:tr>
        <w:tc>
          <w:tcPr>
            <w:tcW w:type="dxa" w:w="831"/>
            <w:vMerge/>
          </w:tcPr>
          <w:p/>
        </w:tc>
        <w:tc>
          <w:tcPr>
            <w:tcW w:type="dxa" w:w="1661"/>
          </w:tcPr>
          <w:p>
            <w:pPr>
              <w:pStyle w:val="null3"/>
            </w:pPr>
            <w:r>
              <w:rPr>
                <w:rFonts w:ascii="仿宋_GB2312" w:hAnsi="仿宋_GB2312" w:cs="仿宋_GB2312" w:eastAsia="仿宋_GB2312"/>
              </w:rPr>
              <w:t>保障工具</w:t>
            </w:r>
          </w:p>
        </w:tc>
        <w:tc>
          <w:tcPr>
            <w:tcW w:type="dxa" w:w="2492"/>
          </w:tcPr>
          <w:p>
            <w:pPr>
              <w:pStyle w:val="null3"/>
            </w:pPr>
            <w:r>
              <w:rPr>
                <w:rFonts w:ascii="仿宋_GB2312" w:hAnsi="仿宋_GB2312" w:cs="仿宋_GB2312" w:eastAsia="仿宋_GB2312"/>
              </w:rPr>
              <w:t>1、投标人应具备数据质检、统计分析类保障工具，且须提供证明材料：自研软件须提供计算机软件著作权登记证书；非自研软件须提供采购合同或购置发票或其他合法授权凭证。 每项合格软件计2分，最多计4分，证明材料不全或不符合要求者不计分。 2、投标人应具备数据加密软件，且须提供证明材料：自研软件须提供计算机软件著作权登记证书；非自研软件须提供采购合同或购置发票或其他合法授权凭证。计2分。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13保障工具.docx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投标人每承诺下述1项内容计2分，满分8分，须提供承诺函并加盖投标人公章： 1、承诺拟投入本项目的团队人员不得随意更换，若需更换，需提前5个工作日内告知采购人，更换人员专业能力及工作经验、职称不得低于原岗位人员，经采购人同意后，方可更换。 2、投标人须保证如因成果质量问题需要修改完善甚至返工，须无条件配合，且所产生的一切费用已包含在报价中，采购人不再另行支付。 3、承诺与采购方签订专项保密协议，严禁外网传输、私自留存、对外转借全部项目数据，项目结束全部资料完整归还。 4、承诺确保检查结果客观公正，不得与受检单位（或利益相关单位）联系，透漏检查有关信息。</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应当采用低价优先法计算，即满足招标文件要求且投标价格最低的投标报价为评标基准价，其价格分为满分。其他投标人的价格分统一按照下列公式计算：投标报价得分=(评标基准价／该投标人投标报价)×10。（计算分数时四舍五入取小数点后两位）。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详见附件：7实施方案.docx</w:t>
      </w:r>
    </w:p>
    <w:p>
      <w:pPr>
        <w:pStyle w:val="null3"/>
        <w:ind w:firstLine="960"/>
      </w:pPr>
      <w:r>
        <w:rPr>
          <w:rFonts w:ascii="仿宋_GB2312" w:hAnsi="仿宋_GB2312" w:cs="仿宋_GB2312" w:eastAsia="仿宋_GB2312"/>
        </w:rPr>
        <w:t>详见附件：8项目保障措施.docx</w:t>
      </w:r>
    </w:p>
    <w:p>
      <w:pPr>
        <w:pStyle w:val="null3"/>
        <w:ind w:firstLine="960"/>
      </w:pPr>
      <w:r>
        <w:rPr>
          <w:rFonts w:ascii="仿宋_GB2312" w:hAnsi="仿宋_GB2312" w:cs="仿宋_GB2312" w:eastAsia="仿宋_GB2312"/>
        </w:rPr>
        <w:t>详见附件：9后续售后服务方案.docx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详见附件：11团队配置.docx</w:t>
      </w:r>
    </w:p>
    <w:p>
      <w:pPr>
        <w:pStyle w:val="null3"/>
        <w:ind w:firstLine="960"/>
      </w:pPr>
      <w:r>
        <w:rPr>
          <w:rFonts w:ascii="仿宋_GB2312" w:hAnsi="仿宋_GB2312" w:cs="仿宋_GB2312" w:eastAsia="仿宋_GB2312"/>
        </w:rPr>
        <w:t>详见附件：12专业能力.docx</w:t>
      </w:r>
    </w:p>
    <w:p>
      <w:pPr>
        <w:pStyle w:val="null3"/>
        <w:ind w:firstLine="960"/>
      </w:pPr>
      <w:r>
        <w:rPr>
          <w:rFonts w:ascii="仿宋_GB2312" w:hAnsi="仿宋_GB2312" w:cs="仿宋_GB2312" w:eastAsia="仿宋_GB2312"/>
        </w:rPr>
        <w:t>详见附件：13保障工具.docx</w:t>
      </w:r>
    </w:p>
    <w:p>
      <w:pPr>
        <w:pStyle w:val="null3"/>
        <w:ind w:firstLine="960"/>
      </w:pPr>
      <w:r>
        <w:rPr>
          <w:rFonts w:ascii="仿宋_GB2312" w:hAnsi="仿宋_GB2312" w:cs="仿宋_GB2312" w:eastAsia="仿宋_GB2312"/>
        </w:rPr>
        <w:t>详见附件：14服务承诺.docx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