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3E8A33">
      <w:pPr>
        <w:pStyle w:val="9"/>
        <w:jc w:val="center"/>
        <w:outlineLvl w:val="1"/>
        <w:rPr>
          <w:rFonts w:hint="default"/>
        </w:rPr>
      </w:pPr>
      <w:r>
        <w:rPr>
          <w:b/>
          <w:sz w:val="36"/>
        </w:rPr>
        <w:t>拟签订采购合同文本</w:t>
      </w:r>
    </w:p>
    <w:p w14:paraId="64B866D8">
      <w:pPr>
        <w:shd w:val="clear"/>
        <w:jc w:val="center"/>
        <w:rPr>
          <w:rFonts w:hint="eastAsia" w:ascii="仿宋" w:hAnsi="仿宋" w:cs="仿宋"/>
          <w:b/>
          <w:bCs/>
          <w:color w:val="auto"/>
          <w:sz w:val="44"/>
          <w:szCs w:val="44"/>
          <w:highlight w:val="none"/>
          <w:lang w:val="en-US" w:eastAsia="zh-CN"/>
        </w:rPr>
      </w:pPr>
    </w:p>
    <w:p w14:paraId="4189C110">
      <w:pPr>
        <w:shd w:val="clear"/>
        <w:jc w:val="center"/>
        <w:rPr>
          <w:rFonts w:hint="eastAsia" w:ascii="仿宋" w:hAnsi="仿宋" w:cs="仿宋"/>
          <w:b/>
          <w:bCs/>
          <w:color w:val="auto"/>
          <w:sz w:val="44"/>
          <w:szCs w:val="44"/>
          <w:highlight w:val="none"/>
          <w:lang w:val="en-US" w:eastAsia="zh-CN"/>
        </w:rPr>
      </w:pPr>
    </w:p>
    <w:p w14:paraId="19B8682E">
      <w:pPr>
        <w:shd w:val="clear"/>
        <w:jc w:val="center"/>
        <w:rPr>
          <w:rFonts w:hint="eastAsia" w:ascii="仿宋" w:hAnsi="仿宋" w:cs="仿宋"/>
          <w:b/>
          <w:bCs/>
          <w:color w:val="auto"/>
          <w:sz w:val="44"/>
          <w:szCs w:val="44"/>
          <w:highlight w:val="none"/>
          <w:lang w:val="en-US" w:eastAsia="zh-CN"/>
        </w:rPr>
      </w:pPr>
    </w:p>
    <w:p w14:paraId="2C1C29C9">
      <w:pPr>
        <w:shd w:val="clear"/>
        <w:jc w:val="center"/>
        <w:rPr>
          <w:rFonts w:hint="eastAsia" w:ascii="仿宋" w:hAnsi="仿宋" w:cs="仿宋"/>
          <w:b/>
          <w:bCs/>
          <w:color w:val="auto"/>
          <w:sz w:val="44"/>
          <w:szCs w:val="44"/>
          <w:highlight w:val="none"/>
          <w:lang w:val="en-US" w:eastAsia="zh-CN"/>
        </w:rPr>
      </w:pPr>
    </w:p>
    <w:p w14:paraId="33CC66B5">
      <w:pPr>
        <w:shd w:val="clear"/>
        <w:jc w:val="center"/>
        <w:rPr>
          <w:rFonts w:hint="eastAsia" w:ascii="仿宋" w:hAnsi="仿宋" w:cs="仿宋"/>
          <w:b/>
          <w:bCs/>
          <w:color w:val="auto"/>
          <w:sz w:val="32"/>
          <w:szCs w:val="32"/>
          <w:highlight w:val="none"/>
          <w:lang w:val="en-US" w:eastAsia="zh-CN"/>
        </w:rPr>
      </w:pPr>
      <w:r>
        <w:rPr>
          <w:rFonts w:hint="eastAsia" w:ascii="仿宋" w:hAnsi="仿宋" w:cs="仿宋"/>
          <w:b/>
          <w:bCs/>
          <w:color w:val="auto"/>
          <w:sz w:val="44"/>
          <w:szCs w:val="44"/>
          <w:highlight w:val="none"/>
          <w:lang w:val="en-US" w:eastAsia="zh-CN"/>
        </w:rPr>
        <w:t>车辆维修采购项目</w:t>
      </w:r>
    </w:p>
    <w:p w14:paraId="1580102E">
      <w:pPr>
        <w:pStyle w:val="2"/>
        <w:shd w:val="clear"/>
        <w:rPr>
          <w:rFonts w:hint="eastAsia"/>
          <w:color w:val="auto"/>
          <w:highlight w:val="none"/>
        </w:rPr>
      </w:pPr>
    </w:p>
    <w:p w14:paraId="27719F15">
      <w:pPr>
        <w:shd w:val="clear"/>
        <w:jc w:val="center"/>
        <w:rPr>
          <w:rFonts w:hint="eastAsia" w:ascii="仿宋" w:hAnsi="仿宋" w:eastAsia="仿宋" w:cs="仿宋"/>
          <w:b/>
          <w:color w:val="auto"/>
          <w:sz w:val="48"/>
          <w:szCs w:val="48"/>
          <w:highlight w:val="none"/>
        </w:rPr>
      </w:pPr>
    </w:p>
    <w:p w14:paraId="7F0A27A1">
      <w:pPr>
        <w:shd w:val="clear"/>
        <w:jc w:val="center"/>
        <w:rPr>
          <w:rFonts w:hint="eastAsia" w:ascii="仿宋" w:hAnsi="仿宋" w:eastAsia="仿宋" w:cs="仿宋"/>
          <w:b/>
          <w:color w:val="auto"/>
          <w:sz w:val="48"/>
          <w:szCs w:val="48"/>
          <w:highlight w:val="none"/>
        </w:rPr>
      </w:pPr>
    </w:p>
    <w:p w14:paraId="1664E598">
      <w:pPr>
        <w:shd w:val="clear"/>
        <w:jc w:val="center"/>
        <w:rPr>
          <w:rFonts w:hint="eastAsia" w:ascii="仿宋" w:hAnsi="仿宋" w:eastAsia="仿宋" w:cs="仿宋"/>
          <w:b/>
          <w:color w:val="auto"/>
          <w:sz w:val="48"/>
          <w:szCs w:val="48"/>
          <w:highlight w:val="none"/>
        </w:rPr>
      </w:pPr>
      <w:r>
        <w:rPr>
          <w:rFonts w:hint="eastAsia" w:ascii="仿宋" w:hAnsi="仿宋" w:eastAsia="仿宋" w:cs="仿宋"/>
          <w:b/>
          <w:color w:val="auto"/>
          <w:sz w:val="48"/>
          <w:szCs w:val="48"/>
          <w:highlight w:val="none"/>
        </w:rPr>
        <w:t>采 购 合 同</w:t>
      </w:r>
    </w:p>
    <w:p w14:paraId="7D540F8C">
      <w:pPr>
        <w:shd w:val="clear"/>
        <w:spacing w:line="360" w:lineRule="auto"/>
        <w:jc w:val="center"/>
        <w:rPr>
          <w:rFonts w:hint="default" w:ascii="仿宋" w:hAnsi="仿宋" w:eastAsia="仿宋" w:cs="仿宋"/>
          <w:color w:val="auto"/>
          <w:sz w:val="28"/>
          <w:szCs w:val="28"/>
          <w:highlight w:val="none"/>
          <w:lang w:val="en-US" w:eastAsia="zh-CN"/>
        </w:rPr>
      </w:pPr>
      <w:r>
        <w:rPr>
          <w:rFonts w:hint="eastAsia" w:ascii="仿宋" w:hAnsi="仿宋" w:cs="仿宋"/>
          <w:color w:val="auto"/>
          <w:sz w:val="28"/>
          <w:szCs w:val="28"/>
          <w:highlight w:val="none"/>
          <w:lang w:eastAsia="zh-CN"/>
        </w:rPr>
        <w:t>（</w:t>
      </w:r>
      <w:r>
        <w:rPr>
          <w:rFonts w:hint="eastAsia" w:ascii="仿宋" w:hAnsi="仿宋" w:eastAsia="仿宋" w:cs="仿宋"/>
          <w:b/>
          <w:color w:val="auto"/>
          <w:sz w:val="28"/>
          <w:szCs w:val="28"/>
          <w:highlight w:val="none"/>
        </w:rPr>
        <w:t>项目编号：</w:t>
      </w:r>
      <w:r>
        <w:rPr>
          <w:rFonts w:hint="eastAsia" w:ascii="仿宋" w:hAnsi="仿宋" w:cs="仿宋"/>
          <w:color w:val="auto"/>
          <w:sz w:val="28"/>
          <w:szCs w:val="28"/>
          <w:highlight w:val="none"/>
          <w:lang w:val="en-US" w:eastAsia="zh-CN"/>
        </w:rPr>
        <w:t>)</w:t>
      </w:r>
    </w:p>
    <w:p w14:paraId="7401692D">
      <w:pPr>
        <w:shd w:val="clear"/>
        <w:jc w:val="center"/>
        <w:rPr>
          <w:rFonts w:hint="eastAsia" w:ascii="仿宋" w:hAnsi="仿宋" w:eastAsia="仿宋" w:cs="仿宋"/>
          <w:b/>
          <w:color w:val="auto"/>
          <w:sz w:val="48"/>
          <w:szCs w:val="48"/>
          <w:highlight w:val="none"/>
        </w:rPr>
      </w:pPr>
    </w:p>
    <w:p w14:paraId="1635A9B0">
      <w:pPr>
        <w:shd w:val="clear"/>
        <w:jc w:val="center"/>
        <w:rPr>
          <w:rFonts w:hint="eastAsia" w:ascii="仿宋" w:hAnsi="仿宋" w:eastAsia="仿宋" w:cs="仿宋"/>
          <w:color w:val="auto"/>
          <w:sz w:val="48"/>
          <w:szCs w:val="48"/>
          <w:highlight w:val="none"/>
        </w:rPr>
      </w:pPr>
    </w:p>
    <w:p w14:paraId="5DF56AC2">
      <w:pPr>
        <w:shd w:val="clear"/>
        <w:jc w:val="center"/>
        <w:rPr>
          <w:rFonts w:hint="eastAsia" w:ascii="仿宋" w:hAnsi="仿宋" w:eastAsia="仿宋" w:cs="仿宋"/>
          <w:color w:val="auto"/>
          <w:sz w:val="48"/>
          <w:szCs w:val="48"/>
          <w:highlight w:val="none"/>
        </w:rPr>
      </w:pPr>
    </w:p>
    <w:p w14:paraId="3F4CAC58">
      <w:pPr>
        <w:shd w:val="clear"/>
        <w:rPr>
          <w:rFonts w:hint="eastAsia" w:ascii="仿宋" w:hAnsi="仿宋" w:cs="仿宋"/>
          <w:b/>
          <w:bCs/>
          <w:color w:val="auto"/>
          <w:sz w:val="28"/>
          <w:szCs w:val="28"/>
          <w:highlight w:val="none"/>
          <w:lang w:val="en-US" w:eastAsia="zh-CN"/>
        </w:rPr>
      </w:pPr>
      <w:r>
        <w:rPr>
          <w:rFonts w:hint="eastAsia" w:ascii="仿宋" w:hAnsi="仿宋" w:cs="仿宋"/>
          <w:b/>
          <w:bCs/>
          <w:color w:val="auto"/>
          <w:sz w:val="28"/>
          <w:szCs w:val="28"/>
          <w:highlight w:val="none"/>
          <w:lang w:val="en-US" w:eastAsia="zh-CN"/>
        </w:rPr>
        <w:t xml:space="preserve"> </w:t>
      </w:r>
    </w:p>
    <w:p w14:paraId="6C47F271">
      <w:pPr>
        <w:shd w:val="clear"/>
        <w:rPr>
          <w:rFonts w:hint="eastAsia" w:ascii="仿宋" w:hAnsi="仿宋" w:cs="仿宋"/>
          <w:b/>
          <w:bCs/>
          <w:color w:val="auto"/>
          <w:sz w:val="28"/>
          <w:szCs w:val="28"/>
          <w:highlight w:val="none"/>
          <w:lang w:val="en-US" w:eastAsia="zh-CN"/>
        </w:rPr>
      </w:pPr>
    </w:p>
    <w:p w14:paraId="5112E57E">
      <w:pPr>
        <w:shd w:val="clea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 xml:space="preserve"> </w:t>
      </w:r>
    </w:p>
    <w:p w14:paraId="4DC87B80">
      <w:pPr>
        <w:shd w:val="clear"/>
        <w:jc w:val="center"/>
        <w:rPr>
          <w:rFonts w:hint="default" w:ascii="仿宋" w:hAnsi="仿宋" w:eastAsia="仿宋" w:cs="仿宋"/>
          <w:b/>
          <w:bCs/>
          <w:color w:val="auto"/>
          <w:sz w:val="28"/>
          <w:szCs w:val="28"/>
          <w:highlight w:val="none"/>
          <w:lang w:val="en-US" w:eastAsia="zh-CN"/>
        </w:rPr>
      </w:pPr>
      <w:r>
        <w:rPr>
          <w:rFonts w:hint="eastAsia" w:ascii="仿宋" w:hAnsi="仿宋" w:cs="仿宋"/>
          <w:b/>
          <w:bCs/>
          <w:color w:val="auto"/>
          <w:sz w:val="28"/>
          <w:szCs w:val="28"/>
          <w:highlight w:val="none"/>
          <w:lang w:val="en-US" w:eastAsia="zh-CN"/>
        </w:rPr>
        <w:t xml:space="preserve"> </w:t>
      </w:r>
      <w:r>
        <w:rPr>
          <w:rFonts w:hint="eastAsia" w:ascii="仿宋" w:hAnsi="仿宋" w:eastAsia="仿宋" w:cs="仿宋"/>
          <w:b/>
          <w:bCs/>
          <w:color w:val="auto"/>
          <w:sz w:val="28"/>
          <w:szCs w:val="28"/>
          <w:highlight w:val="none"/>
        </w:rPr>
        <w:t xml:space="preserve">年 </w:t>
      </w:r>
      <w:r>
        <w:rPr>
          <w:rFonts w:hint="eastAsia" w:ascii="仿宋" w:hAnsi="仿宋" w:eastAsia="仿宋" w:cs="仿宋"/>
          <w:b/>
          <w:bCs/>
          <w:color w:val="auto"/>
          <w:sz w:val="28"/>
          <w:szCs w:val="28"/>
          <w:highlight w:val="none"/>
          <w:lang w:val="en-US" w:eastAsia="zh-CN"/>
        </w:rPr>
        <w:t xml:space="preserve">  </w:t>
      </w:r>
      <w:r>
        <w:rPr>
          <w:rFonts w:hint="eastAsia" w:ascii="仿宋" w:hAnsi="仿宋" w:eastAsia="仿宋" w:cs="仿宋"/>
          <w:b/>
          <w:bCs/>
          <w:color w:val="auto"/>
          <w:sz w:val="28"/>
          <w:szCs w:val="28"/>
          <w:highlight w:val="none"/>
        </w:rPr>
        <w:t>月</w:t>
      </w:r>
      <w:r>
        <w:rPr>
          <w:rFonts w:hint="eastAsia" w:ascii="仿宋" w:hAnsi="仿宋" w:eastAsia="仿宋" w:cs="仿宋"/>
          <w:b/>
          <w:bCs/>
          <w:color w:val="auto"/>
          <w:sz w:val="28"/>
          <w:szCs w:val="28"/>
          <w:highlight w:val="none"/>
          <w:lang w:val="en-US" w:eastAsia="zh-CN"/>
        </w:rPr>
        <w:t xml:space="preserve">   日</w:t>
      </w:r>
    </w:p>
    <w:p w14:paraId="47774D19">
      <w:pPr>
        <w:shd w:val="clear"/>
        <w:rPr>
          <w:rFonts w:hint="eastAsia" w:ascii="仿宋" w:hAnsi="仿宋" w:eastAsia="仿宋" w:cs="仿宋"/>
          <w:b/>
          <w:color w:val="auto"/>
          <w:sz w:val="24"/>
          <w:szCs w:val="24"/>
          <w:highlight w:val="none"/>
        </w:rPr>
      </w:pPr>
    </w:p>
    <w:p w14:paraId="1FB0E1A2">
      <w:pPr>
        <w:keepNext w:val="0"/>
        <w:keepLines w:val="0"/>
        <w:pageBreakBefore w:val="0"/>
        <w:widowControl/>
        <w:shd w:val="clear"/>
        <w:kinsoku/>
        <w:wordWrap/>
        <w:overflowPunct/>
        <w:topLinePunct w:val="0"/>
        <w:bidi w:val="0"/>
        <w:adjustRightInd w:val="0"/>
        <w:snapToGrid/>
        <w:spacing w:line="360" w:lineRule="auto"/>
        <w:ind w:firstLine="482" w:firstLineChars="200"/>
        <w:textAlignment w:val="auto"/>
        <w:rPr>
          <w:rFonts w:hint="eastAsia" w:ascii="宋体" w:hAnsi="宋体" w:eastAsia="宋体" w:cs="宋体"/>
          <w:b/>
          <w:color w:val="000000"/>
          <w:sz w:val="24"/>
          <w:szCs w:val="24"/>
        </w:rPr>
      </w:pPr>
      <w:r>
        <w:rPr>
          <w:rFonts w:hint="eastAsia" w:ascii="仿宋" w:hAnsi="仿宋" w:eastAsia="仿宋" w:cs="仿宋"/>
          <w:b/>
          <w:color w:val="auto"/>
          <w:sz w:val="24"/>
          <w:szCs w:val="24"/>
          <w:highlight w:val="none"/>
        </w:rPr>
        <w:br w:type="page"/>
      </w:r>
      <w:r>
        <w:rPr>
          <w:rFonts w:hint="eastAsia" w:ascii="宋体" w:hAnsi="宋体" w:eastAsia="宋体" w:cs="宋体"/>
          <w:color w:val="000000"/>
          <w:sz w:val="24"/>
          <w:szCs w:val="24"/>
        </w:rPr>
        <w:t>（ 注：本合同格式仅供参考，具体条款内容由采购人和成交人协商确定，但不得改变竞争性磋商文件、磋商响应文件、成交通知书等实质性内容。）</w:t>
      </w:r>
    </w:p>
    <w:p w14:paraId="29979B97">
      <w:pPr>
        <w:keepLines w:val="0"/>
        <w:pageBreakBefore w:val="0"/>
        <w:widowControl/>
        <w:shd w:val="clear"/>
        <w:kinsoku/>
        <w:wordWrap/>
        <w:overflowPunct/>
        <w:topLinePunct w:val="0"/>
        <w:bidi w:val="0"/>
        <w:adjustRightInd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采购人（甲方）：</w:t>
      </w:r>
      <w:r>
        <w:rPr>
          <w:rFonts w:hint="eastAsia" w:ascii="宋体" w:hAnsi="宋体" w:eastAsia="宋体" w:cs="宋体"/>
          <w:sz w:val="24"/>
          <w:szCs w:val="24"/>
          <w:u w:val="single"/>
        </w:rPr>
        <w:t xml:space="preserve">                              </w:t>
      </w:r>
    </w:p>
    <w:p w14:paraId="1F477DD3">
      <w:pPr>
        <w:keepLines w:val="0"/>
        <w:pageBreakBefore w:val="0"/>
        <w:widowControl/>
        <w:shd w:val="clear"/>
        <w:kinsoku/>
        <w:wordWrap/>
        <w:overflowPunct/>
        <w:topLinePunct w:val="0"/>
        <w:bidi w:val="0"/>
        <w:adjustRightInd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供应商（乙方）：</w:t>
      </w:r>
      <w:r>
        <w:rPr>
          <w:rFonts w:hint="eastAsia" w:ascii="宋体" w:hAnsi="宋体" w:eastAsia="宋体" w:cs="宋体"/>
          <w:sz w:val="24"/>
          <w:szCs w:val="24"/>
          <w:u w:val="single"/>
        </w:rPr>
        <w:t xml:space="preserve">                              </w:t>
      </w:r>
    </w:p>
    <w:p w14:paraId="7B190D90">
      <w:pPr>
        <w:keepLines w:val="0"/>
        <w:pageBreakBefore w:val="0"/>
        <w:widowControl/>
        <w:shd w:val="clear"/>
        <w:kinsoku/>
        <w:wordWrap/>
        <w:overflowPunct/>
        <w:topLinePunct w:val="0"/>
        <w:bidi w:val="0"/>
        <w:adjustRightInd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依据《中华人民共和国</w:t>
      </w:r>
      <w:r>
        <w:rPr>
          <w:rFonts w:hint="eastAsia" w:ascii="宋体" w:hAnsi="宋体" w:eastAsia="宋体" w:cs="宋体"/>
          <w:sz w:val="24"/>
          <w:szCs w:val="24"/>
          <w:lang w:eastAsia="zh-CN"/>
        </w:rPr>
        <w:t>民法典</w:t>
      </w:r>
      <w:r>
        <w:rPr>
          <w:rFonts w:hint="eastAsia" w:ascii="宋体" w:hAnsi="宋体" w:eastAsia="宋体" w:cs="宋体"/>
          <w:sz w:val="24"/>
          <w:szCs w:val="24"/>
        </w:rPr>
        <w:t>》、《中华人民共和国政府采购法》与项目行业有关的法律法规，以及</w:t>
      </w:r>
      <w:r>
        <w:rPr>
          <w:rFonts w:hint="eastAsia" w:ascii="宋体" w:hAnsi="宋体" w:cs="宋体"/>
          <w:b/>
          <w:bCs/>
          <w:sz w:val="24"/>
          <w:szCs w:val="24"/>
          <w:highlight w:val="none"/>
          <w:u w:val="single"/>
          <w:lang w:val="en-US" w:eastAsia="zh-CN"/>
        </w:rPr>
        <w:t xml:space="preserve">      </w:t>
      </w:r>
      <w:r>
        <w:rPr>
          <w:rFonts w:hint="eastAsia" w:ascii="宋体" w:hAnsi="宋体" w:eastAsia="宋体" w:cs="宋体"/>
          <w:sz w:val="24"/>
          <w:szCs w:val="24"/>
          <w:highlight w:val="none"/>
        </w:rPr>
        <w:t>（项目编号：</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采购包号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的</w:t>
      </w:r>
      <w:r>
        <w:rPr>
          <w:rFonts w:hint="eastAsia" w:ascii="宋体" w:hAnsi="宋体" w:eastAsia="宋体" w:cs="宋体"/>
          <w:sz w:val="24"/>
          <w:szCs w:val="24"/>
        </w:rPr>
        <w:t>《</w:t>
      </w:r>
      <w:r>
        <w:rPr>
          <w:rFonts w:hint="eastAsia" w:ascii="宋体" w:hAnsi="宋体" w:eastAsia="宋体" w:cs="宋体"/>
          <w:sz w:val="24"/>
          <w:szCs w:val="24"/>
          <w:lang w:eastAsia="zh-CN"/>
        </w:rPr>
        <w:t>竞争性磋商</w:t>
      </w:r>
      <w:r>
        <w:rPr>
          <w:rFonts w:hint="eastAsia" w:ascii="宋体" w:hAnsi="宋体" w:eastAsia="宋体" w:cs="宋体"/>
          <w:sz w:val="24"/>
          <w:szCs w:val="24"/>
        </w:rPr>
        <w:t>文件》，乙方的《</w:t>
      </w:r>
      <w:r>
        <w:rPr>
          <w:rFonts w:hint="eastAsia" w:ascii="宋体" w:hAnsi="宋体" w:eastAsia="宋体" w:cs="宋体"/>
          <w:sz w:val="24"/>
          <w:szCs w:val="24"/>
          <w:lang w:eastAsia="zh-CN"/>
        </w:rPr>
        <w:t>竞争性磋商响应</w:t>
      </w:r>
      <w:r>
        <w:rPr>
          <w:rFonts w:hint="eastAsia" w:ascii="宋体" w:hAnsi="宋体" w:eastAsia="宋体" w:cs="宋体"/>
          <w:sz w:val="24"/>
          <w:szCs w:val="24"/>
        </w:rPr>
        <w:t>文件》及《</w:t>
      </w:r>
      <w:r>
        <w:rPr>
          <w:rFonts w:hint="eastAsia" w:ascii="宋体" w:hAnsi="宋体" w:eastAsia="宋体" w:cs="宋体"/>
          <w:sz w:val="24"/>
          <w:szCs w:val="24"/>
          <w:lang w:eastAsia="zh-CN"/>
        </w:rPr>
        <w:t>成交</w:t>
      </w:r>
      <w:r>
        <w:rPr>
          <w:rFonts w:hint="eastAsia" w:ascii="宋体" w:hAnsi="宋体" w:eastAsia="宋体" w:cs="宋体"/>
          <w:sz w:val="24"/>
          <w:szCs w:val="24"/>
        </w:rPr>
        <w:t>通知书》，甲、乙双方同意签订本合同。详细技术说明及其他有关合同项目的特定信息由合同附件予以说明，合同附件及本项目的《</w:t>
      </w:r>
      <w:r>
        <w:rPr>
          <w:rFonts w:hint="eastAsia" w:ascii="宋体" w:hAnsi="宋体" w:eastAsia="宋体" w:cs="宋体"/>
          <w:sz w:val="24"/>
          <w:szCs w:val="24"/>
          <w:lang w:eastAsia="zh-CN"/>
        </w:rPr>
        <w:t>竞争性磋商</w:t>
      </w:r>
      <w:r>
        <w:rPr>
          <w:rFonts w:hint="eastAsia" w:ascii="宋体" w:hAnsi="宋体" w:eastAsia="宋体" w:cs="宋体"/>
          <w:sz w:val="24"/>
          <w:szCs w:val="24"/>
        </w:rPr>
        <w:t>文件》、《</w:t>
      </w:r>
      <w:r>
        <w:rPr>
          <w:rFonts w:hint="eastAsia" w:ascii="宋体" w:hAnsi="宋体" w:eastAsia="宋体" w:cs="宋体"/>
          <w:sz w:val="24"/>
          <w:szCs w:val="24"/>
          <w:lang w:eastAsia="zh-CN"/>
        </w:rPr>
        <w:t>竞争性磋商响应</w:t>
      </w:r>
      <w:r>
        <w:rPr>
          <w:rFonts w:hint="eastAsia" w:ascii="宋体" w:hAnsi="宋体" w:eastAsia="宋体" w:cs="宋体"/>
          <w:sz w:val="24"/>
          <w:szCs w:val="24"/>
        </w:rPr>
        <w:t>文件》、《</w:t>
      </w:r>
      <w:r>
        <w:rPr>
          <w:rFonts w:hint="eastAsia" w:ascii="宋体" w:hAnsi="宋体" w:eastAsia="宋体" w:cs="宋体"/>
          <w:sz w:val="24"/>
          <w:szCs w:val="24"/>
          <w:lang w:eastAsia="zh-CN"/>
        </w:rPr>
        <w:t>成交</w:t>
      </w:r>
      <w:r>
        <w:rPr>
          <w:rFonts w:hint="eastAsia" w:ascii="宋体" w:hAnsi="宋体" w:eastAsia="宋体" w:cs="宋体"/>
          <w:sz w:val="24"/>
          <w:szCs w:val="24"/>
        </w:rPr>
        <w:t xml:space="preserve">通知书》等均为本合同的组成部分。 </w:t>
      </w:r>
    </w:p>
    <w:p w14:paraId="6D91F85B">
      <w:pPr>
        <w:ind w:firstLine="482" w:firstLineChars="200"/>
        <w:rPr>
          <w:rFonts w:hint="eastAsia"/>
          <w:lang w:val="en-US" w:eastAsia="zh-CN"/>
        </w:rPr>
      </w:pPr>
      <w:r>
        <w:rPr>
          <w:rFonts w:hint="eastAsia" w:ascii="宋体" w:hAnsi="宋体" w:eastAsia="宋体" w:cs="宋体"/>
          <w:b/>
          <w:sz w:val="24"/>
          <w:szCs w:val="24"/>
          <w:lang w:val="en-US" w:eastAsia="zh-CN"/>
        </w:rPr>
        <w:t>一、</w:t>
      </w:r>
      <w:r>
        <w:rPr>
          <w:rFonts w:hint="eastAsia" w:ascii="宋体" w:hAnsi="宋体" w:eastAsia="宋体" w:cs="宋体"/>
          <w:b/>
          <w:sz w:val="24"/>
          <w:szCs w:val="24"/>
          <w:lang w:val="zh-CN"/>
        </w:rPr>
        <w:t>合同内容:</w:t>
      </w:r>
      <w:r>
        <w:rPr>
          <w:rFonts w:hint="eastAsia"/>
          <w:lang w:val="en-US" w:eastAsia="zh-CN"/>
        </w:rPr>
        <w:t xml:space="preserve"> </w:t>
      </w:r>
    </w:p>
    <w:p w14:paraId="548F51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sz w:val="24"/>
          <w:szCs w:val="24"/>
          <w:lang w:val="zh-CN"/>
        </w:rPr>
      </w:pPr>
      <w:r>
        <w:rPr>
          <w:rFonts w:hint="eastAsia" w:ascii="宋体" w:hAnsi="宋体" w:eastAsia="宋体" w:cs="宋体"/>
          <w:b w:val="0"/>
          <w:bCs/>
          <w:sz w:val="24"/>
          <w:szCs w:val="24"/>
          <w:lang w:val="en-US" w:eastAsia="zh-CN"/>
        </w:rPr>
        <w:t>本合同为乙方对甲方的出勤车辆提供维修服务，服务范围为：车辆各级维护和故障修理、施救抢修、故障测试、车辆保养、技术咨询等车辆维修保养服务。本合同约定的甲方出勤车辆详见本合同所附《维保服务车辆清单》（附件一）。</w:t>
      </w:r>
      <w:r>
        <w:rPr>
          <w:rFonts w:hint="eastAsia"/>
          <w:lang w:val="en-US" w:eastAsia="zh-CN"/>
        </w:rPr>
        <w:t xml:space="preserve">                         </w:t>
      </w:r>
      <w:r>
        <w:rPr>
          <w:rFonts w:hint="eastAsia" w:ascii="宋体" w:hAnsi="宋体" w:eastAsia="宋体" w:cs="宋体"/>
          <w:b/>
          <w:sz w:val="24"/>
          <w:szCs w:val="24"/>
          <w:lang w:val="zh-CN"/>
        </w:rPr>
        <w:t>二、合同价款</w:t>
      </w:r>
    </w:p>
    <w:p w14:paraId="39235760">
      <w:pPr>
        <w:keepNext w:val="0"/>
        <w:keepLines w:val="0"/>
        <w:pageBreakBefore w:val="0"/>
        <w:widowControl w:val="0"/>
        <w:shd w:val="clear"/>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b w:val="0"/>
          <w:bCs/>
          <w:sz w:val="24"/>
          <w:szCs w:val="24"/>
          <w:lang w:val="zh-CN" w:eastAsia="zh-CN"/>
        </w:rPr>
      </w:pPr>
      <w:r>
        <w:rPr>
          <w:rFonts w:hint="eastAsia" w:ascii="宋体" w:hAnsi="宋体" w:eastAsia="宋体" w:cs="宋体"/>
          <w:b w:val="0"/>
          <w:bCs/>
          <w:sz w:val="24"/>
          <w:szCs w:val="24"/>
          <w:lang w:val="zh-CN" w:eastAsia="zh-CN"/>
        </w:rPr>
        <w:t>1、</w:t>
      </w:r>
      <w:r>
        <w:rPr>
          <w:rFonts w:hint="eastAsia" w:ascii="宋体" w:hAnsi="宋体" w:eastAsia="宋体" w:cs="宋体"/>
          <w:b w:val="0"/>
          <w:bCs/>
          <w:sz w:val="24"/>
          <w:szCs w:val="24"/>
          <w:lang w:val="en-US" w:eastAsia="zh-CN"/>
        </w:rPr>
        <w:t>合同暂定总价</w:t>
      </w:r>
      <w:r>
        <w:rPr>
          <w:rFonts w:hint="eastAsia" w:ascii="宋体" w:hAnsi="宋体" w:eastAsia="宋体" w:cs="宋体"/>
          <w:b w:val="0"/>
          <w:bCs/>
          <w:sz w:val="24"/>
          <w:szCs w:val="24"/>
          <w:lang w:val="zh-CN" w:eastAsia="zh-CN"/>
        </w:rPr>
        <w:t xml:space="preserve">： </w:t>
      </w:r>
      <w:r>
        <w:rPr>
          <w:rFonts w:hint="eastAsia" w:ascii="宋体" w:hAnsi="宋体" w:eastAsia="宋体" w:cs="宋体"/>
          <w:b w:val="0"/>
          <w:bCs/>
          <w:sz w:val="24"/>
          <w:szCs w:val="24"/>
          <w:u w:val="single"/>
          <w:lang w:val="zh-CN" w:eastAsia="zh-CN"/>
        </w:rPr>
        <w:t xml:space="preserve">                      </w:t>
      </w:r>
      <w:r>
        <w:rPr>
          <w:rFonts w:hint="eastAsia" w:ascii="宋体" w:hAnsi="宋体" w:eastAsia="宋体" w:cs="宋体"/>
          <w:b w:val="0"/>
          <w:bCs/>
          <w:sz w:val="24"/>
          <w:szCs w:val="24"/>
          <w:lang w:val="zh-CN" w:eastAsia="zh-CN"/>
        </w:rPr>
        <w:t xml:space="preserve">    </w:t>
      </w:r>
    </w:p>
    <w:p w14:paraId="1CD71F87">
      <w:pPr>
        <w:keepNext w:val="0"/>
        <w:keepLines w:val="0"/>
        <w:pageBreakBefore w:val="0"/>
        <w:widowControl w:val="0"/>
        <w:shd w:val="clear"/>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b w:val="0"/>
          <w:bCs/>
          <w:sz w:val="24"/>
          <w:szCs w:val="24"/>
          <w:lang w:val="zh-CN" w:eastAsia="zh-CN"/>
        </w:rPr>
      </w:pPr>
      <w:r>
        <w:rPr>
          <w:rFonts w:hint="eastAsia" w:ascii="宋体" w:hAnsi="宋体" w:eastAsia="宋体" w:cs="宋体"/>
          <w:b w:val="0"/>
          <w:bCs/>
          <w:sz w:val="24"/>
          <w:szCs w:val="24"/>
          <w:lang w:val="zh-CN" w:eastAsia="zh-CN"/>
        </w:rPr>
        <w:t>2、</w:t>
      </w:r>
      <w:r>
        <w:rPr>
          <w:rFonts w:hint="eastAsia" w:ascii="宋体" w:hAnsi="宋体" w:eastAsia="宋体" w:cs="宋体"/>
          <w:b w:val="0"/>
          <w:bCs/>
          <w:sz w:val="24"/>
          <w:szCs w:val="24"/>
          <w:lang w:val="en-US" w:eastAsia="zh-CN"/>
        </w:rPr>
        <w:t>折扣率：</w:t>
      </w:r>
      <w:r>
        <w:rPr>
          <w:rFonts w:hint="eastAsia" w:ascii="宋体" w:hAnsi="宋体" w:eastAsia="宋体" w:cs="宋体"/>
          <w:b w:val="0"/>
          <w:bCs/>
          <w:sz w:val="24"/>
          <w:szCs w:val="24"/>
          <w:lang w:val="zh-CN" w:eastAsia="zh-CN"/>
        </w:rPr>
        <w:t xml:space="preserve"> </w:t>
      </w:r>
      <w:r>
        <w:rPr>
          <w:rFonts w:hint="eastAsia" w:ascii="宋体" w:hAnsi="宋体" w:eastAsia="宋体" w:cs="宋体"/>
          <w:b w:val="0"/>
          <w:bCs/>
          <w:sz w:val="24"/>
          <w:szCs w:val="24"/>
          <w:u w:val="single"/>
          <w:lang w:val="zh-CN" w:eastAsia="zh-CN"/>
        </w:rPr>
        <w:t xml:space="preserve">               </w:t>
      </w:r>
      <w:r>
        <w:rPr>
          <w:rFonts w:hint="eastAsia" w:ascii="宋体" w:hAnsi="宋体" w:eastAsia="宋体" w:cs="宋体"/>
          <w:b w:val="0"/>
          <w:bCs/>
          <w:sz w:val="24"/>
          <w:szCs w:val="24"/>
          <w:u w:val="single"/>
          <w:lang w:val="en-US" w:eastAsia="zh-CN"/>
        </w:rPr>
        <w:t xml:space="preserve">      </w:t>
      </w:r>
      <w:r>
        <w:rPr>
          <w:rFonts w:hint="eastAsia" w:ascii="宋体" w:hAnsi="宋体" w:eastAsia="宋体" w:cs="宋体"/>
          <w:b w:val="0"/>
          <w:bCs/>
          <w:sz w:val="24"/>
          <w:szCs w:val="24"/>
          <w:u w:val="single"/>
          <w:lang w:val="zh-CN" w:eastAsia="zh-CN"/>
        </w:rPr>
        <w:t xml:space="preserve">       </w:t>
      </w:r>
      <w:r>
        <w:rPr>
          <w:rFonts w:hint="eastAsia" w:ascii="宋体" w:hAnsi="宋体" w:eastAsia="宋体" w:cs="宋体"/>
          <w:b w:val="0"/>
          <w:bCs/>
          <w:sz w:val="24"/>
          <w:szCs w:val="24"/>
          <w:lang w:val="zh-CN" w:eastAsia="zh-CN"/>
        </w:rPr>
        <w:t xml:space="preserve">   </w:t>
      </w:r>
    </w:p>
    <w:p w14:paraId="58F82117">
      <w:pPr>
        <w:keepLines w:val="0"/>
        <w:pageBreakBefore w:val="0"/>
        <w:widowControl/>
        <w:shd w:val="clear"/>
        <w:kinsoku/>
        <w:wordWrap/>
        <w:overflowPunct/>
        <w:topLinePunct w:val="0"/>
        <w:bidi w:val="0"/>
        <w:adjustRightInd w:val="0"/>
        <w:snapToGrid/>
        <w:spacing w:line="360" w:lineRule="auto"/>
        <w:ind w:firstLine="482" w:firstLineChars="200"/>
        <w:rPr>
          <w:rFonts w:hint="eastAsia" w:ascii="宋体" w:hAnsi="宋体" w:eastAsia="宋体" w:cs="宋体"/>
          <w:b/>
          <w:sz w:val="24"/>
          <w:szCs w:val="24"/>
          <w:lang w:val="zh-CN"/>
        </w:rPr>
      </w:pPr>
      <w:r>
        <w:rPr>
          <w:rFonts w:hint="eastAsia" w:ascii="宋体" w:hAnsi="宋体" w:eastAsia="宋体" w:cs="宋体"/>
          <w:b/>
          <w:sz w:val="24"/>
          <w:szCs w:val="24"/>
          <w:lang w:val="zh-CN"/>
        </w:rPr>
        <w:t>三、合同结算</w:t>
      </w:r>
    </w:p>
    <w:p w14:paraId="51991BB2">
      <w:pPr>
        <w:keepNext w:val="0"/>
        <w:keepLines w:val="0"/>
        <w:pageBreakBefore w:val="0"/>
        <w:widowControl w:val="0"/>
        <w:shd w:val="clear"/>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b w:val="0"/>
          <w:bCs/>
          <w:sz w:val="24"/>
          <w:szCs w:val="24"/>
          <w:lang w:val="zh-CN" w:eastAsia="zh-CN"/>
        </w:rPr>
      </w:pPr>
      <w:r>
        <w:rPr>
          <w:rFonts w:hint="eastAsia" w:ascii="宋体" w:hAnsi="宋体" w:eastAsia="宋体" w:cs="宋体"/>
          <w:b w:val="0"/>
          <w:bCs/>
          <w:sz w:val="24"/>
          <w:szCs w:val="24"/>
          <w:lang w:val="zh-CN" w:eastAsia="zh-CN"/>
        </w:rPr>
        <w:t>1、付款比例：</w:t>
      </w:r>
      <w:r>
        <w:rPr>
          <w:rFonts w:hint="default" w:ascii="宋体" w:hAnsi="宋体" w:eastAsia="宋体" w:cs="宋体"/>
          <w:b w:val="0"/>
          <w:bCs/>
          <w:sz w:val="24"/>
          <w:szCs w:val="24"/>
          <w:lang w:val="en-US" w:eastAsia="zh-CN"/>
        </w:rPr>
        <w:t>合同签订后，每月所产生的费用，经采购人确认后按月</w:t>
      </w:r>
      <w:r>
        <w:rPr>
          <w:rFonts w:hint="eastAsia" w:ascii="宋体" w:hAnsi="宋体" w:eastAsia="宋体" w:cs="宋体"/>
          <w:b w:val="0"/>
          <w:bCs/>
          <w:sz w:val="24"/>
          <w:szCs w:val="24"/>
          <w:lang w:val="en-US" w:eastAsia="zh-CN"/>
        </w:rPr>
        <w:t>据实</w:t>
      </w:r>
      <w:r>
        <w:rPr>
          <w:rFonts w:hint="default" w:ascii="宋体" w:hAnsi="宋体" w:eastAsia="宋体" w:cs="宋体"/>
          <w:b w:val="0"/>
          <w:bCs/>
          <w:sz w:val="24"/>
          <w:szCs w:val="24"/>
          <w:lang w:val="en-US" w:eastAsia="zh-CN"/>
        </w:rPr>
        <w:t>结算</w:t>
      </w:r>
      <w:r>
        <w:rPr>
          <w:rFonts w:hint="eastAsia" w:ascii="宋体" w:hAnsi="宋体" w:eastAsia="宋体" w:cs="宋体"/>
          <w:b w:val="0"/>
          <w:bCs/>
          <w:sz w:val="24"/>
          <w:szCs w:val="24"/>
          <w:lang w:val="en-US" w:eastAsia="zh-CN"/>
        </w:rPr>
        <w:t>，（实际结算车辆配件及更换工时费=车辆配件及更换工时费设定的最高限价（详见合同附件）*折扣率），合同履行期间最终结算总金额不超过采购预算。按月据实结算，</w:t>
      </w:r>
      <w:r>
        <w:rPr>
          <w:rFonts w:hint="default" w:ascii="宋体" w:hAnsi="宋体" w:eastAsia="宋体" w:cs="宋体"/>
          <w:b w:val="0"/>
          <w:bCs/>
          <w:sz w:val="24"/>
          <w:szCs w:val="24"/>
          <w:lang w:val="en-US" w:eastAsia="zh-CN"/>
        </w:rPr>
        <w:t>成交供应商须按照采购人要求提供等额增值税发票</w:t>
      </w:r>
      <w:r>
        <w:rPr>
          <w:rFonts w:hint="eastAsia" w:ascii="宋体" w:hAnsi="宋体" w:eastAsia="宋体" w:cs="宋体"/>
          <w:b w:val="0"/>
          <w:bCs/>
          <w:sz w:val="24"/>
          <w:szCs w:val="24"/>
          <w:lang w:val="en-US" w:eastAsia="zh-CN"/>
        </w:rPr>
        <w:t>，采购人于次月支付当月货款的100%。</w:t>
      </w:r>
    </w:p>
    <w:p w14:paraId="14C5D44A">
      <w:pPr>
        <w:keepNext w:val="0"/>
        <w:keepLines w:val="0"/>
        <w:pageBreakBefore w:val="0"/>
        <w:widowControl w:val="0"/>
        <w:shd w:val="clear"/>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2、结算方式：采取银行转账方式支付。付款前，乙方须按照甲方要求提供合法等额有效增值税发票。乙方未提供合法等额有效的增值税发票的，甲方有权拒绝付款并不承担因此产生的逾期责任。</w:t>
      </w:r>
    </w:p>
    <w:p w14:paraId="45BAB823">
      <w:pPr>
        <w:keepNext w:val="0"/>
        <w:keepLines w:val="0"/>
        <w:pageBreakBefore w:val="0"/>
        <w:widowControl w:val="0"/>
        <w:shd w:val="clear"/>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b w:val="0"/>
          <w:bCs/>
          <w:sz w:val="24"/>
          <w:szCs w:val="24"/>
          <w:lang w:val="zh-CN" w:eastAsia="zh-CN"/>
        </w:rPr>
      </w:pPr>
      <w:r>
        <w:rPr>
          <w:rFonts w:hint="eastAsia" w:ascii="宋体" w:hAnsi="宋体" w:eastAsia="宋体" w:cs="宋体"/>
          <w:b w:val="0"/>
          <w:bCs/>
          <w:sz w:val="24"/>
          <w:szCs w:val="24"/>
          <w:lang w:val="en-US" w:eastAsia="zh-CN"/>
        </w:rPr>
        <w:t>3</w:t>
      </w:r>
      <w:r>
        <w:rPr>
          <w:rFonts w:hint="eastAsia" w:ascii="宋体" w:hAnsi="宋体" w:eastAsia="宋体" w:cs="宋体"/>
          <w:b w:val="0"/>
          <w:bCs/>
          <w:sz w:val="24"/>
          <w:szCs w:val="24"/>
          <w:lang w:val="zh-CN" w:eastAsia="zh-CN"/>
        </w:rPr>
        <w:t>、结算单位：由甲方负责结算，</w:t>
      </w:r>
      <w:r>
        <w:rPr>
          <w:rFonts w:hint="eastAsia" w:ascii="宋体" w:hAnsi="宋体" w:eastAsia="宋体" w:cs="宋体"/>
          <w:b w:val="0"/>
          <w:bCs/>
          <w:sz w:val="24"/>
          <w:szCs w:val="24"/>
          <w:lang w:val="en-US" w:eastAsia="zh-CN"/>
        </w:rPr>
        <w:t>乙方</w:t>
      </w:r>
      <w:r>
        <w:rPr>
          <w:rFonts w:hint="eastAsia" w:ascii="宋体" w:hAnsi="宋体" w:eastAsia="宋体" w:cs="宋体"/>
          <w:b w:val="0"/>
          <w:bCs/>
          <w:sz w:val="24"/>
          <w:szCs w:val="24"/>
          <w:lang w:val="zh-CN" w:eastAsia="zh-CN"/>
        </w:rPr>
        <w:t>根据要求开具相应等额增值税发票交甲方。</w:t>
      </w:r>
    </w:p>
    <w:p w14:paraId="1639980F">
      <w:pPr>
        <w:keepNext w:val="0"/>
        <w:keepLines w:val="0"/>
        <w:pageBreakBefore w:val="0"/>
        <w:widowControl w:val="0"/>
        <w:shd w:val="clear"/>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b w:val="0"/>
          <w:bCs/>
          <w:sz w:val="24"/>
          <w:szCs w:val="24"/>
          <w:lang w:val="zh-CN" w:eastAsia="zh-CN"/>
        </w:rPr>
      </w:pPr>
      <w:r>
        <w:rPr>
          <w:rFonts w:hint="eastAsia" w:ascii="宋体" w:hAnsi="宋体" w:eastAsia="宋体" w:cs="宋体"/>
          <w:b w:val="0"/>
          <w:bCs/>
          <w:sz w:val="24"/>
          <w:szCs w:val="24"/>
          <w:lang w:val="zh-CN" w:eastAsia="zh-CN"/>
        </w:rPr>
        <w:t>乙方账户信息如下：</w:t>
      </w:r>
    </w:p>
    <w:p w14:paraId="0DE35B0B">
      <w:pPr>
        <w:keepNext w:val="0"/>
        <w:keepLines w:val="0"/>
        <w:pageBreakBefore w:val="0"/>
        <w:widowControl w:val="0"/>
        <w:shd w:val="clear"/>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b w:val="0"/>
          <w:bCs/>
          <w:sz w:val="24"/>
          <w:szCs w:val="24"/>
          <w:lang w:val="zh-CN" w:eastAsia="zh-CN"/>
        </w:rPr>
      </w:pPr>
      <w:r>
        <w:rPr>
          <w:rFonts w:hint="eastAsia" w:ascii="宋体" w:hAnsi="宋体" w:eastAsia="宋体" w:cs="宋体"/>
          <w:b w:val="0"/>
          <w:bCs/>
          <w:sz w:val="24"/>
          <w:szCs w:val="24"/>
          <w:lang w:val="zh-CN" w:eastAsia="zh-CN"/>
        </w:rPr>
        <w:t>户  名：</w:t>
      </w:r>
    </w:p>
    <w:p w14:paraId="1A83CA9C">
      <w:pPr>
        <w:keepNext w:val="0"/>
        <w:keepLines w:val="0"/>
        <w:pageBreakBefore w:val="0"/>
        <w:widowControl w:val="0"/>
        <w:shd w:val="clear"/>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b w:val="0"/>
          <w:bCs/>
          <w:sz w:val="24"/>
          <w:szCs w:val="24"/>
          <w:lang w:val="zh-CN" w:eastAsia="zh-CN"/>
        </w:rPr>
      </w:pPr>
      <w:r>
        <w:rPr>
          <w:rFonts w:hint="eastAsia" w:ascii="宋体" w:hAnsi="宋体" w:eastAsia="宋体" w:cs="宋体"/>
          <w:b w:val="0"/>
          <w:bCs/>
          <w:sz w:val="24"/>
          <w:szCs w:val="24"/>
          <w:lang w:val="zh-CN" w:eastAsia="zh-CN"/>
        </w:rPr>
        <w:t>开户行：</w:t>
      </w:r>
    </w:p>
    <w:p w14:paraId="39C8214A">
      <w:pPr>
        <w:keepNext w:val="0"/>
        <w:keepLines w:val="0"/>
        <w:pageBreakBefore w:val="0"/>
        <w:widowControl w:val="0"/>
        <w:shd w:val="clear"/>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b w:val="0"/>
          <w:bCs/>
          <w:sz w:val="24"/>
          <w:szCs w:val="24"/>
          <w:lang w:val="zh-CN" w:eastAsia="zh-CN"/>
        </w:rPr>
      </w:pPr>
      <w:r>
        <w:rPr>
          <w:rFonts w:hint="eastAsia" w:ascii="宋体" w:hAnsi="宋体" w:eastAsia="宋体" w:cs="宋体"/>
          <w:b w:val="0"/>
          <w:bCs/>
          <w:sz w:val="24"/>
          <w:szCs w:val="24"/>
          <w:lang w:val="zh-CN" w:eastAsia="zh-CN"/>
        </w:rPr>
        <w:t>账  号：</w:t>
      </w:r>
    </w:p>
    <w:p w14:paraId="57725709">
      <w:pPr>
        <w:keepNext w:val="0"/>
        <w:keepLines w:val="0"/>
        <w:pageBreakBefore w:val="0"/>
        <w:widowControl w:val="0"/>
        <w:shd w:val="clear"/>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b w:val="0"/>
          <w:bCs/>
          <w:sz w:val="24"/>
          <w:szCs w:val="24"/>
          <w:lang w:val="zh-CN" w:eastAsia="zh-CN"/>
        </w:rPr>
      </w:pPr>
      <w:r>
        <w:rPr>
          <w:rFonts w:hint="eastAsia" w:ascii="宋体" w:hAnsi="宋体" w:eastAsia="宋体" w:cs="宋体"/>
          <w:b w:val="0"/>
          <w:bCs/>
          <w:sz w:val="24"/>
          <w:szCs w:val="24"/>
          <w:lang w:val="zh-CN" w:eastAsia="zh-CN"/>
        </w:rPr>
        <w:t>甲方开票信息如下：</w:t>
      </w:r>
    </w:p>
    <w:p w14:paraId="5BB3A746">
      <w:pPr>
        <w:keepNext w:val="0"/>
        <w:keepLines w:val="0"/>
        <w:pageBreakBefore w:val="0"/>
        <w:widowControl w:val="0"/>
        <w:shd w:val="clear"/>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b w:val="0"/>
          <w:bCs/>
          <w:sz w:val="24"/>
          <w:szCs w:val="24"/>
          <w:lang w:val="zh-CN" w:eastAsia="zh-CN"/>
        </w:rPr>
      </w:pPr>
      <w:r>
        <w:rPr>
          <w:rFonts w:hint="eastAsia" w:ascii="宋体" w:hAnsi="宋体" w:eastAsia="宋体" w:cs="宋体"/>
          <w:b w:val="0"/>
          <w:bCs/>
          <w:sz w:val="24"/>
          <w:szCs w:val="24"/>
          <w:lang w:val="zh-CN" w:eastAsia="zh-CN"/>
        </w:rPr>
        <w:t>单 位  名 称：</w:t>
      </w:r>
    </w:p>
    <w:p w14:paraId="1C0F1A40">
      <w:pPr>
        <w:keepNext w:val="0"/>
        <w:keepLines w:val="0"/>
        <w:pageBreakBefore w:val="0"/>
        <w:widowControl w:val="0"/>
        <w:shd w:val="clear"/>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b w:val="0"/>
          <w:bCs/>
          <w:sz w:val="24"/>
          <w:szCs w:val="24"/>
          <w:lang w:val="zh-CN" w:eastAsia="zh-CN"/>
        </w:rPr>
      </w:pPr>
      <w:r>
        <w:rPr>
          <w:rFonts w:hint="eastAsia" w:ascii="宋体" w:hAnsi="宋体" w:eastAsia="宋体" w:cs="宋体"/>
          <w:b w:val="0"/>
          <w:bCs/>
          <w:sz w:val="24"/>
          <w:szCs w:val="24"/>
          <w:lang w:val="zh-CN" w:eastAsia="zh-CN"/>
        </w:rPr>
        <w:t>纳税人识别号：</w:t>
      </w:r>
    </w:p>
    <w:p w14:paraId="3182C4B4">
      <w:pPr>
        <w:keepNext w:val="0"/>
        <w:keepLines w:val="0"/>
        <w:pageBreakBefore w:val="0"/>
        <w:widowControl w:val="0"/>
        <w:shd w:val="clear"/>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b w:val="0"/>
          <w:bCs/>
          <w:sz w:val="24"/>
          <w:szCs w:val="24"/>
          <w:lang w:val="zh-CN" w:eastAsia="zh-CN"/>
        </w:rPr>
      </w:pPr>
      <w:r>
        <w:rPr>
          <w:rFonts w:hint="eastAsia" w:ascii="宋体" w:hAnsi="宋体" w:eastAsia="宋体" w:cs="宋体"/>
          <w:b w:val="0"/>
          <w:bCs/>
          <w:sz w:val="24"/>
          <w:szCs w:val="24"/>
          <w:lang w:val="zh-CN" w:eastAsia="zh-CN"/>
        </w:rPr>
        <w:t>地        址：</w:t>
      </w:r>
    </w:p>
    <w:p w14:paraId="45677DA8">
      <w:pPr>
        <w:keepNext w:val="0"/>
        <w:keepLines w:val="0"/>
        <w:pageBreakBefore w:val="0"/>
        <w:widowControl w:val="0"/>
        <w:shd w:val="clear"/>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b w:val="0"/>
          <w:bCs/>
          <w:sz w:val="24"/>
          <w:szCs w:val="24"/>
          <w:lang w:val="zh-CN" w:eastAsia="zh-CN"/>
        </w:rPr>
      </w:pPr>
      <w:r>
        <w:rPr>
          <w:rFonts w:hint="eastAsia" w:ascii="宋体" w:hAnsi="宋体" w:eastAsia="宋体" w:cs="宋体"/>
          <w:b w:val="0"/>
          <w:bCs/>
          <w:sz w:val="24"/>
          <w:szCs w:val="24"/>
          <w:lang w:val="zh-CN" w:eastAsia="zh-CN"/>
        </w:rPr>
        <w:t>电        话：</w:t>
      </w:r>
    </w:p>
    <w:p w14:paraId="2070205E">
      <w:pPr>
        <w:keepNext w:val="0"/>
        <w:keepLines w:val="0"/>
        <w:pageBreakBefore w:val="0"/>
        <w:widowControl w:val="0"/>
        <w:shd w:val="clear"/>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b w:val="0"/>
          <w:bCs/>
          <w:sz w:val="24"/>
          <w:szCs w:val="24"/>
          <w:lang w:val="zh-CN" w:eastAsia="zh-CN"/>
        </w:rPr>
      </w:pPr>
      <w:r>
        <w:rPr>
          <w:rFonts w:hint="eastAsia" w:ascii="宋体" w:hAnsi="宋体" w:eastAsia="宋体" w:cs="宋体"/>
          <w:b w:val="0"/>
          <w:bCs/>
          <w:sz w:val="24"/>
          <w:szCs w:val="24"/>
          <w:lang w:val="zh-CN" w:eastAsia="zh-CN"/>
        </w:rPr>
        <w:t>开   户   行：</w:t>
      </w:r>
    </w:p>
    <w:p w14:paraId="38569C7D">
      <w:pPr>
        <w:keepNext w:val="0"/>
        <w:keepLines w:val="0"/>
        <w:pageBreakBefore w:val="0"/>
        <w:widowControl w:val="0"/>
        <w:shd w:val="clear"/>
        <w:kinsoku/>
        <w:wordWrap/>
        <w:overflowPunct/>
        <w:topLinePunct w:val="0"/>
        <w:autoSpaceDE/>
        <w:autoSpaceDN/>
        <w:bidi w:val="0"/>
        <w:adjustRightInd w:val="0"/>
        <w:snapToGrid/>
        <w:spacing w:line="360" w:lineRule="auto"/>
        <w:ind w:firstLine="480" w:firstLineChars="200"/>
        <w:textAlignment w:val="auto"/>
        <w:rPr>
          <w:rFonts w:hint="eastAsia"/>
          <w:lang w:val="zh-CN" w:eastAsia="zh-CN"/>
        </w:rPr>
      </w:pPr>
      <w:r>
        <w:rPr>
          <w:rFonts w:hint="eastAsia" w:ascii="宋体" w:hAnsi="宋体" w:eastAsia="宋体" w:cs="宋体"/>
          <w:b w:val="0"/>
          <w:bCs/>
          <w:sz w:val="24"/>
          <w:szCs w:val="24"/>
          <w:lang w:val="zh-CN" w:eastAsia="zh-CN"/>
        </w:rPr>
        <w:t xml:space="preserve">账        号：  </w:t>
      </w:r>
      <w:r>
        <w:rPr>
          <w:rFonts w:hint="eastAsia"/>
          <w:lang w:val="zh-CN" w:eastAsia="zh-CN"/>
        </w:rPr>
        <w:t xml:space="preserve"> </w:t>
      </w:r>
    </w:p>
    <w:p w14:paraId="292C747C">
      <w:pPr>
        <w:keepLines w:val="0"/>
        <w:pageBreakBefore w:val="0"/>
        <w:widowControl/>
        <w:shd w:val="clear"/>
        <w:kinsoku/>
        <w:wordWrap/>
        <w:overflowPunct/>
        <w:topLinePunct w:val="0"/>
        <w:bidi w:val="0"/>
        <w:adjustRightInd w:val="0"/>
        <w:snapToGrid/>
        <w:spacing w:line="360" w:lineRule="auto"/>
        <w:ind w:firstLine="482" w:firstLineChars="200"/>
        <w:rPr>
          <w:rFonts w:hint="eastAsia" w:ascii="宋体" w:hAnsi="宋体" w:eastAsia="宋体" w:cs="宋体"/>
          <w:b/>
          <w:sz w:val="24"/>
          <w:szCs w:val="24"/>
          <w:lang w:val="zh-CN"/>
        </w:rPr>
      </w:pPr>
      <w:r>
        <w:rPr>
          <w:rFonts w:hint="eastAsia" w:ascii="宋体" w:hAnsi="宋体" w:eastAsia="宋体" w:cs="宋体"/>
          <w:b/>
          <w:sz w:val="24"/>
          <w:szCs w:val="24"/>
          <w:lang w:val="zh-CN"/>
        </w:rPr>
        <w:t>四、履行期限、地点及方式:</w:t>
      </w:r>
    </w:p>
    <w:p w14:paraId="25A5C820">
      <w:pPr>
        <w:keepNext w:val="0"/>
        <w:keepLines w:val="0"/>
        <w:pageBreakBefore w:val="0"/>
        <w:widowControl w:val="0"/>
        <w:shd w:val="clear"/>
        <w:kinsoku/>
        <w:wordWrap/>
        <w:overflowPunct/>
        <w:topLinePunct w:val="0"/>
        <w:autoSpaceDE/>
        <w:autoSpaceDN/>
        <w:bidi w:val="0"/>
        <w:adjustRightInd w:val="0"/>
        <w:snapToGrid/>
        <w:spacing w:line="360" w:lineRule="auto"/>
        <w:ind w:firstLine="480" w:firstLineChars="200"/>
        <w:textAlignment w:val="auto"/>
        <w:rPr>
          <w:rFonts w:hint="default"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1、服务期：自合同签订之日起1年</w:t>
      </w:r>
    </w:p>
    <w:p w14:paraId="5401583F">
      <w:pPr>
        <w:keepNext w:val="0"/>
        <w:keepLines w:val="0"/>
        <w:pageBreakBefore w:val="0"/>
        <w:widowControl w:val="0"/>
        <w:shd w:val="clear"/>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2、地点：甲方指定地点</w:t>
      </w:r>
    </w:p>
    <w:p w14:paraId="016E1054">
      <w:pPr>
        <w:keepNext w:val="0"/>
        <w:keepLines w:val="0"/>
        <w:pageBreakBefore w:val="0"/>
        <w:widowControl w:val="0"/>
        <w:shd w:val="clear"/>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3、方式：按照甲方要求</w:t>
      </w:r>
    </w:p>
    <w:p w14:paraId="5ED3E4C5">
      <w:pPr>
        <w:keepLines w:val="0"/>
        <w:pageBreakBefore w:val="0"/>
        <w:widowControl/>
        <w:shd w:val="clear"/>
        <w:kinsoku/>
        <w:wordWrap/>
        <w:overflowPunct/>
        <w:topLinePunct w:val="0"/>
        <w:bidi w:val="0"/>
        <w:adjustRightInd w:val="0"/>
        <w:snapToGrid/>
        <w:spacing w:line="360" w:lineRule="auto"/>
        <w:ind w:firstLine="482" w:firstLineChars="200"/>
        <w:rPr>
          <w:rFonts w:hint="eastAsia" w:ascii="宋体" w:hAnsi="宋体" w:eastAsia="宋体" w:cs="宋体"/>
          <w:b/>
          <w:sz w:val="24"/>
          <w:szCs w:val="24"/>
          <w:lang w:val="zh-CN"/>
        </w:rPr>
      </w:pPr>
      <w:r>
        <w:rPr>
          <w:rFonts w:hint="eastAsia" w:ascii="宋体" w:hAnsi="宋体" w:eastAsia="宋体" w:cs="宋体"/>
          <w:b/>
          <w:sz w:val="24"/>
          <w:szCs w:val="24"/>
          <w:lang w:val="zh-CN"/>
        </w:rPr>
        <w:t>五、质量保证</w:t>
      </w:r>
    </w:p>
    <w:p w14:paraId="66DAC85A">
      <w:pPr>
        <w:keepNext w:val="0"/>
        <w:keepLines w:val="0"/>
        <w:pageBreakBefore w:val="0"/>
        <w:widowControl w:val="0"/>
        <w:shd w:val="clear"/>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1、乙方在维修生产中应遵守和执行下列国家和地方法规和标准，以保证维修质量。</w:t>
      </w:r>
    </w:p>
    <w:p w14:paraId="5F6BF0B0">
      <w:pPr>
        <w:keepNext w:val="0"/>
        <w:keepLines w:val="0"/>
        <w:pageBreakBefore w:val="0"/>
        <w:widowControl w:val="0"/>
        <w:shd w:val="clear"/>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（1）国务院发布的《工业产品质量责任条例》的有关规定；</w:t>
      </w:r>
    </w:p>
    <w:p w14:paraId="7DF6A1DB">
      <w:pPr>
        <w:keepNext w:val="0"/>
        <w:keepLines w:val="0"/>
        <w:pageBreakBefore w:val="0"/>
        <w:widowControl w:val="0"/>
        <w:shd w:val="clear"/>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（2）国家标准局发布的机动车维修管理规定，以及机动车运行安全技术条件、机动车允许噪声及测量方法和汽、柴油车排放标准及测量方法等技术标准；</w:t>
      </w:r>
    </w:p>
    <w:p w14:paraId="77CE793C">
      <w:pPr>
        <w:keepNext w:val="0"/>
        <w:keepLines w:val="0"/>
        <w:pageBreakBefore w:val="0"/>
        <w:widowControl w:val="0"/>
        <w:shd w:val="clear"/>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（3）交通部及省、市交通部门发布的有关汽车维修技术标准（技术条件）；</w:t>
      </w:r>
    </w:p>
    <w:p w14:paraId="54DACEAB">
      <w:pPr>
        <w:keepNext w:val="0"/>
        <w:keepLines w:val="0"/>
        <w:pageBreakBefore w:val="0"/>
        <w:widowControl w:val="0"/>
        <w:shd w:val="clear"/>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4）机动车维修在国标、部标、地方标准没有涉及到的维修项目，应参照原车生产厂家维修手册、使用说明书和有关维修技术资料进行维修，同时制订企业标准，报市汽车维修主管部门或更高级主管部门确认和备案。</w:t>
      </w:r>
    </w:p>
    <w:p w14:paraId="2D59CD14">
      <w:pPr>
        <w:keepNext w:val="0"/>
        <w:keepLines w:val="0"/>
        <w:pageBreakBefore w:val="0"/>
        <w:widowControl w:val="0"/>
        <w:shd w:val="clear"/>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2、维修出厂的车辆，实行出厂合格证和质量保证期制度。整车修理的车辆的质量保证期不少于100天（或行驶里程不少于2万公里）；二级维护的车辆，质量保证期不少于30天（或行驶里程不少于5000公里）。在质量保证期内，因维修质量原因造成机动车无法正常使用，原维修厂家应及时无偿返修，不得故意拖延或者无理拒绝，车辆返修率要控制在3%以内。</w:t>
      </w:r>
    </w:p>
    <w:p w14:paraId="39C44A1C">
      <w:pPr>
        <w:keepNext w:val="0"/>
        <w:keepLines w:val="0"/>
        <w:pageBreakBefore w:val="0"/>
        <w:widowControl w:val="0"/>
        <w:shd w:val="clear"/>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3、须建立“自检、互检、专检”制度。对维修的车辆实行自进厂签订合同、派工作业、过程检验、装配、整车检测到合格出厂等全过程质量负责制。</w:t>
      </w:r>
    </w:p>
    <w:p w14:paraId="408B4D19">
      <w:pPr>
        <w:keepNext w:val="0"/>
        <w:keepLines w:val="0"/>
        <w:pageBreakBefore w:val="0"/>
        <w:widowControl w:val="0"/>
        <w:shd w:val="clear"/>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4、凡可以维修的部件，不得以换代修；不得与相关人员串通，虚假修车或虚报维修项目，损害车属单位的利益。</w:t>
      </w:r>
    </w:p>
    <w:p w14:paraId="3F75AF1C">
      <w:pPr>
        <w:keepNext w:val="0"/>
        <w:keepLines w:val="0"/>
        <w:pageBreakBefore w:val="0"/>
        <w:widowControl w:val="0"/>
        <w:shd w:val="clear"/>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5、由于修理或配件质量问题而引起的车辆故障，由投标人进行保修或返修，所产生的所有费用由投标人承担。</w:t>
      </w:r>
    </w:p>
    <w:p w14:paraId="4AA0EF8E">
      <w:pPr>
        <w:keepNext w:val="0"/>
        <w:keepLines w:val="0"/>
        <w:pageBreakBefore w:val="0"/>
        <w:widowControl w:val="0"/>
        <w:shd w:val="clear"/>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6、维修车辆所使用的零配件，必须是正厂零配件，确因特殊情况需使用副厂合格零配件的，应事先告知用户，并在维修单中注明。严格禁止使用假冒劣质零配件。在取得送修单位同意并保证车辆正常安全行驶的情况下方可使用，但车辆的关键部位，如：发动机、离合器、变速箱、转向系统、制动系统等禁止使用副厂零配件。</w:t>
      </w:r>
    </w:p>
    <w:p w14:paraId="0B00F0A4">
      <w:pPr>
        <w:keepNext w:val="0"/>
        <w:keepLines w:val="0"/>
        <w:pageBreakBefore w:val="0"/>
        <w:widowControl w:val="0"/>
        <w:shd w:val="clear"/>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7.维修的车辆出厂，必须经专门的质检技术人员按规定的程序进行检测，并开具《汽车维修竣工出厂合格证》和《质量保证书》（列明详细清单作为合同附件）。</w:t>
      </w:r>
    </w:p>
    <w:p w14:paraId="58C0A319">
      <w:pPr>
        <w:keepNext/>
        <w:keepLines w:val="0"/>
        <w:pageBreakBefore w:val="0"/>
        <w:widowControl/>
        <w:shd w:val="clear"/>
        <w:kinsoku/>
        <w:wordWrap/>
        <w:overflowPunct/>
        <w:topLinePunct w:val="0"/>
        <w:bidi w:val="0"/>
        <w:adjustRightInd w:val="0"/>
        <w:snapToGrid/>
        <w:spacing w:line="360" w:lineRule="auto"/>
        <w:ind w:firstLine="482" w:firstLineChars="200"/>
        <w:outlineLvl w:val="1"/>
        <w:rPr>
          <w:rFonts w:hint="eastAsia" w:ascii="宋体" w:hAnsi="宋体" w:eastAsia="宋体" w:cs="宋体"/>
          <w:sz w:val="24"/>
          <w:szCs w:val="24"/>
        </w:rPr>
      </w:pPr>
      <w:r>
        <w:rPr>
          <w:rFonts w:hint="eastAsia" w:ascii="宋体" w:hAnsi="宋体" w:eastAsia="宋体" w:cs="宋体"/>
          <w:b/>
          <w:sz w:val="24"/>
          <w:szCs w:val="24"/>
          <w:lang w:val="zh-CN"/>
        </w:rPr>
        <w:t>六、合同实施：</w:t>
      </w:r>
    </w:p>
    <w:p w14:paraId="2A432C95">
      <w:pPr>
        <w:keepLines w:val="0"/>
        <w:pageBreakBefore w:val="0"/>
        <w:widowControl/>
        <w:shd w:val="clear"/>
        <w:kinsoku/>
        <w:wordWrap/>
        <w:overflowPunct/>
        <w:topLinePunct w:val="0"/>
        <w:bidi w:val="0"/>
        <w:adjustRightInd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w:t>
      </w:r>
      <w:r>
        <w:rPr>
          <w:rFonts w:hint="eastAsia" w:ascii="宋体" w:hAnsi="宋体" w:eastAsia="宋体" w:cs="宋体"/>
          <w:sz w:val="24"/>
          <w:szCs w:val="24"/>
          <w:lang w:val="en-US" w:eastAsia="zh-CN"/>
        </w:rPr>
        <w:t>乙方成交</w:t>
      </w:r>
      <w:r>
        <w:rPr>
          <w:rFonts w:hint="eastAsia" w:ascii="宋体" w:hAnsi="宋体" w:eastAsia="宋体" w:cs="宋体"/>
          <w:sz w:val="24"/>
          <w:szCs w:val="24"/>
        </w:rPr>
        <w:t>后应在</w:t>
      </w:r>
      <w:r>
        <w:rPr>
          <w:rFonts w:hint="eastAsia" w:ascii="宋体" w:hAnsi="宋体" w:eastAsia="宋体" w:cs="宋体"/>
          <w:sz w:val="24"/>
          <w:szCs w:val="24"/>
          <w:lang w:val="en-US" w:eastAsia="zh-CN"/>
        </w:rPr>
        <w:t>30</w:t>
      </w:r>
      <w:r>
        <w:rPr>
          <w:rFonts w:hint="eastAsia" w:ascii="宋体" w:hAnsi="宋体" w:eastAsia="宋体" w:cs="宋体"/>
          <w:sz w:val="24"/>
          <w:szCs w:val="24"/>
          <w:lang w:eastAsia="zh-CN"/>
        </w:rPr>
        <w:t>日</w:t>
      </w:r>
      <w:r>
        <w:rPr>
          <w:rFonts w:hint="eastAsia" w:ascii="宋体" w:hAnsi="宋体" w:eastAsia="宋体" w:cs="宋体"/>
          <w:sz w:val="24"/>
          <w:szCs w:val="24"/>
        </w:rPr>
        <w:t>内安排人员与</w:t>
      </w:r>
      <w:r>
        <w:rPr>
          <w:rFonts w:hint="eastAsia" w:ascii="宋体" w:hAnsi="宋体" w:eastAsia="宋体" w:cs="宋体"/>
          <w:sz w:val="24"/>
          <w:szCs w:val="24"/>
          <w:lang w:val="en-US" w:eastAsia="zh-CN"/>
        </w:rPr>
        <w:t>甲</w:t>
      </w:r>
      <w:r>
        <w:rPr>
          <w:rFonts w:hint="eastAsia" w:ascii="宋体" w:hAnsi="宋体" w:eastAsia="宋体" w:cs="宋体"/>
          <w:sz w:val="24"/>
          <w:szCs w:val="24"/>
        </w:rPr>
        <w:t xml:space="preserve">方签订合同，提供相关服务。 </w:t>
      </w:r>
    </w:p>
    <w:p w14:paraId="70DAF59F">
      <w:pPr>
        <w:keepLines w:val="0"/>
        <w:pageBreakBefore w:val="0"/>
        <w:widowControl/>
        <w:shd w:val="clear"/>
        <w:kinsoku/>
        <w:wordWrap/>
        <w:overflowPunct/>
        <w:topLinePunct w:val="0"/>
        <w:bidi w:val="0"/>
        <w:adjustRightInd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、若未能在实施期限内完成规定的义务，由此对</w:t>
      </w:r>
      <w:r>
        <w:rPr>
          <w:rFonts w:hint="eastAsia" w:ascii="宋体" w:hAnsi="宋体" w:eastAsia="宋体" w:cs="宋体"/>
          <w:sz w:val="24"/>
          <w:szCs w:val="24"/>
          <w:lang w:val="en-US" w:eastAsia="zh-CN"/>
        </w:rPr>
        <w:t>甲方</w:t>
      </w:r>
      <w:r>
        <w:rPr>
          <w:rFonts w:hint="eastAsia" w:ascii="宋体" w:hAnsi="宋体" w:eastAsia="宋体" w:cs="宋体"/>
          <w:sz w:val="24"/>
          <w:szCs w:val="24"/>
        </w:rPr>
        <w:t>造成的延误和一切损失，由</w:t>
      </w:r>
      <w:r>
        <w:rPr>
          <w:rFonts w:hint="eastAsia" w:ascii="宋体" w:hAnsi="宋体" w:eastAsia="宋体" w:cs="宋体"/>
          <w:sz w:val="24"/>
          <w:szCs w:val="24"/>
          <w:lang w:val="en-US" w:eastAsia="zh-CN"/>
        </w:rPr>
        <w:t>乙方</w:t>
      </w:r>
      <w:r>
        <w:rPr>
          <w:rFonts w:hint="eastAsia" w:ascii="宋体" w:hAnsi="宋体" w:eastAsia="宋体" w:cs="宋体"/>
          <w:sz w:val="24"/>
          <w:szCs w:val="24"/>
        </w:rPr>
        <w:t>承担和赔偿。</w:t>
      </w:r>
    </w:p>
    <w:p w14:paraId="473C0570">
      <w:pPr>
        <w:keepLines w:val="0"/>
        <w:pageBreakBefore w:val="0"/>
        <w:widowControl/>
        <w:shd w:val="clear"/>
        <w:kinsoku/>
        <w:wordWrap/>
        <w:overflowPunct/>
        <w:topLinePunct w:val="0"/>
        <w:bidi w:val="0"/>
        <w:adjustRightInd w:val="0"/>
        <w:snapToGrid/>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3、验收</w:t>
      </w:r>
    </w:p>
    <w:p w14:paraId="031B0633">
      <w:pPr>
        <w:keepLines w:val="0"/>
        <w:pageBreakBefore w:val="0"/>
        <w:widowControl/>
        <w:shd w:val="clear"/>
        <w:kinsoku/>
        <w:wordWrap/>
        <w:overflowPunct/>
        <w:topLinePunct w:val="0"/>
        <w:bidi w:val="0"/>
        <w:adjustRightInd w:val="0"/>
        <w:snapToGrid/>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1）由甲方组织或委托相关部门服务期间进行现场巡检、验收。</w:t>
      </w:r>
    </w:p>
    <w:p w14:paraId="3D456F36">
      <w:pPr>
        <w:keepLines w:val="0"/>
        <w:pageBreakBefore w:val="0"/>
        <w:widowControl/>
        <w:shd w:val="clear"/>
        <w:kinsoku/>
        <w:wordWrap/>
        <w:overflowPunct/>
        <w:topLinePunct w:val="0"/>
        <w:bidi w:val="0"/>
        <w:adjustRightInd w:val="0"/>
        <w:snapToGrid/>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2）验收依据：合同文本、合同附件、</w:t>
      </w:r>
      <w:r>
        <w:rPr>
          <w:rFonts w:hint="eastAsia" w:ascii="宋体" w:hAnsi="宋体" w:eastAsia="宋体" w:cs="宋体"/>
          <w:sz w:val="24"/>
          <w:szCs w:val="24"/>
          <w:highlight w:val="none"/>
          <w:lang w:val="en-US" w:eastAsia="zh-CN"/>
        </w:rPr>
        <w:t>竞争性磋商文件及响应文件</w:t>
      </w:r>
      <w:r>
        <w:rPr>
          <w:rFonts w:hint="eastAsia" w:ascii="宋体" w:hAnsi="宋体" w:eastAsia="宋体" w:cs="宋体"/>
          <w:sz w:val="24"/>
          <w:szCs w:val="24"/>
          <w:lang w:val="en-US" w:eastAsia="zh-CN"/>
        </w:rPr>
        <w:t>。</w:t>
      </w:r>
    </w:p>
    <w:p w14:paraId="5ED0D725">
      <w:pPr>
        <w:keepNext/>
        <w:keepLines w:val="0"/>
        <w:pageBreakBefore w:val="0"/>
        <w:widowControl/>
        <w:shd w:val="clear"/>
        <w:kinsoku/>
        <w:wordWrap/>
        <w:overflowPunct/>
        <w:topLinePunct w:val="0"/>
        <w:bidi w:val="0"/>
        <w:adjustRightInd w:val="0"/>
        <w:snapToGrid/>
        <w:spacing w:line="360" w:lineRule="auto"/>
        <w:ind w:firstLine="482" w:firstLineChars="200"/>
        <w:outlineLvl w:val="1"/>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七、双方权利和义务</w:t>
      </w:r>
    </w:p>
    <w:p w14:paraId="5A258982">
      <w:pPr>
        <w:keepLines w:val="0"/>
        <w:pageBreakBefore w:val="0"/>
        <w:widowControl/>
        <w:shd w:val="clear"/>
        <w:kinsoku/>
        <w:wordWrap/>
        <w:overflowPunct/>
        <w:topLinePunct w:val="0"/>
        <w:bidi w:val="0"/>
        <w:adjustRightInd w:val="0"/>
        <w:snapToGrid/>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1.甲乙双方必须遵守本合同并执行合同中的各项规定，保证本合同的正常履行。</w:t>
      </w:r>
    </w:p>
    <w:p w14:paraId="37D080D5">
      <w:pPr>
        <w:keepLines w:val="0"/>
        <w:pageBreakBefore w:val="0"/>
        <w:widowControl/>
        <w:shd w:val="clear"/>
        <w:kinsoku/>
        <w:wordWrap/>
        <w:overflowPunct/>
        <w:topLinePunct w:val="0"/>
        <w:bidi w:val="0"/>
        <w:adjustRightInd w:val="0"/>
        <w:snapToGrid/>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2.本合同签订后甲乙双方不得单方终止合同，如乙方违约，应退还预付款，并赔偿给甲方实际造成的损失。</w:t>
      </w:r>
    </w:p>
    <w:p w14:paraId="47CC92AE">
      <w:pPr>
        <w:keepLines w:val="0"/>
        <w:pageBreakBefore w:val="0"/>
        <w:widowControl/>
        <w:shd w:val="clear"/>
        <w:kinsoku/>
        <w:wordWrap/>
        <w:overflowPunct/>
        <w:topLinePunct w:val="0"/>
        <w:bidi w:val="0"/>
        <w:adjustRightInd w:val="0"/>
        <w:snapToGrid/>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3.如因乙方存在以下行为，甲方有权终止合同，依法向乙方进行经济索赔，并报请政府采购监督管理机关进行相应的行政处罚。</w:t>
      </w:r>
    </w:p>
    <w:p w14:paraId="1D724A8F">
      <w:pPr>
        <w:keepLines w:val="0"/>
        <w:pageBreakBefore w:val="0"/>
        <w:widowControl/>
        <w:shd w:val="clear"/>
        <w:kinsoku/>
        <w:wordWrap/>
        <w:overflowPunct/>
        <w:topLinePunct w:val="0"/>
        <w:bidi w:val="0"/>
        <w:adjustRightInd w:val="0"/>
        <w:snapToGrid/>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① 相应资质被取消；</w:t>
      </w:r>
    </w:p>
    <w:p w14:paraId="7E9E51E0">
      <w:pPr>
        <w:keepLines w:val="0"/>
        <w:pageBreakBefore w:val="0"/>
        <w:widowControl/>
        <w:shd w:val="clear"/>
        <w:kinsoku/>
        <w:wordWrap/>
        <w:overflowPunct/>
        <w:topLinePunct w:val="0"/>
        <w:bidi w:val="0"/>
        <w:adjustRightInd w:val="0"/>
        <w:snapToGrid/>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② 存在弄虚作假、传递虚假信息等违法违规行为；</w:t>
      </w:r>
    </w:p>
    <w:p w14:paraId="52DAED2A">
      <w:pPr>
        <w:keepLines w:val="0"/>
        <w:pageBreakBefore w:val="0"/>
        <w:widowControl/>
        <w:shd w:val="clear"/>
        <w:kinsoku/>
        <w:wordWrap/>
        <w:overflowPunct/>
        <w:topLinePunct w:val="0"/>
        <w:bidi w:val="0"/>
        <w:adjustRightInd w:val="0"/>
        <w:snapToGrid/>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③ 基础设施及人员仪器设备不能满足需要，提出后拒不整改；</w:t>
      </w:r>
    </w:p>
    <w:p w14:paraId="1BB68298">
      <w:pPr>
        <w:keepLines w:val="0"/>
        <w:pageBreakBefore w:val="0"/>
        <w:widowControl/>
        <w:shd w:val="clear"/>
        <w:kinsoku/>
        <w:wordWrap/>
        <w:overflowPunct/>
        <w:topLinePunct w:val="0"/>
        <w:bidi w:val="0"/>
        <w:adjustRightInd w:val="0"/>
        <w:snapToGrid/>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④ 网络舆情或媒体报道存在不规范操作行为；</w:t>
      </w:r>
    </w:p>
    <w:p w14:paraId="22EC8816">
      <w:pPr>
        <w:keepLines w:val="0"/>
        <w:pageBreakBefore w:val="0"/>
        <w:widowControl/>
        <w:shd w:val="clear"/>
        <w:kinsoku/>
        <w:wordWrap/>
        <w:overflowPunct/>
        <w:topLinePunct w:val="0"/>
        <w:bidi w:val="0"/>
        <w:adjustRightInd w:val="0"/>
        <w:snapToGrid/>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⑤ 未全面履行合同义务或者发生违约。</w:t>
      </w:r>
    </w:p>
    <w:p w14:paraId="677A6761">
      <w:pPr>
        <w:keepLines w:val="0"/>
        <w:pageBreakBefore w:val="0"/>
        <w:widowControl/>
        <w:shd w:val="clear"/>
        <w:kinsoku/>
        <w:wordWrap/>
        <w:overflowPunct/>
        <w:topLinePunct w:val="0"/>
        <w:bidi w:val="0"/>
        <w:adjustRightInd w:val="0"/>
        <w:snapToGrid/>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4.本合同未经双方同意，任何一方不得以任何形式公开本合同及附件内容，以确保双方的商业机密。</w:t>
      </w:r>
    </w:p>
    <w:p w14:paraId="5433B013">
      <w:pPr>
        <w:keepLines w:val="0"/>
        <w:pageBreakBefore w:val="0"/>
        <w:widowControl/>
        <w:shd w:val="clear"/>
        <w:kinsoku/>
        <w:wordWrap/>
        <w:overflowPunct/>
        <w:topLinePunct w:val="0"/>
        <w:bidi w:val="0"/>
        <w:adjustRightInd w:val="0"/>
        <w:snapToGrid/>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3C9703C8">
      <w:pPr>
        <w:keepLines w:val="0"/>
        <w:pageBreakBefore w:val="0"/>
        <w:widowControl/>
        <w:shd w:val="clear"/>
        <w:kinsoku/>
        <w:wordWrap/>
        <w:overflowPunct/>
        <w:topLinePunct w:val="0"/>
        <w:bidi w:val="0"/>
        <w:adjustRightInd w:val="0"/>
        <w:snapToGrid/>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6.乙方应具有车辆维修保养经验，拥有专业的维修车间，场地面积足以保证车辆正常维修及停放。在维修车辆维修期间保证车辆安全，出现被盗、损坏等损失，由乙方全额赔偿。</w:t>
      </w:r>
    </w:p>
    <w:p w14:paraId="4E7C4FFD">
      <w:pPr>
        <w:keepLines w:val="0"/>
        <w:pageBreakBefore w:val="0"/>
        <w:widowControl/>
        <w:shd w:val="clear"/>
        <w:kinsoku/>
        <w:wordWrap/>
        <w:overflowPunct/>
        <w:topLinePunct w:val="0"/>
        <w:bidi w:val="0"/>
        <w:adjustRightInd w:val="0"/>
        <w:snapToGrid/>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7.乙方应具有24小时免费市内车辆故障救援的条件。具备一定量常用汽配件的库存。正常情况下，车辆小修、维护当天完成，大修不超过5天完成，整车大修不超过15天完成。</w:t>
      </w:r>
    </w:p>
    <w:p w14:paraId="04EF5944">
      <w:pPr>
        <w:keepLines w:val="0"/>
        <w:pageBreakBefore w:val="0"/>
        <w:widowControl/>
        <w:shd w:val="clear"/>
        <w:kinsoku/>
        <w:wordWrap/>
        <w:overflowPunct/>
        <w:topLinePunct w:val="0"/>
        <w:bidi w:val="0"/>
        <w:adjustRightInd w:val="0"/>
        <w:snapToGrid/>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8.乙方能提供应急服务需求，随时处理车辆突发故障。</w:t>
      </w:r>
    </w:p>
    <w:p w14:paraId="66E33331">
      <w:pPr>
        <w:keepLines w:val="0"/>
        <w:pageBreakBefore w:val="0"/>
        <w:widowControl/>
        <w:shd w:val="clear"/>
        <w:kinsoku/>
        <w:wordWrap/>
        <w:overflowPunct/>
        <w:topLinePunct w:val="0"/>
        <w:bidi w:val="0"/>
        <w:adjustRightInd w:val="0"/>
        <w:snapToGrid/>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乙方提供的零配件必须由所维修车型制造厂直供、认可或授权生产的，辅助材料和工艺应符合制造厂的要求。乙方对更换的配件及车辆各种检修明确质保时间，因配件质量问题或维修技术问题引发车辆次生故障，须由乙方负责。</w:t>
      </w:r>
    </w:p>
    <w:p w14:paraId="3AEEAB13">
      <w:pPr>
        <w:keepLines w:val="0"/>
        <w:pageBreakBefore w:val="0"/>
        <w:widowControl/>
        <w:shd w:val="clear"/>
        <w:kinsoku/>
        <w:wordWrap/>
        <w:overflowPunct/>
        <w:topLinePunct w:val="0"/>
        <w:bidi w:val="0"/>
        <w:adjustRightInd w:val="0"/>
        <w:snapToGrid/>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10.车辆发生大的故障，乙方须先上报维修方案及初步评估维修费用。</w:t>
      </w:r>
    </w:p>
    <w:p w14:paraId="17B2E876">
      <w:pPr>
        <w:keepLines w:val="0"/>
        <w:pageBreakBefore w:val="0"/>
        <w:widowControl/>
        <w:shd w:val="clear"/>
        <w:kinsoku/>
        <w:wordWrap/>
        <w:overflowPunct/>
        <w:topLinePunct w:val="0"/>
        <w:bidi w:val="0"/>
        <w:adjustRightInd w:val="0"/>
        <w:snapToGrid/>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11.车辆配件报价、加工件报价等，须甲方确认。</w:t>
      </w:r>
      <w:r>
        <w:rPr>
          <w:rFonts w:hint="eastAsia" w:ascii="宋体" w:hAnsi="宋体" w:eastAsia="宋体" w:cs="宋体"/>
          <w:sz w:val="24"/>
        </w:rPr>
        <w:t>维保修车更换下的旧零部件归甲方所有。</w:t>
      </w:r>
    </w:p>
    <w:p w14:paraId="53A7D194">
      <w:pPr>
        <w:keepLines w:val="0"/>
        <w:pageBreakBefore w:val="0"/>
        <w:widowControl/>
        <w:shd w:val="clear"/>
        <w:kinsoku/>
        <w:wordWrap/>
        <w:overflowPunct/>
        <w:topLinePunct w:val="0"/>
        <w:bidi w:val="0"/>
        <w:adjustRightInd w:val="0"/>
        <w:snapToGrid/>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12.乙方应按甲方要求的时间段内完成车辆的维修和保养并交车。</w:t>
      </w:r>
    </w:p>
    <w:p w14:paraId="3C6E4030">
      <w:pPr>
        <w:keepLines w:val="0"/>
        <w:pageBreakBefore w:val="0"/>
        <w:widowControl/>
        <w:shd w:val="clear"/>
        <w:kinsoku/>
        <w:wordWrap/>
        <w:overflowPunct/>
        <w:topLinePunct w:val="0"/>
        <w:bidi w:val="0"/>
        <w:adjustRightInd w:val="0"/>
        <w:snapToGrid/>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13.乙方应建立详细的车辆维修台账（附件二）。</w:t>
      </w:r>
    </w:p>
    <w:p w14:paraId="50CCAA78">
      <w:pPr>
        <w:keepLines w:val="0"/>
        <w:pageBreakBefore w:val="0"/>
        <w:widowControl/>
        <w:shd w:val="clear"/>
        <w:kinsoku/>
        <w:wordWrap/>
        <w:overflowPunct/>
        <w:topLinePunct w:val="0"/>
        <w:bidi w:val="0"/>
        <w:adjustRightInd w:val="0"/>
        <w:snapToGrid/>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lang w:val="en-US" w:eastAsia="zh-CN"/>
        </w:rPr>
        <w:t>14.</w:t>
      </w:r>
      <w:r>
        <w:rPr>
          <w:rFonts w:hint="eastAsia" w:ascii="宋体" w:hAnsi="宋体" w:eastAsia="宋体" w:cs="宋体"/>
          <w:sz w:val="24"/>
        </w:rPr>
        <w:t>乙方及其人员在维保过程中因主观原因或过错造成自身财产、人员损失的，由乙方自行承担。</w:t>
      </w:r>
    </w:p>
    <w:p w14:paraId="0AAFD01C">
      <w:pPr>
        <w:keepNext/>
        <w:keepLines w:val="0"/>
        <w:pageBreakBefore w:val="0"/>
        <w:widowControl/>
        <w:shd w:val="clear"/>
        <w:kinsoku/>
        <w:wordWrap/>
        <w:overflowPunct/>
        <w:topLinePunct w:val="0"/>
        <w:bidi w:val="0"/>
        <w:adjustRightInd w:val="0"/>
        <w:snapToGrid/>
        <w:spacing w:line="360" w:lineRule="auto"/>
        <w:ind w:firstLine="482" w:firstLineChars="200"/>
        <w:outlineLvl w:val="1"/>
        <w:rPr>
          <w:rFonts w:hint="eastAsia" w:ascii="宋体" w:hAnsi="宋体" w:eastAsia="宋体" w:cs="宋体"/>
          <w:b/>
          <w:sz w:val="24"/>
          <w:szCs w:val="24"/>
          <w:lang w:val="zh-CN"/>
        </w:rPr>
      </w:pPr>
      <w:r>
        <w:rPr>
          <w:rFonts w:hint="eastAsia" w:ascii="宋体" w:hAnsi="宋体" w:eastAsia="宋体" w:cs="宋体"/>
          <w:b/>
          <w:sz w:val="24"/>
          <w:szCs w:val="24"/>
          <w:lang w:val="en-US" w:eastAsia="zh-CN"/>
        </w:rPr>
        <w:t>八、</w:t>
      </w:r>
      <w:r>
        <w:rPr>
          <w:rFonts w:hint="eastAsia" w:ascii="宋体" w:hAnsi="宋体" w:eastAsia="宋体" w:cs="宋体"/>
          <w:b/>
          <w:sz w:val="24"/>
          <w:szCs w:val="24"/>
          <w:lang w:val="zh-CN"/>
        </w:rPr>
        <w:t>违约责任</w:t>
      </w:r>
    </w:p>
    <w:p w14:paraId="78035730">
      <w:pPr>
        <w:keepLines w:val="0"/>
        <w:pageBreakBefore w:val="0"/>
        <w:widowControl/>
        <w:shd w:val="clear"/>
        <w:kinsoku/>
        <w:wordWrap/>
        <w:overflowPunct/>
        <w:topLinePunct w:val="0"/>
        <w:bidi w:val="0"/>
        <w:adjustRightInd w:val="0"/>
        <w:snapToGrid/>
        <w:spacing w:line="360" w:lineRule="auto"/>
        <w:ind w:firstLine="480" w:firstLineChars="200"/>
        <w:rPr>
          <w:rFonts w:hint="eastAsia" w:ascii="宋体" w:hAnsi="宋体" w:eastAsia="宋体" w:cs="宋体"/>
          <w:sz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w:t>
      </w:r>
      <w:r>
        <w:rPr>
          <w:rFonts w:hint="eastAsia" w:ascii="宋体" w:hAnsi="宋体" w:eastAsia="宋体" w:cs="宋体"/>
          <w:sz w:val="24"/>
        </w:rPr>
        <w:t>在未取得对方书面同意的情况下，任一方均不能将本合同有关权利义务转让给第三方，否则视为根本违约，另一方可以立即解除合同，并要求违约方承担因此造成的损失。</w:t>
      </w:r>
    </w:p>
    <w:p w14:paraId="6591A19F">
      <w:pPr>
        <w:keepLines w:val="0"/>
        <w:pageBreakBefore w:val="0"/>
        <w:widowControl/>
        <w:shd w:val="clear"/>
        <w:kinsoku/>
        <w:wordWrap/>
        <w:overflowPunct/>
        <w:topLinePunct w:val="0"/>
        <w:bidi w:val="0"/>
        <w:adjustRightInd w:val="0"/>
        <w:snapToGrid/>
        <w:spacing w:line="360" w:lineRule="auto"/>
        <w:ind w:firstLine="480" w:firstLineChars="200"/>
        <w:rPr>
          <w:rFonts w:hint="eastAsia" w:ascii="宋体" w:hAnsi="宋体" w:eastAsia="宋体" w:cs="宋体"/>
          <w:sz w:val="24"/>
        </w:rPr>
      </w:pPr>
      <w:r>
        <w:rPr>
          <w:rFonts w:hint="eastAsia" w:ascii="宋体" w:hAnsi="宋体" w:eastAsia="宋体" w:cs="宋体"/>
          <w:sz w:val="24"/>
          <w:lang w:val="en-US" w:eastAsia="zh-CN"/>
        </w:rPr>
        <w:t>2、</w:t>
      </w:r>
      <w:r>
        <w:rPr>
          <w:rFonts w:hint="eastAsia" w:ascii="宋体" w:hAnsi="宋体" w:eastAsia="宋体" w:cs="宋体"/>
          <w:sz w:val="24"/>
        </w:rPr>
        <w:t>乙方应按本</w:t>
      </w:r>
      <w:r>
        <w:rPr>
          <w:rFonts w:hint="eastAsia" w:ascii="宋体" w:hAnsi="宋体" w:eastAsia="宋体" w:cs="宋体"/>
          <w:sz w:val="24"/>
          <w:lang w:val="en-US" w:eastAsia="zh-CN"/>
        </w:rPr>
        <w:t>合同</w:t>
      </w:r>
      <w:r>
        <w:rPr>
          <w:rFonts w:hint="eastAsia" w:ascii="宋体" w:hAnsi="宋体" w:eastAsia="宋体" w:cs="宋体"/>
          <w:sz w:val="24"/>
        </w:rPr>
        <w:t>约定</w:t>
      </w:r>
      <w:r>
        <w:rPr>
          <w:rFonts w:hint="eastAsia" w:ascii="宋体" w:hAnsi="宋体" w:eastAsia="宋体" w:cs="宋体"/>
          <w:sz w:val="24"/>
          <w:lang w:val="en-US" w:eastAsia="zh-CN"/>
        </w:rPr>
        <w:t>及甲方要求</w:t>
      </w:r>
      <w:r>
        <w:rPr>
          <w:rFonts w:hint="eastAsia" w:ascii="宋体" w:hAnsi="宋体" w:eastAsia="宋体" w:cs="宋体"/>
          <w:sz w:val="24"/>
        </w:rPr>
        <w:t>的时限完成维保任务，如逾期完成，则乙方应向甲方每日交付100元作为违约金。该笔费用甲方可从应付给乙方的维保费中扣除。</w:t>
      </w:r>
    </w:p>
    <w:p w14:paraId="535DA6A8">
      <w:pPr>
        <w:keepLines w:val="0"/>
        <w:pageBreakBefore w:val="0"/>
        <w:widowControl/>
        <w:shd w:val="clear"/>
        <w:kinsoku/>
        <w:wordWrap/>
        <w:overflowPunct/>
        <w:topLinePunct w:val="0"/>
        <w:bidi w:val="0"/>
        <w:adjustRightInd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lang w:val="en-US" w:eastAsia="zh-CN"/>
        </w:rPr>
        <w:t>3、乙方</w:t>
      </w:r>
      <w:r>
        <w:rPr>
          <w:rFonts w:hint="eastAsia" w:ascii="宋体" w:hAnsi="宋体" w:eastAsia="宋体" w:cs="宋体"/>
          <w:sz w:val="24"/>
        </w:rPr>
        <w:t>维修的车辆在车辆维修质量保证期内出现质量问题，乙方应给予免费维修，因维保质量造成的机械事故和经济损失，乙方应承担全部赔偿责任。</w:t>
      </w:r>
    </w:p>
    <w:p w14:paraId="3CB6DB62">
      <w:pPr>
        <w:keepLines w:val="0"/>
        <w:pageBreakBefore w:val="0"/>
        <w:widowControl/>
        <w:shd w:val="clear"/>
        <w:kinsoku/>
        <w:wordWrap/>
        <w:overflowPunct/>
        <w:topLinePunct w:val="0"/>
        <w:bidi w:val="0"/>
        <w:adjustRightInd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w:t>
      </w:r>
      <w:r>
        <w:rPr>
          <w:rFonts w:hint="eastAsia" w:ascii="宋体" w:hAnsi="宋体" w:eastAsia="宋体" w:cs="宋体"/>
          <w:sz w:val="24"/>
          <w:szCs w:val="24"/>
          <w:lang w:val="en-US" w:eastAsia="zh-CN"/>
        </w:rPr>
        <w:t>乙方</w:t>
      </w:r>
      <w:r>
        <w:rPr>
          <w:rFonts w:hint="eastAsia" w:ascii="宋体" w:hAnsi="宋体" w:eastAsia="宋体" w:cs="宋体"/>
          <w:sz w:val="24"/>
          <w:szCs w:val="24"/>
        </w:rPr>
        <w:t>未按合同要求提供</w:t>
      </w:r>
      <w:r>
        <w:rPr>
          <w:rFonts w:hint="eastAsia" w:ascii="宋体" w:hAnsi="宋体" w:eastAsia="宋体" w:cs="宋体"/>
          <w:sz w:val="24"/>
          <w:szCs w:val="24"/>
          <w:lang w:eastAsia="zh-CN"/>
        </w:rPr>
        <w:t>服务</w:t>
      </w:r>
      <w:r>
        <w:rPr>
          <w:rFonts w:hint="eastAsia" w:ascii="宋体" w:hAnsi="宋体" w:eastAsia="宋体" w:cs="宋体"/>
          <w:sz w:val="24"/>
          <w:szCs w:val="24"/>
        </w:rPr>
        <w:t>或</w:t>
      </w:r>
      <w:r>
        <w:rPr>
          <w:rFonts w:hint="eastAsia" w:ascii="宋体" w:hAnsi="宋体" w:eastAsia="宋体" w:cs="宋体"/>
          <w:sz w:val="24"/>
          <w:szCs w:val="24"/>
          <w:lang w:eastAsia="zh-CN"/>
        </w:rPr>
        <w:t>服务</w:t>
      </w:r>
      <w:r>
        <w:rPr>
          <w:rFonts w:hint="eastAsia" w:ascii="宋体" w:hAnsi="宋体" w:eastAsia="宋体" w:cs="宋体"/>
          <w:sz w:val="24"/>
          <w:szCs w:val="24"/>
        </w:rPr>
        <w:t>质量不能满足技术要求，</w:t>
      </w:r>
      <w:r>
        <w:rPr>
          <w:rFonts w:hint="eastAsia" w:ascii="宋体" w:hAnsi="宋体" w:eastAsia="宋体" w:cs="宋体"/>
          <w:sz w:val="24"/>
          <w:szCs w:val="24"/>
          <w:lang w:val="en-US" w:eastAsia="zh-CN"/>
        </w:rPr>
        <w:t>甲方</w:t>
      </w:r>
      <w:r>
        <w:rPr>
          <w:rFonts w:hint="eastAsia" w:ascii="宋体" w:hAnsi="宋体" w:eastAsia="宋体" w:cs="宋体"/>
          <w:sz w:val="24"/>
          <w:szCs w:val="24"/>
        </w:rPr>
        <w:t>有权终止合同，乙方应承担全部赔偿责任，同时按《中华人民共和国政府采购法》的有关规定</w:t>
      </w:r>
      <w:r>
        <w:rPr>
          <w:rFonts w:hint="eastAsia" w:ascii="宋体" w:hAnsi="宋体" w:eastAsia="宋体" w:cs="宋体"/>
          <w:sz w:val="24"/>
          <w:szCs w:val="24"/>
          <w:lang w:val="en-US" w:eastAsia="zh-CN"/>
        </w:rPr>
        <w:t>承担责任</w:t>
      </w:r>
      <w:r>
        <w:rPr>
          <w:rFonts w:hint="eastAsia" w:ascii="宋体" w:hAnsi="宋体" w:eastAsia="宋体" w:cs="宋体"/>
          <w:sz w:val="24"/>
          <w:szCs w:val="24"/>
        </w:rPr>
        <w:t>。</w:t>
      </w:r>
    </w:p>
    <w:p w14:paraId="3A27B863">
      <w:pPr>
        <w:keepLines w:val="0"/>
        <w:pageBreakBefore w:val="0"/>
        <w:widowControl/>
        <w:shd w:val="clear"/>
        <w:kinsoku/>
        <w:wordWrap/>
        <w:overflowPunct/>
        <w:topLinePunct w:val="0"/>
        <w:bidi w:val="0"/>
        <w:adjustRightInd w:val="0"/>
        <w:snapToGrid/>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本合同中约定乙方应承担的赔偿金、违约金等，甲方有权在尚未支付的合同款项中扣除。若尚未支付的服务费不足以弥补甲方损失，甲方有权向乙方追偿，乙方应承担甲方为实现权利而产生的全部费用，包括但不限于诉讼费、律师费、保全费、保全担保费、鉴定费、差旅费等。</w:t>
      </w:r>
    </w:p>
    <w:p w14:paraId="6DE13C1A">
      <w:pPr>
        <w:keepNext/>
        <w:keepLines w:val="0"/>
        <w:pageBreakBefore w:val="0"/>
        <w:widowControl/>
        <w:shd w:val="clear"/>
        <w:kinsoku/>
        <w:wordWrap/>
        <w:overflowPunct/>
        <w:topLinePunct w:val="0"/>
        <w:bidi w:val="0"/>
        <w:adjustRightInd w:val="0"/>
        <w:snapToGrid/>
        <w:spacing w:line="360" w:lineRule="auto"/>
        <w:ind w:firstLine="482" w:firstLineChars="200"/>
        <w:outlineLvl w:val="1"/>
        <w:rPr>
          <w:rFonts w:hint="eastAsia" w:ascii="宋体" w:hAnsi="宋体" w:eastAsia="宋体" w:cs="宋体"/>
          <w:b/>
          <w:sz w:val="24"/>
          <w:szCs w:val="24"/>
          <w:lang w:val="zh-CN"/>
        </w:rPr>
      </w:pPr>
      <w:r>
        <w:rPr>
          <w:rFonts w:hint="eastAsia" w:ascii="宋体" w:hAnsi="宋体" w:eastAsia="宋体" w:cs="宋体"/>
          <w:b/>
          <w:sz w:val="24"/>
          <w:szCs w:val="24"/>
          <w:lang w:val="en-US" w:eastAsia="zh-CN"/>
        </w:rPr>
        <w:t>九</w:t>
      </w:r>
      <w:r>
        <w:rPr>
          <w:rFonts w:hint="eastAsia" w:ascii="宋体" w:hAnsi="宋体" w:eastAsia="宋体" w:cs="宋体"/>
          <w:b/>
          <w:sz w:val="24"/>
          <w:szCs w:val="24"/>
          <w:lang w:val="zh-CN"/>
        </w:rPr>
        <w:t>、合同组成</w:t>
      </w:r>
    </w:p>
    <w:p w14:paraId="0968B0F8">
      <w:pPr>
        <w:keepLines w:val="0"/>
        <w:pageBreakBefore w:val="0"/>
        <w:widowControl/>
        <w:shd w:val="clear"/>
        <w:kinsoku/>
        <w:wordWrap/>
        <w:overflowPunct/>
        <w:topLinePunct w:val="0"/>
        <w:bidi w:val="0"/>
        <w:adjustRightInd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成交</w:t>
      </w:r>
      <w:r>
        <w:rPr>
          <w:rFonts w:hint="eastAsia" w:ascii="宋体" w:hAnsi="宋体" w:eastAsia="宋体" w:cs="宋体"/>
          <w:sz w:val="24"/>
          <w:szCs w:val="24"/>
        </w:rPr>
        <w:t>通知书</w:t>
      </w:r>
    </w:p>
    <w:p w14:paraId="01B27B4D">
      <w:pPr>
        <w:keepLines w:val="0"/>
        <w:pageBreakBefore w:val="0"/>
        <w:widowControl/>
        <w:shd w:val="clear"/>
        <w:kinsoku/>
        <w:wordWrap/>
        <w:overflowPunct/>
        <w:topLinePunct w:val="0"/>
        <w:bidi w:val="0"/>
        <w:adjustRightInd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2、合同文件</w:t>
      </w:r>
    </w:p>
    <w:p w14:paraId="1CC19213">
      <w:pPr>
        <w:keepLines w:val="0"/>
        <w:pageBreakBefore w:val="0"/>
        <w:widowControl/>
        <w:shd w:val="clear"/>
        <w:kinsoku/>
        <w:wordWrap/>
        <w:overflowPunct/>
        <w:topLinePunct w:val="0"/>
        <w:bidi w:val="0"/>
        <w:adjustRightInd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3、国家相关规范及标准</w:t>
      </w:r>
    </w:p>
    <w:p w14:paraId="5608F49D">
      <w:pPr>
        <w:keepLines w:val="0"/>
        <w:pageBreakBefore w:val="0"/>
        <w:widowControl/>
        <w:shd w:val="clear"/>
        <w:kinsoku/>
        <w:wordWrap/>
        <w:overflowPunct/>
        <w:topLinePunct w:val="0"/>
        <w:bidi w:val="0"/>
        <w:adjustRightInd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eastAsia="zh-CN"/>
        </w:rPr>
        <w:t>磋商</w:t>
      </w:r>
      <w:r>
        <w:rPr>
          <w:rFonts w:hint="eastAsia" w:ascii="宋体" w:hAnsi="宋体" w:eastAsia="宋体" w:cs="宋体"/>
          <w:sz w:val="24"/>
          <w:szCs w:val="24"/>
        </w:rPr>
        <w:t>文件</w:t>
      </w:r>
    </w:p>
    <w:p w14:paraId="787FB206">
      <w:pPr>
        <w:keepLines w:val="0"/>
        <w:pageBreakBefore w:val="0"/>
        <w:widowControl/>
        <w:shd w:val="clear"/>
        <w:kinsoku/>
        <w:wordWrap/>
        <w:overflowPunct/>
        <w:topLinePunct w:val="0"/>
        <w:bidi w:val="0"/>
        <w:adjustRightInd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eastAsia="zh-CN"/>
        </w:rPr>
        <w:t>磋商响应</w:t>
      </w:r>
      <w:r>
        <w:rPr>
          <w:rFonts w:hint="eastAsia" w:ascii="宋体" w:hAnsi="宋体" w:eastAsia="宋体" w:cs="宋体"/>
          <w:sz w:val="24"/>
          <w:szCs w:val="24"/>
        </w:rPr>
        <w:t>文件</w:t>
      </w:r>
    </w:p>
    <w:p w14:paraId="427B3FCB">
      <w:pPr>
        <w:keepNext/>
        <w:keepLines w:val="0"/>
        <w:pageBreakBefore w:val="0"/>
        <w:widowControl/>
        <w:shd w:val="clear"/>
        <w:kinsoku/>
        <w:wordWrap/>
        <w:overflowPunct/>
        <w:topLinePunct w:val="0"/>
        <w:bidi w:val="0"/>
        <w:adjustRightInd w:val="0"/>
        <w:snapToGrid/>
        <w:spacing w:line="360" w:lineRule="auto"/>
        <w:ind w:firstLine="482" w:firstLineChars="200"/>
        <w:outlineLvl w:val="1"/>
        <w:rPr>
          <w:rFonts w:hint="eastAsia" w:ascii="宋体" w:hAnsi="宋体" w:eastAsia="宋体" w:cs="宋体"/>
          <w:b/>
          <w:sz w:val="24"/>
          <w:szCs w:val="24"/>
          <w:lang w:val="zh-CN"/>
        </w:rPr>
      </w:pPr>
      <w:r>
        <w:rPr>
          <w:rFonts w:hint="eastAsia" w:ascii="宋体" w:hAnsi="宋体" w:eastAsia="宋体" w:cs="宋体"/>
          <w:b/>
          <w:sz w:val="24"/>
          <w:szCs w:val="24"/>
          <w:lang w:val="en-US" w:eastAsia="zh-CN"/>
        </w:rPr>
        <w:t>十</w:t>
      </w:r>
      <w:r>
        <w:rPr>
          <w:rFonts w:hint="eastAsia" w:ascii="宋体" w:hAnsi="宋体" w:eastAsia="宋体" w:cs="宋体"/>
          <w:b/>
          <w:sz w:val="24"/>
          <w:szCs w:val="24"/>
          <w:lang w:val="zh-CN"/>
        </w:rPr>
        <w:t>、解决争议的方法</w:t>
      </w:r>
    </w:p>
    <w:p w14:paraId="1EFA926D">
      <w:pPr>
        <w:keepLines w:val="0"/>
        <w:pageBreakBefore w:val="0"/>
        <w:widowControl/>
        <w:shd w:val="clear"/>
        <w:kinsoku/>
        <w:wordWrap/>
        <w:overflowPunct/>
        <w:topLinePunct w:val="0"/>
        <w:autoSpaceDE w:val="0"/>
        <w:autoSpaceDN w:val="0"/>
        <w:bidi w:val="0"/>
        <w:adjustRightInd w:val="0"/>
        <w:snapToGrid/>
        <w:spacing w:line="360" w:lineRule="auto"/>
        <w:ind w:right="-110" w:firstLine="480" w:firstLineChars="200"/>
        <w:textAlignment w:val="bottom"/>
        <w:rPr>
          <w:rFonts w:hint="eastAsia" w:ascii="宋体" w:hAnsi="宋体" w:eastAsia="宋体" w:cs="宋体"/>
          <w:sz w:val="24"/>
          <w:szCs w:val="24"/>
        </w:rPr>
      </w:pPr>
      <w:r>
        <w:rPr>
          <w:rFonts w:hint="eastAsia" w:ascii="宋体" w:hAnsi="宋体" w:eastAsia="宋体" w:cs="宋体"/>
          <w:sz w:val="24"/>
          <w:szCs w:val="24"/>
        </w:rPr>
        <w:t>凡因本合同引起的或与本合同有关的争议，双方应友好协商解决。协商不成时，双方均同意采用以下第（ 1 ）种争议解决方式：</w:t>
      </w:r>
    </w:p>
    <w:p w14:paraId="73ADB8EB">
      <w:pPr>
        <w:keepLines w:val="0"/>
        <w:pageBreakBefore w:val="0"/>
        <w:widowControl/>
        <w:shd w:val="clear"/>
        <w:kinsoku/>
        <w:wordWrap/>
        <w:overflowPunct/>
        <w:topLinePunct w:val="0"/>
        <w:autoSpaceDE w:val="0"/>
        <w:autoSpaceDN w:val="0"/>
        <w:bidi w:val="0"/>
        <w:adjustRightInd w:val="0"/>
        <w:snapToGrid/>
        <w:spacing w:line="360" w:lineRule="auto"/>
        <w:ind w:right="-110" w:firstLine="480" w:firstLineChars="200"/>
        <w:textAlignment w:val="bottom"/>
        <w:rPr>
          <w:rFonts w:hint="eastAsia" w:ascii="宋体" w:hAnsi="宋体" w:eastAsia="宋体" w:cs="宋体"/>
          <w:sz w:val="24"/>
          <w:szCs w:val="24"/>
        </w:rPr>
      </w:pPr>
      <w:r>
        <w:rPr>
          <w:rFonts w:hint="eastAsia" w:ascii="宋体" w:hAnsi="宋体" w:eastAsia="宋体" w:cs="宋体"/>
          <w:sz w:val="24"/>
          <w:szCs w:val="24"/>
        </w:rPr>
        <w:t>（1）、甲、乙双方均同意向（甲方所在地人民法院）提起诉讼。</w:t>
      </w:r>
    </w:p>
    <w:p w14:paraId="2B51A851">
      <w:pPr>
        <w:keepLines w:val="0"/>
        <w:pageBreakBefore w:val="0"/>
        <w:widowControl/>
        <w:shd w:val="clear"/>
        <w:kinsoku/>
        <w:wordWrap/>
        <w:overflowPunct/>
        <w:topLinePunct w:val="0"/>
        <w:autoSpaceDE w:val="0"/>
        <w:autoSpaceDN w:val="0"/>
        <w:bidi w:val="0"/>
        <w:adjustRightInd w:val="0"/>
        <w:snapToGrid/>
        <w:spacing w:line="360" w:lineRule="auto"/>
        <w:ind w:right="-110" w:firstLine="480" w:firstLineChars="200"/>
        <w:textAlignment w:val="bottom"/>
        <w:rPr>
          <w:rFonts w:hint="eastAsia" w:ascii="宋体" w:hAnsi="宋体" w:eastAsia="宋体" w:cs="宋体"/>
          <w:sz w:val="24"/>
          <w:szCs w:val="24"/>
        </w:rPr>
      </w:pPr>
      <w:r>
        <w:rPr>
          <w:rFonts w:hint="eastAsia" w:ascii="宋体" w:hAnsi="宋体" w:eastAsia="宋体" w:cs="宋体"/>
          <w:sz w:val="24"/>
          <w:szCs w:val="24"/>
        </w:rPr>
        <w:t>（2）、甲、乙双方均同意向（</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"http://www.baidu.com/s?wd=%E4%BB%B2%E8%A3%81%E5%A7%94%E5%91%98%E4%BC%9A&amp;tn=SE_PcZhidaonwhc_ngpagmjz&amp;rsv_dl=gh_pc_zhidao" \t "_blank" </w:instrText>
      </w:r>
      <w:r>
        <w:rPr>
          <w:rFonts w:hint="eastAsia" w:ascii="宋体" w:hAnsi="宋体" w:eastAsia="宋体" w:cs="宋体"/>
          <w:sz w:val="24"/>
          <w:szCs w:val="24"/>
        </w:rPr>
        <w:fldChar w:fldCharType="separate"/>
      </w:r>
      <w:r>
        <w:rPr>
          <w:rFonts w:hint="eastAsia" w:ascii="宋体" w:hAnsi="宋体" w:eastAsia="宋体" w:cs="宋体"/>
          <w:sz w:val="24"/>
          <w:szCs w:val="24"/>
          <w:u w:val="single"/>
        </w:rPr>
        <w:t>仲裁委员会</w:t>
      </w:r>
      <w:r>
        <w:rPr>
          <w:rFonts w:hint="eastAsia" w:ascii="宋体" w:hAnsi="宋体" w:eastAsia="宋体" w:cs="宋体"/>
          <w:sz w:val="24"/>
          <w:szCs w:val="24"/>
        </w:rPr>
        <w:fldChar w:fldCharType="end"/>
      </w:r>
      <w:r>
        <w:rPr>
          <w:rFonts w:hint="eastAsia" w:ascii="宋体" w:hAnsi="宋体" w:eastAsia="宋体" w:cs="宋体"/>
          <w:sz w:val="24"/>
          <w:szCs w:val="24"/>
        </w:rPr>
        <w:t>）提起仲裁。</w:t>
      </w:r>
    </w:p>
    <w:p w14:paraId="7275EB28">
      <w:pPr>
        <w:keepLines w:val="0"/>
        <w:pageBreakBefore w:val="0"/>
        <w:widowControl/>
        <w:shd w:val="clear"/>
        <w:kinsoku/>
        <w:wordWrap/>
        <w:overflowPunct/>
        <w:topLinePunct w:val="0"/>
        <w:autoSpaceDE w:val="0"/>
        <w:autoSpaceDN w:val="0"/>
        <w:bidi w:val="0"/>
        <w:adjustRightInd w:val="0"/>
        <w:snapToGrid/>
        <w:spacing w:line="360" w:lineRule="auto"/>
        <w:ind w:right="-110" w:firstLine="482" w:firstLineChars="200"/>
        <w:textAlignment w:val="bottom"/>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十一、不可抗力</w:t>
      </w:r>
    </w:p>
    <w:p w14:paraId="693FC12F">
      <w:pPr>
        <w:keepLines w:val="0"/>
        <w:pageBreakBefore w:val="0"/>
        <w:widowControl/>
        <w:shd w:val="clear"/>
        <w:kinsoku/>
        <w:wordWrap/>
        <w:overflowPunct/>
        <w:topLinePunct w:val="0"/>
        <w:autoSpaceDE w:val="0"/>
        <w:autoSpaceDN w:val="0"/>
        <w:bidi w:val="0"/>
        <w:adjustRightInd w:val="0"/>
        <w:snapToGrid/>
        <w:spacing w:line="360" w:lineRule="auto"/>
        <w:ind w:right="-110" w:firstLine="480" w:firstLineChars="200"/>
        <w:textAlignment w:val="bottom"/>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甲乙双方因不可抗力导致本合同全部或部分不能履行时，发生不可抗力的一方应当在不可抗力发生后 5日内书面通知对方，以减轻可能给对方造成的损失。因不可抗力导致本合同全部或部分不能履行时，双方各自承担其因此而造成的损失、损害。</w:t>
      </w:r>
    </w:p>
    <w:p w14:paraId="77F0184C">
      <w:pPr>
        <w:keepLines w:val="0"/>
        <w:pageBreakBefore w:val="0"/>
        <w:widowControl/>
        <w:numPr>
          <w:ilvl w:val="0"/>
          <w:numId w:val="1"/>
        </w:numPr>
        <w:shd w:val="clear"/>
        <w:kinsoku/>
        <w:wordWrap/>
        <w:overflowPunct/>
        <w:topLinePunct w:val="0"/>
        <w:autoSpaceDE w:val="0"/>
        <w:autoSpaceDN w:val="0"/>
        <w:bidi w:val="0"/>
        <w:adjustRightInd w:val="0"/>
        <w:snapToGrid/>
        <w:spacing w:line="360" w:lineRule="auto"/>
        <w:ind w:right="-110" w:firstLine="482" w:firstLineChars="200"/>
        <w:textAlignment w:val="bottom"/>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通知和送达</w:t>
      </w:r>
    </w:p>
    <w:p w14:paraId="641D46A7">
      <w:pPr>
        <w:keepLines w:val="0"/>
        <w:pageBreakBefore w:val="0"/>
        <w:widowControl/>
        <w:numPr>
          <w:ilvl w:val="-1"/>
          <w:numId w:val="0"/>
        </w:numPr>
        <w:shd w:val="clear"/>
        <w:kinsoku/>
        <w:wordWrap/>
        <w:overflowPunct/>
        <w:topLinePunct w:val="0"/>
        <w:autoSpaceDE w:val="0"/>
        <w:autoSpaceDN w:val="0"/>
        <w:bidi w:val="0"/>
        <w:adjustRightInd w:val="0"/>
        <w:snapToGrid/>
        <w:spacing w:line="360" w:lineRule="auto"/>
        <w:ind w:right="-110" w:firstLine="480" w:firstLineChars="200"/>
        <w:textAlignment w:val="bottom"/>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合同的通知采用书面形式，可以通过直接递交、邮寄、电子邮件等方式送达，合同中约定的联系方式和当事人工商登记所公示的信息适用于双方往来联系、书面文件送达及争议解决时法律文书送达，若变更，须提前5日书面通知对方，如通知被拒收或退回的，视为拒收或退还当日通知已送达。</w:t>
      </w:r>
    </w:p>
    <w:p w14:paraId="3000D298">
      <w:pPr>
        <w:keepNext/>
        <w:keepLines w:val="0"/>
        <w:pageBreakBefore w:val="0"/>
        <w:widowControl/>
        <w:shd w:val="clear"/>
        <w:kinsoku/>
        <w:wordWrap/>
        <w:overflowPunct/>
        <w:topLinePunct w:val="0"/>
        <w:bidi w:val="0"/>
        <w:adjustRightInd w:val="0"/>
        <w:snapToGrid/>
        <w:spacing w:line="360" w:lineRule="auto"/>
        <w:ind w:firstLine="482" w:firstLineChars="200"/>
        <w:outlineLvl w:val="1"/>
        <w:rPr>
          <w:rFonts w:hint="eastAsia" w:ascii="宋体" w:hAnsi="宋体" w:eastAsia="宋体" w:cs="宋体"/>
          <w:b/>
          <w:sz w:val="24"/>
          <w:szCs w:val="24"/>
        </w:rPr>
      </w:pPr>
      <w:r>
        <w:rPr>
          <w:rFonts w:hint="eastAsia" w:ascii="宋体" w:hAnsi="宋体" w:eastAsia="宋体" w:cs="宋体"/>
          <w:b/>
          <w:sz w:val="24"/>
          <w:szCs w:val="24"/>
          <w:lang w:val="zh-CN"/>
        </w:rPr>
        <w:t>十</w:t>
      </w:r>
      <w:r>
        <w:rPr>
          <w:rFonts w:hint="eastAsia" w:ascii="宋体" w:hAnsi="宋体" w:eastAsia="宋体" w:cs="宋体"/>
          <w:b/>
          <w:sz w:val="24"/>
          <w:szCs w:val="24"/>
          <w:lang w:val="en-US" w:eastAsia="zh-CN"/>
        </w:rPr>
        <w:t>三</w:t>
      </w:r>
      <w:r>
        <w:rPr>
          <w:rFonts w:hint="eastAsia" w:ascii="宋体" w:hAnsi="宋体" w:eastAsia="宋体" w:cs="宋体"/>
          <w:b/>
          <w:sz w:val="24"/>
          <w:szCs w:val="24"/>
          <w:lang w:val="zh-CN"/>
        </w:rPr>
        <w:t>、合同生效及其它</w:t>
      </w:r>
    </w:p>
    <w:p w14:paraId="421F04C7">
      <w:pPr>
        <w:keepLines w:val="0"/>
        <w:pageBreakBefore w:val="0"/>
        <w:widowControl/>
        <w:shd w:val="clear"/>
        <w:kinsoku/>
        <w:wordWrap/>
        <w:overflowPunct/>
        <w:topLinePunct w:val="0"/>
        <w:autoSpaceDE w:val="0"/>
        <w:autoSpaceDN w:val="0"/>
        <w:bidi w:val="0"/>
        <w:adjustRightInd w:val="0"/>
        <w:snapToGrid/>
        <w:spacing w:line="360" w:lineRule="auto"/>
        <w:ind w:right="-110" w:firstLine="480" w:firstLineChars="200"/>
        <w:textAlignment w:val="bottom"/>
        <w:rPr>
          <w:rFonts w:hint="eastAsia" w:ascii="宋体" w:hAnsi="宋体" w:eastAsia="宋体" w:cs="宋体"/>
          <w:sz w:val="24"/>
          <w:szCs w:val="24"/>
        </w:rPr>
      </w:pPr>
      <w:r>
        <w:rPr>
          <w:rFonts w:hint="eastAsia" w:ascii="宋体" w:hAnsi="宋体" w:eastAsia="宋体" w:cs="宋体"/>
          <w:sz w:val="24"/>
          <w:szCs w:val="24"/>
        </w:rPr>
        <w:t>1、合同未尽事宜、由甲、乙双方协商，作为合同补充，与原合同具有同等法律效力。</w:t>
      </w:r>
    </w:p>
    <w:p w14:paraId="69FB59A0">
      <w:pPr>
        <w:keepLines w:val="0"/>
        <w:pageBreakBefore w:val="0"/>
        <w:widowControl/>
        <w:shd w:val="clear"/>
        <w:tabs>
          <w:tab w:val="left" w:pos="8391"/>
        </w:tabs>
        <w:kinsoku/>
        <w:wordWrap/>
        <w:overflowPunct/>
        <w:topLinePunct w:val="0"/>
        <w:autoSpaceDE w:val="0"/>
        <w:autoSpaceDN w:val="0"/>
        <w:bidi w:val="0"/>
        <w:adjustRightInd w:val="0"/>
        <w:snapToGrid/>
        <w:spacing w:line="360" w:lineRule="auto"/>
        <w:ind w:right="-69" w:firstLine="480" w:firstLineChars="200"/>
        <w:textAlignment w:val="bottom"/>
        <w:rPr>
          <w:rFonts w:hint="eastAsia" w:ascii="宋体" w:hAnsi="宋体" w:eastAsia="宋体" w:cs="宋体"/>
          <w:sz w:val="24"/>
          <w:szCs w:val="24"/>
        </w:rPr>
      </w:pPr>
      <w:r>
        <w:rPr>
          <w:rFonts w:hint="eastAsia" w:ascii="宋体" w:hAnsi="宋体" w:eastAsia="宋体" w:cs="宋体"/>
          <w:sz w:val="24"/>
          <w:szCs w:val="24"/>
        </w:rPr>
        <w:t>2、本合同正本一式</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份，甲方、乙方双方分别执</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份，备案</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份</w:t>
      </w:r>
      <w:r>
        <w:rPr>
          <w:rFonts w:hint="eastAsia" w:ascii="宋体" w:hAnsi="宋体" w:eastAsia="宋体" w:cs="宋体"/>
          <w:sz w:val="24"/>
          <w:szCs w:val="24"/>
          <w:lang w:eastAsia="zh-CN"/>
        </w:rPr>
        <w:t>，</w:t>
      </w:r>
      <w:r>
        <w:rPr>
          <w:rFonts w:hint="eastAsia" w:ascii="宋体" w:hAnsi="宋体" w:eastAsia="宋体" w:cs="宋体"/>
          <w:sz w:val="24"/>
          <w:szCs w:val="24"/>
        </w:rPr>
        <w:t>具有同等法律效力。</w:t>
      </w:r>
    </w:p>
    <w:p w14:paraId="46FDC94F">
      <w:pPr>
        <w:keepLines w:val="0"/>
        <w:pageBreakBefore w:val="0"/>
        <w:widowControl/>
        <w:shd w:val="clear"/>
        <w:tabs>
          <w:tab w:val="left" w:pos="8391"/>
        </w:tabs>
        <w:kinsoku/>
        <w:wordWrap/>
        <w:overflowPunct/>
        <w:topLinePunct w:val="0"/>
        <w:autoSpaceDE w:val="0"/>
        <w:autoSpaceDN w:val="0"/>
        <w:bidi w:val="0"/>
        <w:adjustRightInd w:val="0"/>
        <w:snapToGrid/>
        <w:spacing w:line="360" w:lineRule="auto"/>
        <w:ind w:right="-69" w:firstLine="480" w:firstLineChars="200"/>
        <w:textAlignment w:val="bottom"/>
        <w:rPr>
          <w:rFonts w:hint="eastAsia" w:ascii="宋体" w:hAnsi="宋体" w:eastAsia="宋体" w:cs="宋体"/>
          <w:sz w:val="24"/>
          <w:szCs w:val="24"/>
        </w:rPr>
      </w:pPr>
      <w:r>
        <w:rPr>
          <w:rFonts w:hint="eastAsia" w:ascii="宋体" w:hAnsi="宋体" w:eastAsia="宋体" w:cs="宋体"/>
          <w:sz w:val="24"/>
          <w:szCs w:val="24"/>
        </w:rPr>
        <w:t>3、合同经甲乙双方盖章、签字后生效，合同签订地点为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F5FCA5A">
      <w:pPr>
        <w:keepLines w:val="0"/>
        <w:pageBreakBefore w:val="0"/>
        <w:widowControl/>
        <w:shd w:val="clear"/>
        <w:tabs>
          <w:tab w:val="left" w:pos="8391"/>
        </w:tabs>
        <w:kinsoku/>
        <w:wordWrap/>
        <w:overflowPunct/>
        <w:topLinePunct w:val="0"/>
        <w:autoSpaceDE w:val="0"/>
        <w:autoSpaceDN w:val="0"/>
        <w:bidi w:val="0"/>
        <w:adjustRightInd w:val="0"/>
        <w:snapToGrid/>
        <w:spacing w:line="360" w:lineRule="auto"/>
        <w:ind w:right="-69" w:firstLine="480" w:firstLineChars="200"/>
        <w:textAlignment w:val="bottom"/>
        <w:rPr>
          <w:rFonts w:hint="eastAsia" w:ascii="宋体" w:hAnsi="宋体" w:eastAsia="宋体" w:cs="宋体"/>
          <w:sz w:val="24"/>
          <w:szCs w:val="24"/>
        </w:rPr>
      </w:pPr>
      <w:r>
        <w:rPr>
          <w:rFonts w:hint="eastAsia" w:ascii="宋体" w:hAnsi="宋体" w:eastAsia="宋体" w:cs="宋体"/>
          <w:sz w:val="24"/>
          <w:szCs w:val="24"/>
        </w:rPr>
        <w:t>4、生效时间：   年  月  日</w:t>
      </w:r>
    </w:p>
    <w:p w14:paraId="129405AD">
      <w:pPr>
        <w:widowControl/>
        <w:shd w:val="clear"/>
        <w:tabs>
          <w:tab w:val="left" w:pos="8391"/>
        </w:tabs>
        <w:autoSpaceDE w:val="0"/>
        <w:autoSpaceDN w:val="0"/>
        <w:snapToGrid w:val="0"/>
        <w:spacing w:line="360" w:lineRule="auto"/>
        <w:ind w:right="-69" w:firstLine="840" w:firstLineChars="350"/>
        <w:textAlignment w:val="bottom"/>
        <w:rPr>
          <w:rFonts w:hint="default" w:ascii="宋体" w:hAnsi="宋体" w:eastAsia="宋体" w:cs="宋体"/>
          <w:sz w:val="24"/>
          <w:szCs w:val="24"/>
          <w:lang w:val="en-US" w:eastAsia="zh-CN"/>
        </w:rPr>
      </w:pPr>
    </w:p>
    <w:p w14:paraId="13A8BA44">
      <w:pPr>
        <w:widowControl/>
        <w:shd w:val="clear"/>
        <w:tabs>
          <w:tab w:val="left" w:pos="8391"/>
        </w:tabs>
        <w:autoSpaceDE w:val="0"/>
        <w:autoSpaceDN w:val="0"/>
        <w:snapToGrid w:val="0"/>
        <w:spacing w:line="360" w:lineRule="auto"/>
        <w:ind w:right="-69" w:firstLine="840" w:firstLineChars="350"/>
        <w:textAlignment w:val="bottom"/>
        <w:rPr>
          <w:rFonts w:hint="eastAsia" w:ascii="宋体" w:hAnsi="宋体" w:eastAsia="宋体" w:cs="宋体"/>
          <w:sz w:val="24"/>
          <w:szCs w:val="24"/>
        </w:rPr>
      </w:pPr>
      <w:r>
        <w:rPr>
          <w:rFonts w:hint="eastAsia" w:ascii="宋体" w:hAnsi="宋体" w:eastAsia="宋体" w:cs="宋体"/>
          <w:sz w:val="24"/>
          <w:szCs w:val="24"/>
          <w:lang w:val="en-US" w:eastAsia="zh-CN"/>
        </w:rPr>
        <w:t>附件一</w:t>
      </w:r>
      <w:r>
        <w:rPr>
          <w:rFonts w:hint="eastAsia" w:ascii="宋体" w:hAnsi="宋体" w:eastAsia="宋体" w:cs="宋体"/>
          <w:sz w:val="24"/>
          <w:szCs w:val="24"/>
        </w:rPr>
        <w:t>《维保服务车辆清单》</w:t>
      </w:r>
    </w:p>
    <w:p w14:paraId="31DE7505">
      <w:pPr>
        <w:widowControl/>
        <w:shd w:val="clear"/>
        <w:tabs>
          <w:tab w:val="left" w:pos="8391"/>
        </w:tabs>
        <w:autoSpaceDE w:val="0"/>
        <w:autoSpaceDN w:val="0"/>
        <w:snapToGrid w:val="0"/>
        <w:spacing w:line="360" w:lineRule="auto"/>
        <w:ind w:right="-69" w:firstLine="840" w:firstLineChars="350"/>
        <w:textAlignment w:val="bottom"/>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附件二《车辆维修台账》</w:t>
      </w:r>
    </w:p>
    <w:p w14:paraId="3CA16630">
      <w:pPr>
        <w:widowControl/>
        <w:shd w:val="clear"/>
        <w:tabs>
          <w:tab w:val="left" w:pos="8391"/>
        </w:tabs>
        <w:autoSpaceDE w:val="0"/>
        <w:autoSpaceDN w:val="0"/>
        <w:snapToGrid w:val="0"/>
        <w:spacing w:line="360" w:lineRule="auto"/>
        <w:ind w:right="-69" w:firstLine="840" w:firstLineChars="350"/>
        <w:textAlignment w:val="bottom"/>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附件三</w:t>
      </w:r>
      <w:r>
        <w:rPr>
          <w:rFonts w:hint="eastAsia" w:ascii="宋体" w:hAnsi="宋体" w:eastAsia="宋体" w:cs="宋体"/>
          <w:sz w:val="24"/>
        </w:rPr>
        <w:t>《汽车维修竣工出厂合格证》和《质量保证书》</w:t>
      </w:r>
    </w:p>
    <w:p w14:paraId="4F3B2C57">
      <w:pPr>
        <w:widowControl/>
        <w:shd w:val="clear"/>
        <w:tabs>
          <w:tab w:val="left" w:pos="8391"/>
        </w:tabs>
        <w:autoSpaceDE w:val="0"/>
        <w:autoSpaceDN w:val="0"/>
        <w:snapToGrid w:val="0"/>
        <w:spacing w:line="360" w:lineRule="auto"/>
        <w:ind w:right="-69" w:firstLine="840" w:firstLineChars="350"/>
        <w:textAlignment w:val="bottom"/>
        <w:rPr>
          <w:rFonts w:hint="eastAsia" w:ascii="宋体" w:hAnsi="宋体" w:eastAsia="宋体" w:cs="宋体"/>
          <w:sz w:val="24"/>
          <w:szCs w:val="24"/>
        </w:rPr>
      </w:pPr>
    </w:p>
    <w:tbl>
      <w:tblPr>
        <w:tblStyle w:val="5"/>
        <w:tblW w:w="0" w:type="auto"/>
        <w:jc w:val="center"/>
        <w:tblLayout w:type="fixed"/>
        <w:tblCellMar>
          <w:top w:w="0" w:type="dxa"/>
          <w:left w:w="108" w:type="dxa"/>
          <w:bottom w:w="0" w:type="dxa"/>
          <w:right w:w="108" w:type="dxa"/>
        </w:tblCellMar>
      </w:tblPr>
      <w:tblGrid>
        <w:gridCol w:w="4470"/>
        <w:gridCol w:w="4425"/>
      </w:tblGrid>
      <w:tr w14:paraId="23BEE4F6">
        <w:tblPrEx>
          <w:tblCellMar>
            <w:top w:w="0" w:type="dxa"/>
            <w:left w:w="108" w:type="dxa"/>
            <w:bottom w:w="0" w:type="dxa"/>
            <w:right w:w="108" w:type="dxa"/>
          </w:tblCellMar>
        </w:tblPrEx>
        <w:trPr>
          <w:jc w:val="center"/>
        </w:trPr>
        <w:tc>
          <w:tcPr>
            <w:tcW w:w="4470" w:type="dxa"/>
            <w:noWrap w:val="0"/>
            <w:vAlign w:val="top"/>
          </w:tcPr>
          <w:p w14:paraId="7354470E">
            <w:pPr>
              <w:widowControl/>
              <w:shd w:val="clear"/>
              <w:autoSpaceDE w:val="0"/>
              <w:autoSpaceDN w:val="0"/>
              <w:snapToGrid w:val="0"/>
              <w:spacing w:line="360" w:lineRule="auto"/>
              <w:ind w:right="-154"/>
              <w:textAlignment w:val="bottom"/>
              <w:rPr>
                <w:rFonts w:hint="eastAsia" w:ascii="宋体" w:hAnsi="宋体" w:eastAsia="宋体" w:cs="宋体"/>
                <w:sz w:val="24"/>
                <w:szCs w:val="24"/>
              </w:rPr>
            </w:pPr>
            <w:r>
              <w:rPr>
                <w:rFonts w:hint="eastAsia" w:ascii="宋体" w:hAnsi="宋体" w:eastAsia="宋体" w:cs="宋体"/>
                <w:sz w:val="24"/>
                <w:szCs w:val="24"/>
              </w:rPr>
              <w:t>甲方名称</w:t>
            </w:r>
            <w:r>
              <w:rPr>
                <w:rFonts w:hint="eastAsia" w:ascii="宋体" w:hAnsi="宋体" w:eastAsia="宋体" w:cs="宋体"/>
                <w:spacing w:val="-20"/>
                <w:sz w:val="24"/>
                <w:szCs w:val="24"/>
              </w:rPr>
              <w:t>（盖章）</w:t>
            </w:r>
            <w:r>
              <w:rPr>
                <w:rFonts w:hint="eastAsia" w:ascii="宋体" w:hAnsi="宋体" w:eastAsia="宋体" w:cs="宋体"/>
                <w:sz w:val="24"/>
                <w:szCs w:val="24"/>
              </w:rPr>
              <w:t>:</w:t>
            </w:r>
          </w:p>
          <w:p w14:paraId="446E174D">
            <w:pPr>
              <w:widowControl/>
              <w:shd w:val="clear"/>
              <w:autoSpaceDE w:val="0"/>
              <w:autoSpaceDN w:val="0"/>
              <w:snapToGrid w:val="0"/>
              <w:spacing w:line="360" w:lineRule="auto"/>
              <w:ind w:right="-154"/>
              <w:textAlignment w:val="bottom"/>
              <w:rPr>
                <w:rFonts w:hint="eastAsia" w:ascii="宋体" w:hAnsi="宋体" w:eastAsia="宋体" w:cs="宋体"/>
                <w:sz w:val="24"/>
                <w:szCs w:val="24"/>
              </w:rPr>
            </w:pPr>
            <w:r>
              <w:rPr>
                <w:rFonts w:hint="eastAsia" w:ascii="宋体" w:hAnsi="宋体" w:eastAsia="宋体" w:cs="宋体"/>
                <w:sz w:val="24"/>
                <w:szCs w:val="24"/>
              </w:rPr>
              <w:t>地址：</w:t>
            </w:r>
          </w:p>
          <w:p w14:paraId="0D6AC7BB">
            <w:pPr>
              <w:widowControl/>
              <w:shd w:val="clear"/>
              <w:autoSpaceDE w:val="0"/>
              <w:autoSpaceDN w:val="0"/>
              <w:snapToGrid w:val="0"/>
              <w:spacing w:line="360" w:lineRule="auto"/>
              <w:ind w:right="-154"/>
              <w:textAlignment w:val="bottom"/>
              <w:rPr>
                <w:rFonts w:hint="eastAsia" w:ascii="宋体" w:hAnsi="宋体" w:eastAsia="宋体" w:cs="宋体"/>
                <w:sz w:val="24"/>
                <w:szCs w:val="24"/>
              </w:rPr>
            </w:pPr>
            <w:r>
              <w:rPr>
                <w:rFonts w:hint="eastAsia" w:ascii="宋体" w:hAnsi="宋体" w:eastAsia="宋体" w:cs="宋体"/>
                <w:sz w:val="24"/>
                <w:szCs w:val="24"/>
                <w:lang w:val="en-US" w:eastAsia="zh-CN"/>
              </w:rPr>
              <w:t>法定</w:t>
            </w:r>
            <w:r>
              <w:rPr>
                <w:rFonts w:hint="eastAsia" w:ascii="宋体" w:hAnsi="宋体" w:eastAsia="宋体" w:cs="宋体"/>
                <w:sz w:val="24"/>
                <w:szCs w:val="24"/>
              </w:rPr>
              <w:t>代表人</w:t>
            </w:r>
            <w:r>
              <w:rPr>
                <w:rFonts w:hint="eastAsia" w:ascii="宋体" w:hAnsi="宋体" w:eastAsia="宋体" w:cs="宋体"/>
                <w:sz w:val="24"/>
                <w:szCs w:val="24"/>
                <w:lang w:val="en-US" w:eastAsia="zh-CN"/>
              </w:rPr>
              <w:t>或委托代理人</w:t>
            </w:r>
            <w:r>
              <w:rPr>
                <w:rFonts w:hint="eastAsia" w:ascii="宋体" w:hAnsi="宋体" w:eastAsia="宋体" w:cs="宋体"/>
                <w:sz w:val="24"/>
                <w:szCs w:val="24"/>
              </w:rPr>
              <w:t>（签字）：</w:t>
            </w:r>
          </w:p>
          <w:p w14:paraId="6760ED29">
            <w:pPr>
              <w:widowControl/>
              <w:shd w:val="clear"/>
              <w:autoSpaceDE w:val="0"/>
              <w:autoSpaceDN w:val="0"/>
              <w:snapToGrid w:val="0"/>
              <w:spacing w:line="360" w:lineRule="auto"/>
              <w:ind w:right="-154"/>
              <w:textAlignment w:val="bottom"/>
              <w:rPr>
                <w:rFonts w:hint="eastAsia" w:ascii="宋体" w:hAnsi="宋体" w:eastAsia="宋体" w:cs="宋体"/>
                <w:sz w:val="24"/>
                <w:szCs w:val="24"/>
              </w:rPr>
            </w:pPr>
            <w:r>
              <w:rPr>
                <w:rFonts w:hint="eastAsia" w:ascii="宋体" w:hAnsi="宋体" w:eastAsia="宋体" w:cs="宋体"/>
                <w:sz w:val="24"/>
                <w:szCs w:val="24"/>
              </w:rPr>
              <w:t>电话：</w:t>
            </w:r>
          </w:p>
          <w:p w14:paraId="429BD41F">
            <w:pPr>
              <w:widowControl/>
              <w:shd w:val="clear"/>
              <w:autoSpaceDE w:val="0"/>
              <w:autoSpaceDN w:val="0"/>
              <w:snapToGrid w:val="0"/>
              <w:spacing w:line="360" w:lineRule="auto"/>
              <w:ind w:right="-154"/>
              <w:textAlignment w:val="bottom"/>
              <w:rPr>
                <w:rFonts w:hint="eastAsia" w:ascii="宋体" w:hAnsi="宋体" w:eastAsia="宋体" w:cs="宋体"/>
                <w:sz w:val="24"/>
                <w:szCs w:val="24"/>
              </w:rPr>
            </w:pPr>
            <w:r>
              <w:rPr>
                <w:rFonts w:hint="eastAsia" w:ascii="宋体" w:hAnsi="宋体" w:eastAsia="宋体" w:cs="宋体"/>
                <w:sz w:val="24"/>
                <w:szCs w:val="24"/>
              </w:rPr>
              <w:t>开户银行：</w:t>
            </w:r>
          </w:p>
          <w:p w14:paraId="0C50AB95">
            <w:pPr>
              <w:widowControl/>
              <w:shd w:val="clear"/>
              <w:autoSpaceDE w:val="0"/>
              <w:autoSpaceDN w:val="0"/>
              <w:snapToGrid w:val="0"/>
              <w:spacing w:line="360" w:lineRule="auto"/>
              <w:ind w:right="-154"/>
              <w:textAlignment w:val="bottom"/>
              <w:rPr>
                <w:rFonts w:hint="eastAsia" w:ascii="宋体" w:hAnsi="宋体" w:eastAsia="宋体" w:cs="宋体"/>
                <w:sz w:val="24"/>
                <w:szCs w:val="24"/>
              </w:rPr>
            </w:pPr>
            <w:r>
              <w:rPr>
                <w:rFonts w:hint="eastAsia" w:ascii="宋体" w:hAnsi="宋体" w:eastAsia="宋体" w:cs="宋体"/>
                <w:sz w:val="24"/>
                <w:szCs w:val="24"/>
              </w:rPr>
              <w:t>帐号：</w:t>
            </w:r>
          </w:p>
        </w:tc>
        <w:tc>
          <w:tcPr>
            <w:tcW w:w="4425" w:type="dxa"/>
            <w:noWrap w:val="0"/>
            <w:vAlign w:val="top"/>
          </w:tcPr>
          <w:p w14:paraId="33BA18AE">
            <w:pPr>
              <w:widowControl/>
              <w:shd w:val="clear"/>
              <w:autoSpaceDE w:val="0"/>
              <w:autoSpaceDN w:val="0"/>
              <w:snapToGrid w:val="0"/>
              <w:spacing w:line="360" w:lineRule="auto"/>
              <w:ind w:right="-154"/>
              <w:textAlignment w:val="bottom"/>
              <w:rPr>
                <w:rFonts w:hint="eastAsia" w:ascii="宋体" w:hAnsi="宋体" w:eastAsia="宋体" w:cs="宋体"/>
                <w:sz w:val="24"/>
                <w:szCs w:val="24"/>
              </w:rPr>
            </w:pPr>
            <w:r>
              <w:rPr>
                <w:rFonts w:hint="eastAsia" w:ascii="宋体" w:hAnsi="宋体" w:eastAsia="宋体" w:cs="宋体"/>
                <w:sz w:val="24"/>
                <w:szCs w:val="24"/>
              </w:rPr>
              <w:t>乙方名称</w:t>
            </w:r>
            <w:r>
              <w:rPr>
                <w:rFonts w:hint="eastAsia" w:ascii="宋体" w:hAnsi="宋体" w:eastAsia="宋体" w:cs="宋体"/>
                <w:spacing w:val="-20"/>
                <w:sz w:val="24"/>
                <w:szCs w:val="24"/>
              </w:rPr>
              <w:t>（盖章）</w:t>
            </w:r>
            <w:r>
              <w:rPr>
                <w:rFonts w:hint="eastAsia" w:ascii="宋体" w:hAnsi="宋体" w:eastAsia="宋体" w:cs="宋体"/>
                <w:sz w:val="24"/>
                <w:szCs w:val="24"/>
              </w:rPr>
              <w:t>:</w:t>
            </w:r>
          </w:p>
          <w:p w14:paraId="0C483B4C">
            <w:pPr>
              <w:widowControl/>
              <w:shd w:val="clear"/>
              <w:autoSpaceDE w:val="0"/>
              <w:autoSpaceDN w:val="0"/>
              <w:snapToGrid w:val="0"/>
              <w:spacing w:line="360" w:lineRule="auto"/>
              <w:ind w:right="-154"/>
              <w:textAlignment w:val="bottom"/>
              <w:rPr>
                <w:rFonts w:hint="eastAsia" w:ascii="宋体" w:hAnsi="宋体" w:eastAsia="宋体" w:cs="宋体"/>
                <w:sz w:val="24"/>
                <w:szCs w:val="24"/>
              </w:rPr>
            </w:pPr>
            <w:r>
              <w:rPr>
                <w:rFonts w:hint="eastAsia" w:ascii="宋体" w:hAnsi="宋体" w:eastAsia="宋体" w:cs="宋体"/>
                <w:sz w:val="24"/>
                <w:szCs w:val="24"/>
              </w:rPr>
              <w:t>地址：</w:t>
            </w:r>
          </w:p>
          <w:p w14:paraId="76FCD51C">
            <w:pPr>
              <w:widowControl/>
              <w:shd w:val="clear"/>
              <w:autoSpaceDE w:val="0"/>
              <w:autoSpaceDN w:val="0"/>
              <w:snapToGrid w:val="0"/>
              <w:spacing w:line="360" w:lineRule="auto"/>
              <w:ind w:right="-154"/>
              <w:textAlignment w:val="bottom"/>
              <w:rPr>
                <w:rFonts w:hint="eastAsia" w:ascii="宋体" w:hAnsi="宋体" w:eastAsia="宋体" w:cs="宋体"/>
                <w:sz w:val="24"/>
                <w:szCs w:val="24"/>
              </w:rPr>
            </w:pPr>
            <w:r>
              <w:rPr>
                <w:rFonts w:hint="eastAsia" w:ascii="宋体" w:hAnsi="宋体" w:eastAsia="宋体" w:cs="宋体"/>
                <w:sz w:val="24"/>
                <w:szCs w:val="24"/>
                <w:lang w:val="en-US" w:eastAsia="zh-CN"/>
              </w:rPr>
              <w:t>法定</w:t>
            </w:r>
            <w:r>
              <w:rPr>
                <w:rFonts w:hint="eastAsia" w:ascii="宋体" w:hAnsi="宋体" w:eastAsia="宋体" w:cs="宋体"/>
                <w:sz w:val="24"/>
                <w:szCs w:val="24"/>
              </w:rPr>
              <w:t>代表人</w:t>
            </w:r>
            <w:r>
              <w:rPr>
                <w:rFonts w:hint="eastAsia" w:ascii="宋体" w:hAnsi="宋体" w:eastAsia="宋体" w:cs="宋体"/>
                <w:sz w:val="24"/>
                <w:szCs w:val="24"/>
                <w:lang w:val="en-US" w:eastAsia="zh-CN"/>
              </w:rPr>
              <w:t>或委托代理人</w:t>
            </w:r>
            <w:r>
              <w:rPr>
                <w:rFonts w:hint="eastAsia" w:ascii="宋体" w:hAnsi="宋体" w:eastAsia="宋体" w:cs="宋体"/>
                <w:sz w:val="24"/>
                <w:szCs w:val="24"/>
              </w:rPr>
              <w:t>（签字）：</w:t>
            </w:r>
          </w:p>
          <w:p w14:paraId="41D7867A">
            <w:pPr>
              <w:widowControl/>
              <w:shd w:val="clear"/>
              <w:autoSpaceDE w:val="0"/>
              <w:autoSpaceDN w:val="0"/>
              <w:snapToGrid w:val="0"/>
              <w:spacing w:line="360" w:lineRule="auto"/>
              <w:ind w:right="-154"/>
              <w:textAlignment w:val="bottom"/>
              <w:rPr>
                <w:rFonts w:hint="eastAsia" w:ascii="宋体" w:hAnsi="宋体" w:eastAsia="宋体" w:cs="宋体"/>
                <w:sz w:val="24"/>
                <w:szCs w:val="24"/>
              </w:rPr>
            </w:pPr>
            <w:r>
              <w:rPr>
                <w:rFonts w:hint="eastAsia" w:ascii="宋体" w:hAnsi="宋体" w:eastAsia="宋体" w:cs="宋体"/>
                <w:sz w:val="24"/>
                <w:szCs w:val="24"/>
              </w:rPr>
              <w:t>电话：</w:t>
            </w:r>
          </w:p>
          <w:p w14:paraId="5F95CC33">
            <w:pPr>
              <w:widowControl/>
              <w:shd w:val="clear"/>
              <w:autoSpaceDE w:val="0"/>
              <w:autoSpaceDN w:val="0"/>
              <w:snapToGrid w:val="0"/>
              <w:spacing w:line="360" w:lineRule="auto"/>
              <w:ind w:right="-154"/>
              <w:textAlignment w:val="bottom"/>
              <w:rPr>
                <w:rFonts w:hint="eastAsia" w:ascii="宋体" w:hAnsi="宋体" w:eastAsia="宋体" w:cs="宋体"/>
                <w:sz w:val="24"/>
                <w:szCs w:val="24"/>
              </w:rPr>
            </w:pPr>
            <w:r>
              <w:rPr>
                <w:rFonts w:hint="eastAsia" w:ascii="宋体" w:hAnsi="宋体" w:eastAsia="宋体" w:cs="宋体"/>
                <w:sz w:val="24"/>
                <w:szCs w:val="24"/>
              </w:rPr>
              <w:t>开户银行：</w:t>
            </w:r>
          </w:p>
          <w:p w14:paraId="27225CB7">
            <w:pPr>
              <w:widowControl/>
              <w:shd w:val="clear"/>
              <w:autoSpaceDE w:val="0"/>
              <w:autoSpaceDN w:val="0"/>
              <w:snapToGrid w:val="0"/>
              <w:spacing w:line="360" w:lineRule="auto"/>
              <w:ind w:right="-154"/>
              <w:textAlignment w:val="bottom"/>
              <w:rPr>
                <w:rFonts w:hint="eastAsia" w:ascii="宋体" w:hAnsi="宋体" w:eastAsia="宋体" w:cs="宋体"/>
                <w:sz w:val="24"/>
                <w:szCs w:val="24"/>
              </w:rPr>
            </w:pPr>
            <w:r>
              <w:rPr>
                <w:rFonts w:hint="eastAsia" w:ascii="宋体" w:hAnsi="宋体" w:eastAsia="宋体" w:cs="宋体"/>
                <w:sz w:val="24"/>
                <w:szCs w:val="24"/>
              </w:rPr>
              <w:t>帐号：</w:t>
            </w:r>
          </w:p>
        </w:tc>
      </w:tr>
    </w:tbl>
    <w:p w14:paraId="7D458BB3"/>
    <w:p w14:paraId="34AC67BB">
      <w:pPr>
        <w:rPr>
          <w:rFonts w:asciiTheme="minorEastAsia" w:hAnsiTheme="minorEastAsia" w:cstheme="minorEastAsia"/>
          <w:b/>
          <w:bCs/>
          <w:sz w:val="24"/>
        </w:rPr>
      </w:pPr>
    </w:p>
    <w:p w14:paraId="62F7949E">
      <w:pPr>
        <w:rPr>
          <w:rFonts w:hint="eastAsia" w:ascii="宋体" w:hAnsi="宋体" w:eastAsia="宋体" w:cs="宋体"/>
          <w:b/>
          <w:bCs/>
          <w:sz w:val="28"/>
          <w:szCs w:val="36"/>
        </w:rPr>
      </w:pPr>
      <w:r>
        <w:br w:type="page"/>
      </w:r>
    </w:p>
    <w:p w14:paraId="0963D2E0">
      <w:pPr>
        <w:jc w:val="both"/>
        <w:rPr>
          <w:rFonts w:hint="eastAsia" w:ascii="宋体" w:hAnsi="宋体" w:eastAsia="宋体" w:cs="宋体"/>
          <w:b/>
          <w:bCs/>
          <w:sz w:val="44"/>
          <w:szCs w:val="52"/>
        </w:rPr>
      </w:pPr>
      <w:r>
        <w:rPr>
          <w:rFonts w:hint="eastAsia" w:ascii="宋体" w:hAnsi="宋体" w:eastAsia="宋体" w:cs="宋体"/>
          <w:b/>
          <w:bCs/>
          <w:sz w:val="44"/>
          <w:szCs w:val="52"/>
        </w:rPr>
        <w:t>采购包1--配件单价及工时费</w:t>
      </w:r>
    </w:p>
    <w:p w14:paraId="79038E97">
      <w:pPr>
        <w:rPr>
          <w:rFonts w:hint="eastAsia"/>
        </w:rPr>
      </w:pPr>
      <w:r>
        <w:rPr>
          <w:rFonts w:hint="eastAsia"/>
        </w:rPr>
        <w:br w:type="page"/>
      </w:r>
    </w:p>
    <w:p w14:paraId="6831755C">
      <w:pPr>
        <w:jc w:val="both"/>
        <w:rPr>
          <w:rFonts w:hint="eastAsia" w:ascii="宋体" w:hAnsi="宋体" w:eastAsia="宋体" w:cs="宋体"/>
          <w:b/>
          <w:bCs/>
          <w:sz w:val="44"/>
          <w:szCs w:val="52"/>
        </w:rPr>
      </w:pPr>
      <w:r>
        <w:rPr>
          <w:rFonts w:hint="eastAsia" w:ascii="宋体" w:hAnsi="宋体" w:eastAsia="宋体" w:cs="宋体"/>
          <w:b/>
          <w:bCs/>
          <w:sz w:val="44"/>
          <w:szCs w:val="52"/>
        </w:rPr>
        <w:t>采购包2-配件单价及</w:t>
      </w:r>
      <w:bookmarkStart w:id="0" w:name="_GoBack"/>
      <w:bookmarkEnd w:id="0"/>
      <w:r>
        <w:rPr>
          <w:rFonts w:hint="eastAsia" w:ascii="宋体" w:hAnsi="宋体" w:eastAsia="宋体" w:cs="宋体"/>
          <w:b/>
          <w:bCs/>
          <w:sz w:val="44"/>
          <w:szCs w:val="52"/>
        </w:rPr>
        <w:t>工时费</w:t>
      </w: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E1A60">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2703E4"/>
    <w:multiLevelType w:val="singleLevel"/>
    <w:tmpl w:val="C22703E4"/>
    <w:lvl w:ilvl="0" w:tentative="0">
      <w:start w:val="12"/>
      <w:numFmt w:val="chineseCounting"/>
      <w:suff w:val="nothing"/>
      <w:lvlText w:val="%1、"/>
      <w:lvlJc w:val="left"/>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786D36"/>
    <w:rsid w:val="0EC2207B"/>
    <w:rsid w:val="185B7540"/>
    <w:rsid w:val="213E2F0F"/>
    <w:rsid w:val="26841133"/>
    <w:rsid w:val="33BC7D4B"/>
    <w:rsid w:val="39D44F0D"/>
    <w:rsid w:val="3A1670A8"/>
    <w:rsid w:val="3E754C90"/>
    <w:rsid w:val="3F813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styleId="3">
    <w:name w:val="footer"/>
    <w:basedOn w:val="1"/>
    <w:qFormat/>
    <w:uiPriority w:val="0"/>
    <w:pPr>
      <w:tabs>
        <w:tab w:val="center" w:pos="4153"/>
        <w:tab w:val="right" w:pos="8306"/>
      </w:tabs>
      <w:snapToGrid w:val="0"/>
      <w:jc w:val="left"/>
    </w:pPr>
    <w:rPr>
      <w:sz w:val="18"/>
    </w:rPr>
  </w:style>
  <w:style w:type="paragraph" w:styleId="4">
    <w:name w:val="toc 1"/>
    <w:basedOn w:val="1"/>
    <w:next w:val="1"/>
    <w:uiPriority w:val="0"/>
    <w:pPr>
      <w:wordWrap w:val="0"/>
      <w:adjustRightInd w:val="0"/>
      <w:snapToGrid w:val="0"/>
      <w:spacing w:line="480" w:lineRule="auto"/>
    </w:pPr>
    <w:rPr>
      <w:rFonts w:ascii="宋体" w:hAnsi="宋体" w:eastAsia="宋体" w:cs="宋体"/>
      <w:sz w:val="28"/>
      <w:szCs w:val="28"/>
    </w:rPr>
  </w:style>
  <w:style w:type="paragraph" w:customStyle="1" w:styleId="7">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8">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 w:type="paragraph" w:customStyle="1" w:styleId="9">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3683</Words>
  <Characters>3721</Characters>
  <Lines>0</Lines>
  <Paragraphs>0</Paragraphs>
  <TotalTime>2</TotalTime>
  <ScaleCrop>false</ScaleCrop>
  <LinksUpToDate>false</LinksUpToDate>
  <CharactersWithSpaces>3970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w..</cp:lastModifiedBy>
  <dcterms:modified xsi:type="dcterms:W3CDTF">2026-05-27T08:34:43Z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50DBD70EEBF74746A7EEF8B5DC19B0B3_12</vt:lpwstr>
  </property>
  <property fmtid="{D5CDD505-2E9C-101B-9397-08002B2CF9AE}" pid="4" name="KSOTemplateDocerSaveRecord">
    <vt:lpwstr>eyJoZGlkIjoiMzM4ODMwNjNiZWE4OGJkYzJkNWI1MjZhMjg0MGY0NWEiLCJ1c2VySWQiOiIyOTcwOTk0MDcifQ==</vt:lpwstr>
  </property>
</Properties>
</file>