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1DC3BA">
      <w:pPr>
        <w:jc w:val="center"/>
        <w:outlineLvl w:val="9"/>
        <w:rPr>
          <w:rFonts w:hint="eastAsia" w:ascii="宋体" w:hAnsi="宋体" w:cs="宋体"/>
          <w:b/>
          <w:color w:val="auto"/>
          <w:sz w:val="32"/>
          <w:szCs w:val="32"/>
          <w:highlight w:val="none"/>
        </w:rPr>
      </w:pPr>
      <w:r>
        <w:rPr>
          <w:rFonts w:hint="eastAsia" w:ascii="宋体" w:hAnsi="宋体" w:eastAsia="宋体" w:cs="宋体"/>
          <w:b/>
          <w:bCs/>
          <w:color w:val="auto"/>
          <w:spacing w:val="-2"/>
          <w:sz w:val="40"/>
          <w:szCs w:val="40"/>
          <w:highlight w:val="none"/>
          <w:lang w:val="en-US" w:eastAsia="zh-CN"/>
        </w:rPr>
        <w:t>2026年云上应用与服务平台维护</w:t>
      </w:r>
    </w:p>
    <w:p w14:paraId="521825B6">
      <w:pPr>
        <w:ind w:firstLine="420"/>
        <w:jc w:val="center"/>
        <w:outlineLvl w:val="9"/>
        <w:rPr>
          <w:rFonts w:hint="eastAsia" w:ascii="宋体" w:hAnsi="宋体" w:cs="宋体"/>
          <w:b/>
          <w:color w:val="auto"/>
          <w:sz w:val="32"/>
          <w:szCs w:val="32"/>
          <w:highlight w:val="none"/>
        </w:rPr>
      </w:pPr>
    </w:p>
    <w:p w14:paraId="27E405FD">
      <w:pPr>
        <w:ind w:firstLine="420"/>
        <w:jc w:val="center"/>
        <w:outlineLvl w:val="9"/>
        <w:rPr>
          <w:rFonts w:hint="eastAsia" w:ascii="宋体" w:hAnsi="宋体" w:cs="宋体"/>
          <w:b/>
          <w:color w:val="auto"/>
          <w:sz w:val="36"/>
          <w:szCs w:val="36"/>
          <w:highlight w:val="none"/>
        </w:rPr>
      </w:pPr>
      <w:r>
        <w:rPr>
          <w:rFonts w:hint="eastAsia" w:ascii="宋体" w:hAnsi="宋体" w:cs="宋体"/>
          <w:b/>
          <w:color w:val="auto"/>
          <w:sz w:val="32"/>
          <w:szCs w:val="32"/>
          <w:highlight w:val="none"/>
        </w:rPr>
        <w:t>合同主要条款</w:t>
      </w:r>
    </w:p>
    <w:p w14:paraId="306FE352">
      <w:pPr>
        <w:ind w:left="0" w:leftChars="0" w:firstLine="0" w:firstLineChars="0"/>
        <w:jc w:val="center"/>
        <w:rPr>
          <w:rFonts w:hint="eastAsia" w:ascii="宋体" w:hAnsi="宋体" w:cs="宋体"/>
          <w:b/>
          <w:bCs/>
          <w:color w:val="auto"/>
          <w:sz w:val="22"/>
          <w:szCs w:val="22"/>
          <w:highlight w:val="none"/>
        </w:rPr>
      </w:pPr>
    </w:p>
    <w:p w14:paraId="74DE80D1">
      <w:pPr>
        <w:ind w:left="0" w:leftChars="0" w:firstLine="0" w:firstLineChars="0"/>
        <w:jc w:val="center"/>
        <w:rPr>
          <w:rFonts w:hint="eastAsia" w:ascii="宋体" w:hAnsi="宋体" w:cs="宋体"/>
          <w:b/>
          <w:bCs/>
          <w:color w:val="auto"/>
          <w:sz w:val="24"/>
          <w:highlight w:val="none"/>
        </w:rPr>
      </w:pPr>
      <w:r>
        <w:rPr>
          <w:rFonts w:hint="eastAsia" w:ascii="宋体" w:hAnsi="宋体" w:cs="宋体"/>
          <w:b/>
          <w:bCs/>
          <w:color w:val="auto"/>
          <w:sz w:val="22"/>
          <w:szCs w:val="22"/>
          <w:highlight w:val="none"/>
        </w:rPr>
        <w:t>（本</w:t>
      </w:r>
      <w:r>
        <w:rPr>
          <w:rFonts w:hint="eastAsia" w:ascii="宋体" w:hAnsi="宋体" w:cs="宋体"/>
          <w:b/>
          <w:bCs/>
          <w:color w:val="auto"/>
          <w:sz w:val="22"/>
          <w:szCs w:val="22"/>
          <w:highlight w:val="none"/>
          <w:lang w:val="en-US" w:eastAsia="zh-CN"/>
        </w:rPr>
        <w:t>合同主要</w:t>
      </w:r>
      <w:r>
        <w:rPr>
          <w:rFonts w:hint="eastAsia" w:ascii="宋体" w:hAnsi="宋体" w:cs="宋体"/>
          <w:b/>
          <w:bCs/>
          <w:color w:val="auto"/>
          <w:sz w:val="22"/>
          <w:szCs w:val="22"/>
          <w:highlight w:val="none"/>
        </w:rPr>
        <w:t>条款供双方签订合同参考，采购人可根据项目的实际情况增加条款和内容）</w:t>
      </w:r>
    </w:p>
    <w:p w14:paraId="7A5F3C7E">
      <w:pPr>
        <w:keepNext w:val="0"/>
        <w:keepLines w:val="0"/>
        <w:pageBreakBefore w:val="0"/>
        <w:widowControl/>
        <w:kinsoku/>
        <w:wordWrap/>
        <w:overflowPunct/>
        <w:topLinePunct w:val="0"/>
        <w:bidi w:val="0"/>
        <w:snapToGrid/>
        <w:spacing w:line="360" w:lineRule="auto"/>
        <w:ind w:left="0" w:leftChars="0" w:firstLine="480" w:firstLineChars="200"/>
        <w:jc w:val="left"/>
        <w:textAlignment w:val="auto"/>
        <w:rPr>
          <w:rFonts w:hint="eastAsia" w:ascii="宋体" w:hAnsi="宋体" w:cs="宋体"/>
          <w:color w:val="auto"/>
          <w:kern w:val="0"/>
          <w:sz w:val="24"/>
          <w:highlight w:val="none"/>
        </w:rPr>
      </w:pPr>
    </w:p>
    <w:p w14:paraId="1223047A">
      <w:pPr>
        <w:keepNext w:val="0"/>
        <w:keepLines w:val="0"/>
        <w:pageBreakBefore w:val="0"/>
        <w:widowControl/>
        <w:kinsoku/>
        <w:wordWrap/>
        <w:overflowPunct/>
        <w:topLinePunct w:val="0"/>
        <w:bidi w:val="0"/>
        <w:snapToGrid/>
        <w:spacing w:line="360" w:lineRule="auto"/>
        <w:ind w:left="0" w:leftChars="0" w:firstLine="480" w:firstLineChars="200"/>
        <w:jc w:val="left"/>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甲方（采购人）：</w:t>
      </w:r>
    </w:p>
    <w:p w14:paraId="3470E427">
      <w:pPr>
        <w:keepNext w:val="0"/>
        <w:keepLines w:val="0"/>
        <w:pageBreakBefore w:val="0"/>
        <w:widowControl/>
        <w:kinsoku/>
        <w:wordWrap/>
        <w:overflowPunct/>
        <w:topLinePunct w:val="0"/>
        <w:bidi w:val="0"/>
        <w:snapToGrid/>
        <w:spacing w:line="360" w:lineRule="auto"/>
        <w:ind w:firstLine="480"/>
        <w:jc w:val="left"/>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乙方（</w:t>
      </w:r>
      <w:r>
        <w:rPr>
          <w:rFonts w:hint="eastAsia" w:ascii="宋体" w:hAnsi="宋体" w:cs="宋体"/>
          <w:color w:val="auto"/>
          <w:kern w:val="0"/>
          <w:sz w:val="24"/>
          <w:highlight w:val="none"/>
          <w:lang w:val="en-US" w:eastAsia="zh-CN"/>
        </w:rPr>
        <w:t>成交</w:t>
      </w:r>
      <w:r>
        <w:rPr>
          <w:rFonts w:hint="eastAsia" w:ascii="宋体" w:hAnsi="宋体" w:cs="宋体"/>
          <w:color w:val="auto"/>
          <w:kern w:val="0"/>
          <w:sz w:val="24"/>
          <w:highlight w:val="none"/>
        </w:rPr>
        <w:t xml:space="preserve">供应商）：  </w:t>
      </w:r>
    </w:p>
    <w:p w14:paraId="652DB589">
      <w:pPr>
        <w:keepNext w:val="0"/>
        <w:keepLines w:val="0"/>
        <w:pageBreakBefore w:val="0"/>
        <w:numPr>
          <w:ilvl w:val="0"/>
          <w:numId w:val="1"/>
        </w:numPr>
        <w:kinsoku/>
        <w:wordWrap/>
        <w:overflowPunct/>
        <w:topLinePunct w:val="0"/>
        <w:bidi w:val="0"/>
        <w:snapToGrid/>
        <w:spacing w:line="360" w:lineRule="auto"/>
        <w:ind w:left="315" w:leftChars="150" w:firstLine="0" w:firstLineChars="0"/>
        <w:textAlignment w:val="auto"/>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项目内容：</w:t>
      </w:r>
    </w:p>
    <w:p w14:paraId="02D0A3E5">
      <w:pPr>
        <w:keepNext w:val="0"/>
        <w:keepLines w:val="0"/>
        <w:pageBreakBefore w:val="0"/>
        <w:kinsoku/>
        <w:wordWrap/>
        <w:overflowPunct/>
        <w:topLinePunct w:val="0"/>
        <w:bidi w:val="0"/>
        <w:snapToGrid/>
        <w:spacing w:line="360" w:lineRule="auto"/>
        <w:ind w:left="315" w:leftChars="150" w:firstLine="0" w:firstLineChars="0"/>
        <w:textAlignment w:val="auto"/>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二、服务地点、时间、人员</w:t>
      </w:r>
    </w:p>
    <w:p w14:paraId="45AFD564">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eastAsiaTheme="minorEastAsia"/>
          <w:color w:val="auto"/>
          <w:kern w:val="0"/>
          <w:sz w:val="24"/>
          <w:highlight w:val="none"/>
          <w:lang w:eastAsia="zh-CN"/>
        </w:rPr>
      </w:pPr>
      <w:r>
        <w:rPr>
          <w:rFonts w:hint="eastAsia" w:ascii="宋体" w:hAnsi="宋体" w:cs="宋体"/>
          <w:color w:val="auto"/>
          <w:kern w:val="0"/>
          <w:sz w:val="24"/>
          <w:highlight w:val="none"/>
        </w:rPr>
        <w:t>2.1服务期限</w:t>
      </w:r>
      <w:r>
        <w:rPr>
          <w:rFonts w:hint="eastAsia" w:ascii="宋体" w:hAnsi="宋体" w:cs="宋体"/>
          <w:color w:val="auto"/>
          <w:kern w:val="0"/>
          <w:sz w:val="24"/>
          <w:highlight w:val="none"/>
          <w:lang w:eastAsia="zh-CN"/>
        </w:rPr>
        <w:t>：</w:t>
      </w:r>
      <w:r>
        <w:rPr>
          <w:rFonts w:hint="eastAsia" w:ascii="宋体" w:hAnsi="宋体" w:cs="宋体"/>
          <w:color w:val="auto"/>
          <w:kern w:val="0"/>
          <w:sz w:val="24"/>
          <w:highlight w:val="none"/>
          <w:u w:val="single"/>
        </w:rPr>
        <w:t>省级视频云联网监测系统云上应用系统、基于ETC门架的交通情况调查应用系统、高速公路超速筛查处理系统、互联网+高速公路公众出行服务平台、陕西省高速公路收费站拥堵监测预警系统、陕西省高速公路服务区充电基础设施随手查平台等6个系统服务期2026年7月1日至2027年6月30日；交通情况调查应用系统服务期2026年7月22日至2027年6月30日</w:t>
      </w:r>
      <w:r>
        <w:rPr>
          <w:rFonts w:hint="eastAsia" w:ascii="宋体" w:hAnsi="宋体" w:cs="宋体"/>
          <w:color w:val="auto"/>
          <w:kern w:val="0"/>
          <w:sz w:val="24"/>
          <w:highlight w:val="none"/>
          <w:u w:val="none"/>
          <w:lang w:eastAsia="zh-CN"/>
        </w:rPr>
        <w:t>。</w:t>
      </w:r>
    </w:p>
    <w:p w14:paraId="0CA46E84">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2.2服务地点：</w:t>
      </w:r>
      <w:r>
        <w:rPr>
          <w:rFonts w:hint="eastAsia" w:ascii="宋体" w:hAnsi="宋体" w:cs="宋体"/>
          <w:color w:val="auto"/>
          <w:kern w:val="0"/>
          <w:sz w:val="24"/>
          <w:highlight w:val="none"/>
          <w:u w:val="single"/>
        </w:rPr>
        <w:t>陕西省高速公路收费中心</w:t>
      </w:r>
      <w:r>
        <w:rPr>
          <w:rFonts w:hint="eastAsia" w:ascii="宋体" w:hAnsi="宋体" w:cs="宋体"/>
          <w:color w:val="auto"/>
          <w:kern w:val="0"/>
          <w:sz w:val="24"/>
          <w:highlight w:val="none"/>
          <w:u w:val="single"/>
          <w:lang w:val="en-US" w:eastAsia="zh-CN"/>
        </w:rPr>
        <w:t xml:space="preserve"> </w:t>
      </w:r>
    </w:p>
    <w:p w14:paraId="29511A9B">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2.3服务人员要求：在服务过程中，对于供应商向采购人提供服务过程中所指派具体承担服务的人员，应向采购人提供人员名单、简历、学历等相应证明文件，并保证所提供信息的准确性和有效性。采购人有权对派入人员的资格和相关信息进行审核。为确保服务工作的顺利开展，供应商应对服务人员及现场驻场人员素质整体把关，原则上应满足以下条件：</w:t>
      </w:r>
    </w:p>
    <w:p w14:paraId="0D1B379A">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2.3.</w:t>
      </w:r>
      <w:r>
        <w:rPr>
          <w:rFonts w:hint="eastAsia" w:ascii="宋体" w:hAnsi="宋体" w:cs="宋体"/>
          <w:color w:val="auto"/>
          <w:kern w:val="0"/>
          <w:sz w:val="24"/>
          <w:highlight w:val="none"/>
        </w:rPr>
        <w:t>1拟投入本项目的相关技术人员需对陕西省高速公路网、高速公路业务情况充分熟悉，系统运维人员具备系统运维、升级等相关服务从业能力。</w:t>
      </w:r>
    </w:p>
    <w:p w14:paraId="000842A6">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2.3.2</w:t>
      </w:r>
      <w:r>
        <w:rPr>
          <w:rFonts w:hint="eastAsia" w:ascii="宋体" w:hAnsi="宋体" w:cs="宋体"/>
          <w:color w:val="auto"/>
          <w:kern w:val="0"/>
          <w:sz w:val="24"/>
          <w:highlight w:val="none"/>
        </w:rPr>
        <w:t>为保证服务质量及问题及时响应，服务单位需安排不少于2名运维人员作为本项目的常驻专职服务人员，每日9：00至17:00（包括周末及节假日）在采购人所在地驻场维护；驻场工程师需具备相应的能力保障服务质量（运维人员需具备至少两年以上系统维护保障项目实施经验）。</w:t>
      </w:r>
    </w:p>
    <w:p w14:paraId="71205C0B">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2.</w:t>
      </w:r>
      <w:r>
        <w:rPr>
          <w:rFonts w:hint="eastAsia" w:ascii="宋体" w:hAnsi="宋体" w:cs="宋体"/>
          <w:color w:val="auto"/>
          <w:kern w:val="0"/>
          <w:sz w:val="24"/>
          <w:highlight w:val="none"/>
        </w:rPr>
        <w:t>3.</w:t>
      </w:r>
      <w:r>
        <w:rPr>
          <w:rFonts w:hint="eastAsia" w:ascii="宋体" w:hAnsi="宋体" w:cs="宋体"/>
          <w:color w:val="auto"/>
          <w:kern w:val="0"/>
          <w:sz w:val="24"/>
          <w:highlight w:val="none"/>
          <w:lang w:val="en-US" w:eastAsia="zh-CN"/>
        </w:rPr>
        <w:t>3</w:t>
      </w:r>
      <w:r>
        <w:rPr>
          <w:rFonts w:hint="eastAsia" w:ascii="宋体" w:hAnsi="宋体" w:cs="宋体"/>
          <w:color w:val="auto"/>
          <w:kern w:val="0"/>
          <w:sz w:val="24"/>
          <w:highlight w:val="none"/>
        </w:rPr>
        <w:t>所报项目组人员一旦确定，不能擅自更改。提供人员社保证明材料复印件。社保证明材料有效期为近6个月内任意1个月，需加盖供应商公章。</w:t>
      </w:r>
    </w:p>
    <w:p w14:paraId="5477A2E3">
      <w:pPr>
        <w:keepNext w:val="0"/>
        <w:keepLines w:val="0"/>
        <w:pageBreakBefore w:val="0"/>
        <w:kinsoku/>
        <w:wordWrap/>
        <w:overflowPunct/>
        <w:topLinePunct w:val="0"/>
        <w:bidi w:val="0"/>
        <w:snapToGrid/>
        <w:spacing w:line="360" w:lineRule="auto"/>
        <w:ind w:left="315" w:leftChars="150" w:firstLine="0" w:firstLineChars="0"/>
        <w:textAlignment w:val="auto"/>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三、权利和义务</w:t>
      </w:r>
    </w:p>
    <w:p w14:paraId="4F49FCB3">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3.1甲方的权利和义务</w:t>
      </w:r>
    </w:p>
    <w:p w14:paraId="2D5FDD71">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3.1.1甲方有权指派专门人员或者单位对乙方的工作进行全程监督管理；</w:t>
      </w:r>
    </w:p>
    <w:p w14:paraId="6574B741">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3.1.2甲方应按合同约定向乙方支付服务费用。如乙方服务未达到合同要求，甲方有权拒付未达到要求部分的款项；</w:t>
      </w:r>
    </w:p>
    <w:p w14:paraId="24E7F700">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3.1.3甲方有权要求乙方提供与相关服务内容有关的相关信息；</w:t>
      </w:r>
    </w:p>
    <w:p w14:paraId="483D129F">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3.1.4甲方有权得到符合合同要求的所有服务；</w:t>
      </w:r>
    </w:p>
    <w:p w14:paraId="3F0C7C89">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3.1.5乙方完成所有协议约定内容后，甲方根据项目实施情况出具的客观公正的书面用户验收意见。</w:t>
      </w:r>
    </w:p>
    <w:p w14:paraId="7828C82C">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3.2乙方的权利和义务</w:t>
      </w:r>
    </w:p>
    <w:p w14:paraId="677AFFE0">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3.2.1合作过程中乙方应指派专门的业务负责人负责合作事项的全程沟通及协调工作；</w:t>
      </w:r>
    </w:p>
    <w:p w14:paraId="0849B033">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3.2.2乙方应遵守甲方有关合作事项的各项管理规定，及时报告工作进度，在规定时间内完成相应工作；</w:t>
      </w:r>
    </w:p>
    <w:p w14:paraId="5D2B9484">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3.2.3甲方在工作质量、工作进度、工作内容等方面提出意见及建议，乙方应及时响应并有效改进；</w:t>
      </w:r>
    </w:p>
    <w:p w14:paraId="68CE2820">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3.2.4不得转包、分包；</w:t>
      </w:r>
    </w:p>
    <w:p w14:paraId="112C37EE">
      <w:pPr>
        <w:keepNext w:val="0"/>
        <w:keepLines w:val="0"/>
        <w:pageBreakBefore w:val="0"/>
        <w:kinsoku/>
        <w:wordWrap/>
        <w:overflowPunct/>
        <w:topLinePunct w:val="0"/>
        <w:bidi w:val="0"/>
        <w:snapToGrid/>
        <w:spacing w:line="360" w:lineRule="auto"/>
        <w:ind w:left="315" w:leftChars="150" w:firstLine="0" w:firstLineChars="0"/>
        <w:textAlignment w:val="auto"/>
        <w:rPr>
          <w:rFonts w:hint="eastAsia" w:ascii="宋体" w:hAnsi="宋体" w:cs="宋体"/>
          <w:b/>
          <w:bCs/>
          <w:color w:val="auto"/>
          <w:sz w:val="24"/>
          <w:highlight w:val="none"/>
        </w:rPr>
      </w:pPr>
      <w:r>
        <w:rPr>
          <w:rFonts w:hint="eastAsia" w:ascii="宋体" w:hAnsi="宋体" w:cs="宋体"/>
          <w:b/>
          <w:bCs/>
          <w:color w:val="auto"/>
          <w:kern w:val="0"/>
          <w:sz w:val="24"/>
          <w:highlight w:val="none"/>
        </w:rPr>
        <w:t>四、</w:t>
      </w:r>
      <w:r>
        <w:rPr>
          <w:rFonts w:hint="eastAsia" w:ascii="宋体" w:hAnsi="宋体" w:cs="宋体"/>
          <w:b/>
          <w:bCs/>
          <w:color w:val="auto"/>
          <w:sz w:val="24"/>
          <w:highlight w:val="none"/>
        </w:rPr>
        <w:t>支付方式</w:t>
      </w:r>
    </w:p>
    <w:p w14:paraId="1D9B9C7B">
      <w:pPr>
        <w:keepNext w:val="0"/>
        <w:keepLines w:val="0"/>
        <w:pageBreakBefore w:val="0"/>
        <w:kinsoku/>
        <w:wordWrap/>
        <w:overflowPunct/>
        <w:topLinePunct w:val="0"/>
        <w:autoSpaceDE w:val="0"/>
        <w:autoSpaceDN w:val="0"/>
        <w:bidi w:val="0"/>
        <w:adjustRightInd w:val="0"/>
        <w:snapToGrid/>
        <w:spacing w:line="360" w:lineRule="auto"/>
        <w:ind w:firstLine="240" w:firstLineChars="100"/>
        <w:textAlignment w:val="auto"/>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4.1供应商须向采购人出具合法有效的发票，采购人进行支付结算。首次支付时供应商应开具全额发票。</w:t>
      </w:r>
    </w:p>
    <w:p w14:paraId="38B22503">
      <w:pPr>
        <w:keepNext w:val="0"/>
        <w:keepLines w:val="0"/>
        <w:pageBreakBefore w:val="0"/>
        <w:kinsoku/>
        <w:wordWrap/>
        <w:overflowPunct/>
        <w:topLinePunct w:val="0"/>
        <w:autoSpaceDE w:val="0"/>
        <w:autoSpaceDN w:val="0"/>
        <w:bidi w:val="0"/>
        <w:adjustRightInd w:val="0"/>
        <w:snapToGrid/>
        <w:spacing w:line="360" w:lineRule="auto"/>
        <w:ind w:firstLine="240" w:firstLineChars="100"/>
        <w:textAlignment w:val="auto"/>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4.2结算方式：银行转帐。</w:t>
      </w:r>
    </w:p>
    <w:p w14:paraId="4C90C094">
      <w:pPr>
        <w:keepNext w:val="0"/>
        <w:keepLines w:val="0"/>
        <w:pageBreakBefore w:val="0"/>
        <w:kinsoku/>
        <w:wordWrap/>
        <w:overflowPunct/>
        <w:topLinePunct w:val="0"/>
        <w:autoSpaceDE w:val="0"/>
        <w:autoSpaceDN w:val="0"/>
        <w:bidi w:val="0"/>
        <w:adjustRightInd w:val="0"/>
        <w:snapToGrid/>
        <w:spacing w:line="360" w:lineRule="auto"/>
        <w:ind w:firstLine="240" w:firstLineChars="100"/>
        <w:textAlignment w:val="auto"/>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4.3合同签订生效并进入服务期后按月支付服务费，供应商按照合同约定每月完成服务并提交服务报告，经采购人审核后10个工作日内支付上月服务费；2026年12月申请年度最后一次支付时，供应商需提供剩余款项的有效银行保函（</w:t>
      </w:r>
      <w:r>
        <w:rPr>
          <w:rFonts w:hint="eastAsia" w:ascii="宋体" w:hAnsi="宋体" w:cs="宋体"/>
          <w:b/>
          <w:bCs/>
          <w:color w:val="auto"/>
          <w:kern w:val="0"/>
          <w:sz w:val="24"/>
          <w:highlight w:val="none"/>
          <w:lang w:val="en-US" w:eastAsia="zh-CN"/>
        </w:rPr>
        <w:t>保函的有效期应持续至合同约定的服务期限届满之日后的至少30个自然日</w:t>
      </w:r>
      <w:r>
        <w:rPr>
          <w:rFonts w:hint="eastAsia" w:ascii="宋体" w:hAnsi="宋体" w:cs="宋体"/>
          <w:color w:val="auto"/>
          <w:kern w:val="0"/>
          <w:sz w:val="24"/>
          <w:highlight w:val="none"/>
          <w:lang w:val="en-US" w:eastAsia="zh-CN"/>
        </w:rPr>
        <w:t>），采购人一次性支付剩余款项，待到项目验收通过后退还保函。</w:t>
      </w:r>
    </w:p>
    <w:p w14:paraId="3BB5DECB">
      <w:pPr>
        <w:keepNext w:val="0"/>
        <w:keepLines w:val="0"/>
        <w:pageBreakBefore w:val="0"/>
        <w:kinsoku/>
        <w:wordWrap/>
        <w:overflowPunct/>
        <w:topLinePunct w:val="0"/>
        <w:autoSpaceDE w:val="0"/>
        <w:autoSpaceDN w:val="0"/>
        <w:bidi w:val="0"/>
        <w:adjustRightInd w:val="0"/>
        <w:snapToGrid/>
        <w:spacing w:line="360" w:lineRule="auto"/>
        <w:ind w:firstLine="240" w:firstLineChars="100"/>
        <w:textAlignment w:val="auto"/>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4.4服务期间服务总费用不变，采购人无须另向服务单位支付合同约定之外的其它任何费用。</w:t>
      </w:r>
    </w:p>
    <w:p w14:paraId="07826502">
      <w:pPr>
        <w:keepNext w:val="0"/>
        <w:keepLines w:val="0"/>
        <w:pageBreakBefore w:val="0"/>
        <w:kinsoku/>
        <w:wordWrap/>
        <w:overflowPunct/>
        <w:topLinePunct w:val="0"/>
        <w:autoSpaceDE w:val="0"/>
        <w:autoSpaceDN w:val="0"/>
        <w:bidi w:val="0"/>
        <w:adjustRightInd w:val="0"/>
        <w:snapToGrid/>
        <w:spacing w:line="360" w:lineRule="auto"/>
        <w:ind w:firstLine="241" w:firstLineChars="100"/>
        <w:textAlignment w:val="auto"/>
        <w:rPr>
          <w:rFonts w:hint="eastAsia" w:ascii="宋体" w:hAnsi="宋体" w:cs="宋体"/>
          <w:b/>
          <w:bCs/>
          <w:color w:val="auto"/>
          <w:sz w:val="24"/>
          <w:highlight w:val="none"/>
          <w:lang w:val="zh-CN"/>
        </w:rPr>
      </w:pPr>
      <w:r>
        <w:rPr>
          <w:rFonts w:hint="eastAsia" w:ascii="宋体" w:hAnsi="宋体" w:cs="宋体"/>
          <w:b/>
          <w:bCs/>
          <w:color w:val="auto"/>
          <w:sz w:val="24"/>
          <w:highlight w:val="none"/>
        </w:rPr>
        <w:t>五</w:t>
      </w:r>
      <w:r>
        <w:rPr>
          <w:rFonts w:hint="eastAsia" w:ascii="宋体" w:hAnsi="宋体" w:cs="宋体"/>
          <w:b/>
          <w:bCs/>
          <w:color w:val="auto"/>
          <w:sz w:val="24"/>
          <w:highlight w:val="none"/>
          <w:lang w:val="zh-CN"/>
        </w:rPr>
        <w:t>、违约责任</w:t>
      </w:r>
    </w:p>
    <w:p w14:paraId="4330A27A">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5.1供应商如不能及时开具全额发票或采购人要求的保函，采购人有权延时付款且不承担违约责任，直至供应商开具全额发票或采购人要求的保函后再进行付款。</w:t>
      </w:r>
    </w:p>
    <w:p w14:paraId="058E4938">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5.2日常系统维护违约责任：</w:t>
      </w:r>
    </w:p>
    <w:p w14:paraId="16679C33">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（1）应做好巡检，形成巡检记录，因巡检不到位造成故障不能及时发现处置，每次扣除服务费1000元。</w:t>
      </w:r>
    </w:p>
    <w:p w14:paraId="173D05B2">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2）节假日、重要活动等特殊时期的保障，应加强值班值守，若发现有人擅离职守，发现1次，每次扣除服务费2000元；未按要求提前进行系统安全检查，由于系统安全问题，造成系统不能正常运行，每次扣除服务费2000元。</w:t>
      </w:r>
    </w:p>
    <w:p w14:paraId="76C93777">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（3）未经采购人同意，供应商擅自减少、变更驻场人员，每次扣除维护服务费5000元；供应商驻场人员和节日值班人员擅离职守，迟到、早退、脱岗、未提前请假不到岗的，每人每次扣除维护服务费5000元。</w:t>
      </w:r>
    </w:p>
    <w:p w14:paraId="40A348DF">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5.3网络安全违约责任：</w:t>
      </w:r>
    </w:p>
    <w:p w14:paraId="7AC8FFC3">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供应商应做到以下要求:</w:t>
      </w:r>
    </w:p>
    <w:p w14:paraId="35F34D8C">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(1)彻底清理系统隐患。全面排查清理系统网络安全隐患，确保中高危隐患彻底清零。</w:t>
      </w:r>
    </w:p>
    <w:p w14:paraId="247050A1">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(2)全面摸清现网资产。全面摸清系统资产，形成资产台账，定期维护更新资产，确保资产信息准确。</w:t>
      </w:r>
    </w:p>
    <w:p w14:paraId="3A2244DB">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(3)彻底消除口令问题。定期开展口令隐患排查，严格系统密码存储管理，确保口令问题彻底消除。</w:t>
      </w:r>
    </w:p>
    <w:p w14:paraId="1D99CB58">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(4)及时升级安装补丁。定期开展漏洞扫描、渗透测试等工作，及时升级系统存在漏洞的软件，安装最新补丁和杀毒软件，确保系统软件升至最新版本。</w:t>
      </w:r>
    </w:p>
    <w:p w14:paraId="2524A5F6">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(5)强化系统监测能力。充分利用现有监测平台或借助第三方监测手段做好软件/设备状态监测，及时感知并处置异常网络安全行为，确保系统安全运行。</w:t>
      </w:r>
    </w:p>
    <w:p w14:paraId="22BA382C">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(6)加强系统安全防护。选用技术能力强、安全业务精湛、经验丰富、责任心强的人员做好系统安全防护，采取切实有效的措施，能够及时发现系统异常攻击行为，做好系统安全防守。</w:t>
      </w:r>
    </w:p>
    <w:p w14:paraId="5D29F82E">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(7)做好日常管理工作。完善运维机制，规范运维程序，形成运维记录，做好设备日常巡检、加强意识技能培训开展安全专项服务、备份系统数据配置、做好监测预警处置等日常网络安全工作。</w:t>
      </w:r>
    </w:p>
    <w:p w14:paraId="3B193EC4">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若供应商因上述(1)至(7)条款落实不到位，造成部、省、公安、中心等有关部门通报时，发现并通报1次，扣除服务费5000元;造成网络安全事件时，将按照国家，部、省、中心网络安全相关规定，根据造成的实际损失、影响，上报有关部门同时进行责任追究。</w:t>
      </w:r>
    </w:p>
    <w:p w14:paraId="1EDD2650">
      <w:pPr>
        <w:keepNext w:val="0"/>
        <w:keepLines w:val="0"/>
        <w:pageBreakBefore w:val="0"/>
        <w:kinsoku/>
        <w:wordWrap/>
        <w:overflowPunct/>
        <w:topLinePunct w:val="0"/>
        <w:bidi w:val="0"/>
        <w:snapToGrid/>
        <w:spacing w:line="360" w:lineRule="auto"/>
        <w:ind w:firstLine="361" w:firstLineChars="150"/>
        <w:textAlignment w:val="auto"/>
        <w:rPr>
          <w:rFonts w:hint="eastAsia" w:ascii="宋体" w:hAnsi="宋体" w:eastAsia="宋体" w:cs="宋体"/>
          <w:b/>
          <w:bCs/>
          <w:color w:val="auto"/>
          <w:kern w:val="0"/>
          <w:sz w:val="24"/>
          <w:highlight w:val="none"/>
          <w:lang w:val="en-US" w:eastAsia="zh-CN"/>
        </w:rPr>
      </w:pPr>
      <w:r>
        <w:rPr>
          <w:rFonts w:hint="eastAsia" w:ascii="宋体" w:hAnsi="宋体" w:cs="宋体"/>
          <w:b/>
          <w:bCs/>
          <w:color w:val="auto"/>
          <w:kern w:val="0"/>
          <w:sz w:val="24"/>
          <w:highlight w:val="none"/>
        </w:rPr>
        <w:t>六、保密</w:t>
      </w:r>
      <w:r>
        <w:rPr>
          <w:rFonts w:hint="eastAsia" w:ascii="宋体" w:hAnsi="宋体" w:cs="宋体"/>
          <w:b/>
          <w:bCs/>
          <w:color w:val="auto"/>
          <w:kern w:val="0"/>
          <w:sz w:val="24"/>
          <w:highlight w:val="none"/>
          <w:lang w:val="en-US" w:eastAsia="zh-CN"/>
        </w:rPr>
        <w:t>要求</w:t>
      </w:r>
    </w:p>
    <w:p w14:paraId="7B40C00D">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项目实施过程中所收集、产生的所有与本项目相关的文档、资料，包括文字、图片、表格、数字等各种形式所属权均归属采购人，供应商必须对所涉及到的内容保密，供应商及服务人员应按照要求签署保密协议。</w:t>
      </w:r>
    </w:p>
    <w:p w14:paraId="2083C842">
      <w:pPr>
        <w:keepNext w:val="0"/>
        <w:keepLines w:val="0"/>
        <w:pageBreakBefore w:val="0"/>
        <w:kinsoku/>
        <w:wordWrap/>
        <w:overflowPunct/>
        <w:topLinePunct w:val="0"/>
        <w:bidi w:val="0"/>
        <w:snapToGrid/>
        <w:spacing w:line="360" w:lineRule="auto"/>
        <w:ind w:firstLine="482" w:firstLineChars="200"/>
        <w:textAlignment w:val="auto"/>
        <w:rPr>
          <w:rFonts w:hint="default" w:ascii="宋体" w:hAnsi="宋体" w:cs="宋体" w:eastAsiaTheme="minorEastAsia"/>
          <w:color w:val="auto"/>
          <w:kern w:val="0"/>
          <w:sz w:val="24"/>
          <w:highlight w:val="none"/>
          <w:lang w:val="en-US" w:eastAsia="zh-CN"/>
        </w:rPr>
      </w:pPr>
      <w:r>
        <w:rPr>
          <w:rFonts w:hint="eastAsia" w:ascii="宋体" w:hAnsi="宋体" w:cs="宋体"/>
          <w:b/>
          <w:bCs/>
          <w:color w:val="auto"/>
          <w:kern w:val="0"/>
          <w:sz w:val="24"/>
          <w:highlight w:val="none"/>
          <w:lang w:val="en-US" w:eastAsia="zh-CN"/>
        </w:rPr>
        <w:t>七</w:t>
      </w:r>
      <w:r>
        <w:rPr>
          <w:rFonts w:hint="eastAsia" w:ascii="宋体" w:hAnsi="宋体" w:cs="宋体"/>
          <w:b/>
          <w:bCs/>
          <w:color w:val="auto"/>
          <w:kern w:val="0"/>
          <w:sz w:val="24"/>
          <w:highlight w:val="none"/>
        </w:rPr>
        <w:t>、</w:t>
      </w:r>
      <w:r>
        <w:rPr>
          <w:rFonts w:hint="eastAsia" w:ascii="宋体" w:hAnsi="宋体" w:cs="宋体"/>
          <w:b/>
          <w:bCs/>
          <w:color w:val="auto"/>
          <w:kern w:val="0"/>
          <w:sz w:val="24"/>
          <w:highlight w:val="none"/>
          <w:lang w:val="en-US" w:eastAsia="zh-CN"/>
        </w:rPr>
        <w:t>网络安全要求</w:t>
      </w:r>
    </w:p>
    <w:p w14:paraId="69D2ECBC">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供应商具备健全的网络安全服务体系，具有网络安全隐患排查、完善加固、预警监测、应对攻击等服务能力，配备具有相关技术能力的网络安全专职人员，为本项目提供漏洞检测、策略配置、加固整改、安全监测、应急处置等保障措施，确保系统安全稳定运行。供应商未发生过重大网络安全事件，按照要求签署网络安全责任协议。</w:t>
      </w:r>
    </w:p>
    <w:p w14:paraId="7EA3C9D0">
      <w:pPr>
        <w:keepNext w:val="0"/>
        <w:keepLines w:val="0"/>
        <w:pageBreakBefore w:val="0"/>
        <w:kinsoku/>
        <w:wordWrap/>
        <w:overflowPunct/>
        <w:topLinePunct w:val="0"/>
        <w:bidi w:val="0"/>
        <w:snapToGrid/>
        <w:spacing w:line="360" w:lineRule="auto"/>
        <w:ind w:firstLine="361" w:firstLineChars="150"/>
        <w:textAlignment w:val="auto"/>
        <w:rPr>
          <w:rFonts w:hint="eastAsia" w:ascii="宋体" w:hAnsi="宋体" w:cs="宋体"/>
          <w:color w:val="auto"/>
          <w:kern w:val="0"/>
          <w:sz w:val="24"/>
          <w:highlight w:val="none"/>
        </w:rPr>
      </w:pPr>
      <w:r>
        <w:rPr>
          <w:rFonts w:hint="eastAsia" w:ascii="宋体" w:hAnsi="宋体" w:cs="宋体"/>
          <w:b/>
          <w:bCs/>
          <w:color w:val="auto"/>
          <w:kern w:val="0"/>
          <w:sz w:val="24"/>
          <w:highlight w:val="none"/>
          <w:lang w:val="en-US" w:eastAsia="zh-CN"/>
        </w:rPr>
        <w:t>八</w:t>
      </w:r>
      <w:r>
        <w:rPr>
          <w:rFonts w:hint="eastAsia" w:ascii="宋体" w:hAnsi="宋体" w:cs="宋体"/>
          <w:b/>
          <w:bCs/>
          <w:color w:val="auto"/>
          <w:kern w:val="0"/>
          <w:sz w:val="24"/>
          <w:highlight w:val="none"/>
        </w:rPr>
        <w:t>、合同争议的解决</w:t>
      </w:r>
    </w:p>
    <w:p w14:paraId="4D7B0841">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8</w:t>
      </w:r>
      <w:r>
        <w:rPr>
          <w:rFonts w:hint="eastAsia" w:ascii="宋体" w:hAnsi="宋体" w:cs="宋体"/>
          <w:color w:val="auto"/>
          <w:kern w:val="0"/>
          <w:sz w:val="24"/>
          <w:highlight w:val="none"/>
        </w:rPr>
        <w:t>.1合同一经签订，不得擅自变更、中止或者终止合同。对确需变更、调整或者中止、终止合同的，应按规定履行相应的手续。</w:t>
      </w:r>
    </w:p>
    <w:p w14:paraId="7B48094D">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8</w:t>
      </w:r>
      <w:r>
        <w:rPr>
          <w:rFonts w:hint="eastAsia" w:ascii="宋体" w:hAnsi="宋体" w:cs="宋体"/>
          <w:color w:val="auto"/>
          <w:kern w:val="0"/>
          <w:sz w:val="24"/>
          <w:highlight w:val="none"/>
        </w:rPr>
        <w:t>.2采购人在合同的履行期间以及履行期后，可以随时检查项目的执行情况，对招标标准、招标采购内容进行调查核实，并对发现的问题进行处理。</w:t>
      </w:r>
    </w:p>
    <w:p w14:paraId="26301BA8">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8</w:t>
      </w:r>
      <w:r>
        <w:rPr>
          <w:rFonts w:hint="eastAsia" w:ascii="宋体" w:hAnsi="宋体" w:cs="宋体"/>
          <w:color w:val="auto"/>
          <w:kern w:val="0"/>
          <w:sz w:val="24"/>
          <w:highlight w:val="none"/>
        </w:rPr>
        <w:t>.3合同争议的解决：双方本着友好合作的态度,对合同履行过程中发生的纠纷应及时协商解决，协商不成的，向采购人所在地有管辖权的人民法院诉讼解决。</w:t>
      </w:r>
    </w:p>
    <w:p w14:paraId="56102626">
      <w:pPr>
        <w:keepNext w:val="0"/>
        <w:keepLines w:val="0"/>
        <w:pageBreakBefore w:val="0"/>
        <w:kinsoku/>
        <w:wordWrap/>
        <w:overflowPunct/>
        <w:topLinePunct w:val="0"/>
        <w:bidi w:val="0"/>
        <w:snapToGrid/>
        <w:spacing w:line="360" w:lineRule="auto"/>
        <w:ind w:firstLine="482"/>
        <w:textAlignment w:val="auto"/>
        <w:rPr>
          <w:rFonts w:hint="eastAsia" w:ascii="宋体" w:hAnsi="宋体" w:cs="宋体"/>
          <w:b/>
          <w:bCs/>
          <w:color w:val="auto"/>
          <w:kern w:val="0"/>
          <w:sz w:val="24"/>
          <w:highlight w:val="none"/>
        </w:rPr>
      </w:pPr>
      <w:r>
        <w:rPr>
          <w:rFonts w:hint="eastAsia" w:ascii="宋体" w:hAnsi="宋体" w:cs="宋体"/>
          <w:b/>
          <w:bCs/>
          <w:color w:val="auto"/>
          <w:kern w:val="0"/>
          <w:sz w:val="24"/>
          <w:highlight w:val="none"/>
          <w:lang w:val="en-US" w:eastAsia="zh-CN"/>
        </w:rPr>
        <w:t>九</w:t>
      </w:r>
      <w:r>
        <w:rPr>
          <w:rFonts w:hint="eastAsia" w:ascii="宋体" w:hAnsi="宋体" w:cs="宋体"/>
          <w:b/>
          <w:bCs/>
          <w:color w:val="auto"/>
          <w:kern w:val="0"/>
          <w:sz w:val="24"/>
          <w:highlight w:val="none"/>
        </w:rPr>
        <w:t>、合同生效及其他</w:t>
      </w:r>
    </w:p>
    <w:p w14:paraId="7440491F">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9</w:t>
      </w:r>
      <w:r>
        <w:rPr>
          <w:rFonts w:hint="eastAsia" w:ascii="宋体" w:hAnsi="宋体" w:cs="宋体"/>
          <w:color w:val="auto"/>
          <w:kern w:val="0"/>
          <w:sz w:val="24"/>
          <w:highlight w:val="none"/>
        </w:rPr>
        <w:t>.1本合同经甲乙双方签字盖章后生效；</w:t>
      </w:r>
    </w:p>
    <w:p w14:paraId="48C02346">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9</w:t>
      </w:r>
      <w:r>
        <w:rPr>
          <w:rFonts w:hint="eastAsia" w:ascii="宋体" w:hAnsi="宋体" w:cs="宋体"/>
          <w:color w:val="auto"/>
          <w:kern w:val="0"/>
          <w:sz w:val="24"/>
          <w:highlight w:val="none"/>
        </w:rPr>
        <w:t>.2本合同中所带的附件，具备合同本身同样的法律效力；</w:t>
      </w:r>
    </w:p>
    <w:p w14:paraId="72034081">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9</w:t>
      </w:r>
      <w:r>
        <w:rPr>
          <w:rFonts w:hint="eastAsia" w:ascii="宋体" w:hAnsi="宋体" w:cs="宋体"/>
          <w:color w:val="auto"/>
          <w:kern w:val="0"/>
          <w:sz w:val="24"/>
          <w:highlight w:val="none"/>
        </w:rPr>
        <w:t>.3本合同一式</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份，其中，甲方</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份，乙方</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份。均具有同等法律效力。</w:t>
      </w:r>
    </w:p>
    <w:p w14:paraId="00908052">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9</w:t>
      </w:r>
      <w:r>
        <w:rPr>
          <w:rFonts w:hint="eastAsia" w:ascii="宋体" w:hAnsi="宋体" w:cs="宋体"/>
          <w:color w:val="auto"/>
          <w:kern w:val="0"/>
          <w:sz w:val="24"/>
          <w:highlight w:val="none"/>
        </w:rPr>
        <w:t>.4乙方收款账号信息如下：</w:t>
      </w:r>
    </w:p>
    <w:p w14:paraId="3858232D">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9</w:t>
      </w:r>
      <w:r>
        <w:rPr>
          <w:rFonts w:hint="eastAsia" w:ascii="宋体" w:hAnsi="宋体" w:cs="宋体"/>
          <w:color w:val="auto"/>
          <w:kern w:val="0"/>
          <w:sz w:val="24"/>
          <w:highlight w:val="none"/>
        </w:rPr>
        <w:t>.4.1开户名称：</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w:t>
      </w:r>
    </w:p>
    <w:p w14:paraId="39D7A26E">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9</w:t>
      </w:r>
      <w:r>
        <w:rPr>
          <w:rFonts w:hint="eastAsia" w:ascii="宋体" w:hAnsi="宋体" w:cs="宋体"/>
          <w:color w:val="auto"/>
          <w:kern w:val="0"/>
          <w:sz w:val="24"/>
          <w:highlight w:val="none"/>
        </w:rPr>
        <w:t>.4.2账    号：</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w:t>
      </w:r>
    </w:p>
    <w:p w14:paraId="37BD9BEB">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9</w:t>
      </w:r>
      <w:r>
        <w:rPr>
          <w:rFonts w:hint="eastAsia" w:ascii="宋体" w:hAnsi="宋体" w:cs="宋体"/>
          <w:color w:val="auto"/>
          <w:kern w:val="0"/>
          <w:sz w:val="24"/>
          <w:highlight w:val="none"/>
        </w:rPr>
        <w:t>.4.3开户银行：</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w:t>
      </w:r>
    </w:p>
    <w:p w14:paraId="788A4960">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9</w:t>
      </w:r>
      <w:r>
        <w:rPr>
          <w:rFonts w:hint="eastAsia" w:ascii="宋体" w:hAnsi="宋体" w:cs="宋体"/>
          <w:color w:val="auto"/>
          <w:kern w:val="0"/>
          <w:sz w:val="24"/>
          <w:highlight w:val="none"/>
        </w:rPr>
        <w:t>.5本合同未尽事宜，双方以补充合同完善。</w:t>
      </w:r>
    </w:p>
    <w:p w14:paraId="3E5BAB48">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highlight w:val="none"/>
        </w:rPr>
      </w:pPr>
    </w:p>
    <w:p w14:paraId="03BE8172">
      <w:pPr>
        <w:keepNext w:val="0"/>
        <w:keepLines w:val="0"/>
        <w:pageBreakBefore w:val="0"/>
        <w:kinsoku/>
        <w:wordWrap/>
        <w:overflowPunct/>
        <w:topLinePunct w:val="0"/>
        <w:bidi w:val="0"/>
        <w:snapToGrid/>
        <w:spacing w:line="360" w:lineRule="auto"/>
        <w:ind w:firstLine="480"/>
        <w:textAlignment w:val="auto"/>
        <w:rPr>
          <w:rFonts w:hint="eastAsia" w:ascii="宋体" w:hAnsi="宋体" w:cs="宋体" w:eastAsiaTheme="minorEastAsia"/>
          <w:color w:val="auto"/>
          <w:kern w:val="0"/>
          <w:sz w:val="24"/>
          <w:highlight w:val="none"/>
          <w:lang w:eastAsia="zh-CN"/>
        </w:rPr>
      </w:pPr>
    </w:p>
    <w:p w14:paraId="685816D1">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highlight w:val="none"/>
        </w:rPr>
      </w:pPr>
    </w:p>
    <w:p w14:paraId="76BE6593">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甲方：（盖章）   </w:t>
      </w:r>
      <w:r>
        <w:rPr>
          <w:rFonts w:hint="eastAsia" w:ascii="宋体" w:hAnsi="宋体" w:cs="宋体"/>
          <w:color w:val="auto"/>
          <w:kern w:val="0"/>
          <w:sz w:val="24"/>
          <w:highlight w:val="none"/>
        </w:rPr>
        <w:tab/>
      </w:r>
      <w:r>
        <w:rPr>
          <w:rFonts w:hint="eastAsia" w:ascii="宋体" w:hAnsi="宋体" w:cs="宋体"/>
          <w:color w:val="auto"/>
          <w:kern w:val="0"/>
          <w:sz w:val="24"/>
          <w:highlight w:val="none"/>
        </w:rPr>
        <w:tab/>
      </w:r>
      <w:r>
        <w:rPr>
          <w:rFonts w:hint="eastAsia" w:ascii="宋体" w:hAnsi="宋体" w:cs="宋体"/>
          <w:color w:val="auto"/>
          <w:kern w:val="0"/>
          <w:sz w:val="24"/>
          <w:highlight w:val="none"/>
        </w:rPr>
        <w:tab/>
      </w:r>
      <w:r>
        <w:rPr>
          <w:rFonts w:hint="eastAsia" w:ascii="宋体" w:hAnsi="宋体" w:cs="宋体"/>
          <w:color w:val="auto"/>
          <w:kern w:val="0"/>
          <w:sz w:val="24"/>
          <w:highlight w:val="none"/>
        </w:rPr>
        <w:t xml:space="preserve">       乙方：（盖章）</w:t>
      </w:r>
    </w:p>
    <w:p w14:paraId="0633772A">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法定代表人/授权代表：              法定代表人/授权代表：</w:t>
      </w:r>
    </w:p>
    <w:p w14:paraId="4FCB142A">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地    址：                         地    址：</w:t>
      </w:r>
    </w:p>
    <w:p w14:paraId="1654907E">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开户银行：                         开户银行：</w:t>
      </w:r>
    </w:p>
    <w:p w14:paraId="365D9966">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账    号：                         账    号：</w:t>
      </w:r>
    </w:p>
    <w:p w14:paraId="0055F1F3">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电    话：                         电    话：</w:t>
      </w:r>
    </w:p>
    <w:p w14:paraId="265BA40A">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传    真：                         传    真：</w:t>
      </w:r>
    </w:p>
    <w:p w14:paraId="608A1949">
      <w:pPr>
        <w:keepNext w:val="0"/>
        <w:keepLines w:val="0"/>
        <w:pageBreakBefore w:val="0"/>
        <w:kinsoku/>
        <w:wordWrap/>
        <w:overflowPunct/>
        <w:topLinePunct w:val="0"/>
        <w:bidi w:val="0"/>
        <w:snapToGrid/>
        <w:spacing w:line="360" w:lineRule="auto"/>
        <w:ind w:firstLine="480" w:firstLineChars="200"/>
        <w:jc w:val="left"/>
        <w:textAlignment w:val="auto"/>
        <w:outlineLvl w:val="9"/>
        <w:rPr>
          <w:color w:val="auto"/>
        </w:rPr>
      </w:pPr>
      <w:r>
        <w:rPr>
          <w:rFonts w:hint="eastAsia" w:ascii="宋体" w:hAnsi="宋体" w:cs="宋体"/>
          <w:color w:val="auto"/>
          <w:kern w:val="0"/>
          <w:sz w:val="24"/>
          <w:highlight w:val="none"/>
          <w:lang w:val="en-US" w:eastAsia="zh-CN"/>
        </w:rPr>
        <w:t>签订</w:t>
      </w:r>
      <w:r>
        <w:rPr>
          <w:rFonts w:hint="eastAsia" w:ascii="宋体" w:hAnsi="宋体" w:cs="宋体"/>
          <w:color w:val="auto"/>
          <w:kern w:val="0"/>
          <w:sz w:val="24"/>
          <w:highlight w:val="none"/>
        </w:rPr>
        <w:t xml:space="preserve">日期：  年   月  日 </w:t>
      </w:r>
      <w:r>
        <w:rPr>
          <w:rFonts w:hint="eastAsia" w:ascii="宋体" w:hAnsi="宋体" w:cs="宋体"/>
          <w:color w:val="auto"/>
          <w:kern w:val="0"/>
          <w:sz w:val="24"/>
          <w:highlight w:val="none"/>
        </w:rPr>
        <w:tab/>
      </w:r>
      <w:r>
        <w:rPr>
          <w:rFonts w:hint="eastAsia" w:ascii="宋体" w:hAnsi="宋体" w:cs="宋体"/>
          <w:color w:val="auto"/>
          <w:kern w:val="0"/>
          <w:sz w:val="24"/>
          <w:highlight w:val="none"/>
        </w:rPr>
        <w:tab/>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en-US" w:eastAsia="zh-CN"/>
        </w:rPr>
        <w:t>签订</w:t>
      </w:r>
      <w:r>
        <w:rPr>
          <w:rFonts w:hint="eastAsia" w:ascii="宋体" w:hAnsi="宋体" w:cs="宋体"/>
          <w:color w:val="auto"/>
          <w:kern w:val="0"/>
          <w:sz w:val="24"/>
          <w:highlight w:val="none"/>
        </w:rPr>
        <w:t>日期：  年  月   日</w:t>
      </w:r>
      <w:bookmarkStart w:id="0" w:name="_GoBack"/>
      <w:bookmarkEnd w:id="0"/>
    </w:p>
    <w:p w14:paraId="5FC8CC0B">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ACB501"/>
    <w:multiLevelType w:val="singleLevel"/>
    <w:tmpl w:val="9CACB50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236372"/>
    <w:rsid w:val="0C441966"/>
    <w:rsid w:val="2FE31855"/>
    <w:rsid w:val="3D236372"/>
    <w:rsid w:val="4EA50814"/>
    <w:rsid w:val="58523085"/>
    <w:rsid w:val="673267CD"/>
    <w:rsid w:val="78AB59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宋体" w:hAnsi="宋体" w:eastAsia="宋体" w:cs="宋体"/>
      <w:sz w:val="18"/>
      <w:szCs w:val="18"/>
      <w:lang w:val="en-US" w:eastAsia="en-US" w:bidi="ar-SA"/>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2468</Words>
  <Characters>2641</Characters>
  <Lines>0</Lines>
  <Paragraphs>0</Paragraphs>
  <TotalTime>0</TotalTime>
  <ScaleCrop>false</ScaleCrop>
  <LinksUpToDate>false</LinksUpToDate>
  <CharactersWithSpaces>2927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2026-04-02T06:14:00Z</dcterms:created>
  <dc:creator>知子</dc:creator>
  <cp:lastModifiedBy>知子</cp:lastModifiedBy>
  <dcterms:modified xsi:type="dcterms:W3CDTF">2026-05-07T00:12:04Z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F7B344C1BBFC49DCA0F4997ED583A2DE_11</vt:lpwstr>
  </property>
  <property fmtid="{D5CDD505-2E9C-101B-9397-08002B2CF9AE}" pid="4" name="KSOTemplateDocerSaveRecord">
    <vt:lpwstr>eyJoZGlkIjoiMmQyYzYzYTI2MjQ2OGY1N2ZmZWYxOGNiNTQwMjNiYmYiLCJ1c2VySWQiOiI0ODM2OTkwMzcifQ==</vt:lpwstr>
  </property>
</Properties>
</file>