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372C15">
      <w:pPr>
        <w:jc w:val="center"/>
        <w:rPr>
          <w:rFonts w:hint="eastAsia"/>
          <w:lang w:val="en-US" w:eastAsia="zh-CN"/>
        </w:rPr>
      </w:pPr>
      <w:bookmarkStart w:id="1" w:name="_GoBack"/>
      <w:bookmarkEnd w:id="1"/>
      <w:r>
        <w:rPr>
          <w:rFonts w:hint="eastAsia"/>
          <w:lang w:val="en-US" w:eastAsia="zh-CN"/>
        </w:rPr>
        <w:t>采购需求</w:t>
      </w:r>
    </w:p>
    <w:tbl>
      <w:tblPr>
        <w:tblStyle w:val="3"/>
        <w:tblW w:w="78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7"/>
        <w:gridCol w:w="696"/>
        <w:gridCol w:w="6026"/>
        <w:gridCol w:w="671"/>
      </w:tblGrid>
      <w:tr w14:paraId="05363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trPr>
        <w:tc>
          <w:tcPr>
            <w:tcW w:w="417" w:type="dxa"/>
            <w:tcBorders>
              <w:top w:val="single" w:color="auto" w:sz="4" w:space="0"/>
              <w:left w:val="single" w:color="auto" w:sz="4" w:space="0"/>
              <w:bottom w:val="single" w:color="auto" w:sz="4" w:space="0"/>
              <w:right w:val="single" w:color="auto" w:sz="4" w:space="0"/>
            </w:tcBorders>
            <w:vAlign w:val="center"/>
          </w:tcPr>
          <w:p w14:paraId="54B4DF6F">
            <w:pPr>
              <w:pStyle w:val="2"/>
              <w:adjustRightInd w:val="0"/>
              <w:snapToGrid w:val="0"/>
              <w:spacing w:line="360" w:lineRule="auto"/>
              <w:jc w:val="center"/>
              <w:rPr>
                <w:rFonts w:hAnsi="宋体" w:cs="Courier New"/>
                <w:b/>
                <w:bCs/>
                <w:sz w:val="20"/>
                <w:szCs w:val="20"/>
              </w:rPr>
            </w:pPr>
            <w:r>
              <w:rPr>
                <w:rFonts w:hint="eastAsia" w:hAnsi="宋体" w:cs="Courier New"/>
                <w:b/>
                <w:bCs/>
                <w:sz w:val="20"/>
                <w:szCs w:val="20"/>
              </w:rPr>
              <w:t>序号</w:t>
            </w:r>
          </w:p>
        </w:tc>
        <w:tc>
          <w:tcPr>
            <w:tcW w:w="696" w:type="dxa"/>
            <w:tcBorders>
              <w:top w:val="single" w:color="auto" w:sz="4" w:space="0"/>
              <w:left w:val="single" w:color="auto" w:sz="4" w:space="0"/>
              <w:bottom w:val="single" w:color="auto" w:sz="4" w:space="0"/>
              <w:right w:val="single" w:color="auto" w:sz="4" w:space="0"/>
            </w:tcBorders>
            <w:vAlign w:val="center"/>
          </w:tcPr>
          <w:p w14:paraId="5F2497F4">
            <w:pPr>
              <w:pStyle w:val="2"/>
              <w:adjustRightInd w:val="0"/>
              <w:snapToGrid w:val="0"/>
              <w:spacing w:line="360" w:lineRule="auto"/>
              <w:jc w:val="center"/>
              <w:rPr>
                <w:rFonts w:hAnsi="宋体" w:cs="Courier New"/>
                <w:b/>
                <w:bCs/>
                <w:sz w:val="20"/>
                <w:szCs w:val="20"/>
              </w:rPr>
            </w:pPr>
            <w:r>
              <w:rPr>
                <w:rFonts w:hint="eastAsia" w:hAnsi="宋体" w:cs="Courier New"/>
                <w:b/>
                <w:bCs/>
                <w:sz w:val="20"/>
                <w:szCs w:val="20"/>
              </w:rPr>
              <w:t>产品名称</w:t>
            </w:r>
          </w:p>
        </w:tc>
        <w:tc>
          <w:tcPr>
            <w:tcW w:w="6026" w:type="dxa"/>
            <w:tcBorders>
              <w:top w:val="single" w:color="auto" w:sz="4" w:space="0"/>
              <w:left w:val="single" w:color="auto" w:sz="4" w:space="0"/>
              <w:bottom w:val="single" w:color="auto" w:sz="4" w:space="0"/>
              <w:right w:val="single" w:color="auto" w:sz="4" w:space="0"/>
            </w:tcBorders>
            <w:vAlign w:val="center"/>
          </w:tcPr>
          <w:p w14:paraId="58225348">
            <w:pPr>
              <w:pStyle w:val="2"/>
              <w:adjustRightInd w:val="0"/>
              <w:snapToGrid w:val="0"/>
              <w:spacing w:line="360" w:lineRule="auto"/>
              <w:jc w:val="center"/>
              <w:rPr>
                <w:rFonts w:hAnsi="宋体" w:cs="Courier New"/>
                <w:b/>
                <w:bCs/>
                <w:sz w:val="20"/>
                <w:szCs w:val="20"/>
              </w:rPr>
            </w:pPr>
            <w:r>
              <w:rPr>
                <w:rFonts w:hint="eastAsia" w:hAnsi="宋体" w:cs="Courier New"/>
                <w:b/>
                <w:bCs/>
                <w:sz w:val="20"/>
                <w:szCs w:val="20"/>
              </w:rPr>
              <w:t>技术规格</w:t>
            </w:r>
          </w:p>
        </w:tc>
        <w:tc>
          <w:tcPr>
            <w:tcW w:w="671" w:type="dxa"/>
            <w:tcBorders>
              <w:top w:val="single" w:color="auto" w:sz="4" w:space="0"/>
              <w:left w:val="single" w:color="auto" w:sz="4" w:space="0"/>
              <w:bottom w:val="single" w:color="auto" w:sz="4" w:space="0"/>
              <w:right w:val="single" w:color="auto" w:sz="4" w:space="0"/>
            </w:tcBorders>
            <w:vAlign w:val="center"/>
          </w:tcPr>
          <w:p w14:paraId="57615FA5">
            <w:pPr>
              <w:adjustRightInd w:val="0"/>
              <w:snapToGrid w:val="0"/>
              <w:spacing w:line="360" w:lineRule="auto"/>
              <w:jc w:val="center"/>
              <w:rPr>
                <w:rFonts w:ascii="宋体" w:hAnsi="宋体" w:eastAsia="宋体"/>
                <w:sz w:val="20"/>
                <w:szCs w:val="20"/>
              </w:rPr>
            </w:pPr>
            <w:r>
              <w:rPr>
                <w:rFonts w:hint="eastAsia" w:ascii="宋体" w:hAnsi="宋体" w:eastAsia="宋体" w:cs="Courier New"/>
                <w:b/>
                <w:bCs/>
                <w:sz w:val="20"/>
                <w:szCs w:val="20"/>
              </w:rPr>
              <w:t>数量</w:t>
            </w:r>
          </w:p>
        </w:tc>
      </w:tr>
      <w:tr w14:paraId="79DE4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417" w:type="dxa"/>
            <w:tcBorders>
              <w:top w:val="single" w:color="auto" w:sz="4" w:space="0"/>
              <w:left w:val="single" w:color="auto" w:sz="4" w:space="0"/>
              <w:bottom w:val="single" w:color="auto" w:sz="4" w:space="0"/>
              <w:right w:val="single" w:color="auto" w:sz="4" w:space="0"/>
            </w:tcBorders>
            <w:vAlign w:val="center"/>
          </w:tcPr>
          <w:p w14:paraId="40AD995E">
            <w:pPr>
              <w:widowControl/>
              <w:adjustRightInd w:val="0"/>
              <w:snapToGrid w:val="0"/>
              <w:spacing w:line="360" w:lineRule="auto"/>
              <w:rPr>
                <w:rFonts w:ascii="宋体" w:hAnsi="宋体" w:eastAsia="宋体"/>
                <w:sz w:val="20"/>
                <w:szCs w:val="20"/>
              </w:rPr>
            </w:pPr>
            <w:bookmarkStart w:id="0" w:name="OLE_LINK1" w:colFirst="0" w:colLast="2"/>
            <w:r>
              <w:rPr>
                <w:rFonts w:hint="eastAsia" w:ascii="宋体" w:hAnsi="宋体" w:eastAsia="宋体" w:cs="仿宋"/>
                <w:kern w:val="0"/>
                <w:sz w:val="20"/>
                <w:szCs w:val="20"/>
                <w:lang w:bidi="ar"/>
              </w:rPr>
              <w:t>1</w:t>
            </w:r>
          </w:p>
        </w:tc>
        <w:tc>
          <w:tcPr>
            <w:tcW w:w="696" w:type="dxa"/>
            <w:tcBorders>
              <w:top w:val="single" w:color="auto" w:sz="4" w:space="0"/>
              <w:left w:val="single" w:color="auto" w:sz="4" w:space="0"/>
              <w:bottom w:val="single" w:color="auto" w:sz="4" w:space="0"/>
              <w:right w:val="single" w:color="auto" w:sz="4" w:space="0"/>
            </w:tcBorders>
            <w:vAlign w:val="center"/>
          </w:tcPr>
          <w:p w14:paraId="0A40C97B">
            <w:pPr>
              <w:widowControl/>
              <w:adjustRightInd w:val="0"/>
              <w:snapToGrid w:val="0"/>
              <w:spacing w:line="360" w:lineRule="auto"/>
              <w:jc w:val="center"/>
              <w:rPr>
                <w:rFonts w:ascii="宋体" w:hAnsi="宋体" w:eastAsia="宋体"/>
                <w:sz w:val="20"/>
                <w:szCs w:val="20"/>
              </w:rPr>
            </w:pPr>
            <w:r>
              <w:rPr>
                <w:rFonts w:hint="eastAsia" w:ascii="宋体" w:hAnsi="宋体" w:eastAsia="宋体" w:cs="仿宋"/>
                <w:sz w:val="20"/>
                <w:szCs w:val="20"/>
              </w:rPr>
              <w:t>超融合一体机（核心产品）</w:t>
            </w:r>
          </w:p>
        </w:tc>
        <w:tc>
          <w:tcPr>
            <w:tcW w:w="6026" w:type="dxa"/>
            <w:tcBorders>
              <w:top w:val="single" w:color="auto" w:sz="4" w:space="0"/>
              <w:left w:val="single" w:color="auto" w:sz="4" w:space="0"/>
              <w:bottom w:val="single" w:color="auto" w:sz="4" w:space="0"/>
              <w:right w:val="single" w:color="auto" w:sz="4" w:space="0"/>
            </w:tcBorders>
            <w:vAlign w:val="center"/>
          </w:tcPr>
          <w:p w14:paraId="0EAE075A">
            <w:pPr>
              <w:pStyle w:val="5"/>
              <w:rPr>
                <w:rFonts w:hint="default"/>
              </w:rPr>
            </w:pPr>
            <w:r>
              <w:t>1.标准2U机架式服务器；单台CPU：≥2 颗处理器，单颗处理器≥16核，主频≥2.9GHz；内存：≥384GB 内存；硬盘：系统盘≥2*480GB SSD，数据盘≥2*1.92T SSD，≥4*8TB SATA HDD；网络：GE接口≥ 4个；万兆光口≥2个；热插拔冗余电源。提供原厂技术支持服务。</w:t>
            </w:r>
          </w:p>
          <w:p w14:paraId="303B02B9">
            <w:pPr>
              <w:pStyle w:val="5"/>
              <w:rPr>
                <w:rFonts w:hint="default"/>
              </w:rPr>
            </w:pPr>
            <w:r>
              <w:t>2.提供计算服务虚拟化授权软件，≥2颗CPU使用授权。</w:t>
            </w:r>
          </w:p>
          <w:p w14:paraId="3793F250">
            <w:pPr>
              <w:pStyle w:val="5"/>
              <w:rPr>
                <w:rFonts w:hint="default"/>
              </w:rPr>
            </w:pPr>
            <w:r>
              <w:t>3.支持动态资源平衡，自动完成负载均衡，最大化发挥主机性能，高负载时自动迁移虚拟机，保障业务稳定与集群资源平衡；可通过人工智能算法评估性能、可靠性等指标输出调度建议，提升调度精准度。</w:t>
            </w:r>
          </w:p>
          <w:p w14:paraId="7BB21D68">
            <w:pPr>
              <w:pStyle w:val="5"/>
              <w:rPr>
                <w:rFonts w:hint="default"/>
              </w:rPr>
            </w:pPr>
            <w:r>
              <w:t>4.支持按照虚拟机维度、主机维度设置平台和虚拟机的内存超配比例，最大超配到200%，单虚拟机性能下降≤15%。</w:t>
            </w:r>
          </w:p>
          <w:p w14:paraId="3EFAD7EC">
            <w:pPr>
              <w:pStyle w:val="5"/>
              <w:rPr>
                <w:rFonts w:hint="default"/>
              </w:rPr>
            </w:pPr>
            <w:r>
              <w:t>5.提供网络虚拟化授权软件；≥2颗CPU使用授权，不限制虚拟路由器和虚拟交换机的使用数量。</w:t>
            </w:r>
          </w:p>
          <w:p w14:paraId="05DF57F1">
            <w:pPr>
              <w:pStyle w:val="5"/>
              <w:rPr>
                <w:rFonts w:hint="default"/>
              </w:rPr>
            </w:pPr>
            <w:r>
              <w:t>6.支持对网口、对象类型、IP地址等进行网络连通性探测，可查看网络探测是否成功。</w:t>
            </w:r>
          </w:p>
          <w:p w14:paraId="37E01CC3">
            <w:pPr>
              <w:pStyle w:val="5"/>
              <w:rPr>
                <w:rFonts w:hint="default"/>
              </w:rPr>
            </w:pPr>
            <w:r>
              <w:t>7.提供云管软件授权，≥2颗CPU使用授权。</w:t>
            </w:r>
          </w:p>
          <w:p w14:paraId="0037E15E">
            <w:pPr>
              <w:pStyle w:val="5"/>
              <w:rPr>
                <w:rFonts w:hint="default"/>
              </w:rPr>
            </w:pPr>
            <w:r>
              <w:t>8.管理平台在可集中提供虚拟机的全生命周期操作：删除、开关机、挂起、重启、软关机、强制断电、克隆、热迁移、备份、快照，支持一键批量执行。</w:t>
            </w:r>
          </w:p>
          <w:p w14:paraId="5CD1DB5A">
            <w:pPr>
              <w:pStyle w:val="5"/>
              <w:rPr>
                <w:rFonts w:hint="default"/>
              </w:rPr>
            </w:pPr>
            <w:r>
              <w:t>9.支持平台热升级，不影响业务连续性。</w:t>
            </w:r>
          </w:p>
          <w:p w14:paraId="409354AC">
            <w:pPr>
              <w:pStyle w:val="5"/>
              <w:rPr>
                <w:rFonts w:hint="default"/>
              </w:rPr>
            </w:pPr>
            <w:r>
              <w:t>10.提供存储虚拟化软件授权，≥2颗CPU使用授权。</w:t>
            </w:r>
          </w:p>
          <w:p w14:paraId="6723F1FE">
            <w:pPr>
              <w:pStyle w:val="5"/>
              <w:rPr>
                <w:rFonts w:hint="default"/>
              </w:rPr>
            </w:pPr>
            <w:r>
              <w:t xml:space="preserve">▲11.支持选择多种克隆方式，包括快速全量克隆、全量克隆和链接克隆。（提供产品功能截图） </w:t>
            </w:r>
          </w:p>
          <w:p w14:paraId="171D56A9">
            <w:pPr>
              <w:pStyle w:val="5"/>
              <w:rPr>
                <w:rFonts w:hint="default"/>
              </w:rPr>
            </w:pPr>
            <w:r>
              <w:t>12.本次新增超融合节点须与主流产品超融合集群平滑扩容，实现业务灵活部署和整体超融合资源池的统一管理，同时在扩容过程中无需停机即可实现超融合资源线性扩展。</w:t>
            </w:r>
          </w:p>
        </w:tc>
        <w:tc>
          <w:tcPr>
            <w:tcW w:w="671" w:type="dxa"/>
            <w:tcBorders>
              <w:top w:val="single" w:color="auto" w:sz="4" w:space="0"/>
              <w:left w:val="single" w:color="auto" w:sz="4" w:space="0"/>
              <w:bottom w:val="single" w:color="auto" w:sz="4" w:space="0"/>
              <w:right w:val="single" w:color="auto" w:sz="4" w:space="0"/>
            </w:tcBorders>
            <w:vAlign w:val="center"/>
          </w:tcPr>
          <w:p w14:paraId="4AB5C471">
            <w:pPr>
              <w:widowControl/>
              <w:adjustRightInd w:val="0"/>
              <w:snapToGrid w:val="0"/>
              <w:spacing w:line="360" w:lineRule="auto"/>
              <w:jc w:val="center"/>
              <w:rPr>
                <w:rFonts w:ascii="宋体" w:hAnsi="宋体" w:eastAsia="宋体" w:cs="宋体"/>
                <w:bCs/>
                <w:kern w:val="0"/>
                <w:sz w:val="20"/>
                <w:szCs w:val="20"/>
              </w:rPr>
            </w:pPr>
            <w:r>
              <w:rPr>
                <w:rFonts w:hint="eastAsia" w:ascii="宋体" w:hAnsi="宋体" w:eastAsia="宋体" w:cs="仿宋"/>
                <w:sz w:val="20"/>
                <w:szCs w:val="20"/>
              </w:rPr>
              <w:t>1台</w:t>
            </w:r>
          </w:p>
        </w:tc>
      </w:tr>
      <w:tr w14:paraId="1886E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417" w:type="dxa"/>
            <w:tcBorders>
              <w:top w:val="single" w:color="auto" w:sz="4" w:space="0"/>
              <w:left w:val="single" w:color="auto" w:sz="4" w:space="0"/>
              <w:bottom w:val="single" w:color="auto" w:sz="4" w:space="0"/>
              <w:right w:val="single" w:color="auto" w:sz="4" w:space="0"/>
            </w:tcBorders>
            <w:vAlign w:val="center"/>
          </w:tcPr>
          <w:p w14:paraId="0974C7D4">
            <w:pPr>
              <w:widowControl/>
              <w:adjustRightInd w:val="0"/>
              <w:snapToGrid w:val="0"/>
              <w:spacing w:line="360" w:lineRule="auto"/>
              <w:rPr>
                <w:rFonts w:ascii="宋体" w:hAnsi="宋体" w:eastAsia="宋体"/>
                <w:sz w:val="20"/>
                <w:szCs w:val="20"/>
              </w:rPr>
            </w:pPr>
            <w:r>
              <w:rPr>
                <w:rFonts w:hint="eastAsia" w:ascii="宋体" w:hAnsi="宋体" w:eastAsia="宋体" w:cs="仿宋"/>
                <w:kern w:val="0"/>
                <w:sz w:val="20"/>
                <w:szCs w:val="20"/>
                <w:lang w:bidi="ar"/>
              </w:rPr>
              <w:t>2</w:t>
            </w:r>
          </w:p>
        </w:tc>
        <w:tc>
          <w:tcPr>
            <w:tcW w:w="696" w:type="dxa"/>
            <w:tcBorders>
              <w:top w:val="single" w:color="auto" w:sz="4" w:space="0"/>
              <w:left w:val="single" w:color="auto" w:sz="4" w:space="0"/>
              <w:bottom w:val="single" w:color="auto" w:sz="4" w:space="0"/>
              <w:right w:val="single" w:color="auto" w:sz="4" w:space="0"/>
            </w:tcBorders>
            <w:vAlign w:val="center"/>
          </w:tcPr>
          <w:p w14:paraId="6E50B3EB">
            <w:pPr>
              <w:snapToGrid w:val="0"/>
              <w:outlineLvl w:val="0"/>
              <w:rPr>
                <w:rFonts w:ascii="宋体" w:hAnsi="宋体" w:eastAsia="宋体" w:cs="仿宋"/>
                <w:sz w:val="20"/>
                <w:szCs w:val="20"/>
              </w:rPr>
            </w:pPr>
            <w:r>
              <w:rPr>
                <w:rFonts w:hint="eastAsia" w:ascii="宋体" w:hAnsi="宋体" w:eastAsia="宋体" w:cs="仿宋"/>
                <w:sz w:val="20"/>
                <w:szCs w:val="20"/>
              </w:rPr>
              <w:t>桌面云一体机</w:t>
            </w:r>
          </w:p>
          <w:p w14:paraId="5B64EDE6">
            <w:pPr>
              <w:widowControl/>
              <w:adjustRightInd w:val="0"/>
              <w:snapToGrid w:val="0"/>
              <w:spacing w:line="360" w:lineRule="auto"/>
              <w:jc w:val="center"/>
              <w:rPr>
                <w:rFonts w:ascii="宋体" w:hAnsi="宋体" w:eastAsia="宋体"/>
                <w:sz w:val="20"/>
                <w:szCs w:val="20"/>
              </w:rPr>
            </w:pPr>
          </w:p>
        </w:tc>
        <w:tc>
          <w:tcPr>
            <w:tcW w:w="6026" w:type="dxa"/>
            <w:tcBorders>
              <w:top w:val="single" w:color="auto" w:sz="4" w:space="0"/>
              <w:left w:val="single" w:color="auto" w:sz="4" w:space="0"/>
              <w:bottom w:val="single" w:color="auto" w:sz="4" w:space="0"/>
              <w:right w:val="single" w:color="auto" w:sz="4" w:space="0"/>
            </w:tcBorders>
            <w:vAlign w:val="center"/>
          </w:tcPr>
          <w:p w14:paraId="642A7B79">
            <w:pPr>
              <w:pStyle w:val="5"/>
              <w:rPr>
                <w:rFonts w:hint="default"/>
              </w:rPr>
            </w:pPr>
            <w:r>
              <w:t>1. 2U机架式服务器；CPU≥2颗国产化CPU，主频≥2.5Ghz，单颗CPU核数≥32，支持多线程；内存≥12*32GB DDR5 5600；硬盘：系统盘≥2*480GB SSD，数据盘≥2*1.92T SSD，≥4*8TB SATA HDD；网络：GE接口≥ 4个；万兆光口≥2个；热插拔冗余电源。提供原厂技术服务。</w:t>
            </w:r>
          </w:p>
          <w:p w14:paraId="565057D4">
            <w:pPr>
              <w:pStyle w:val="5"/>
              <w:rPr>
                <w:rFonts w:hint="default"/>
              </w:rPr>
            </w:pPr>
            <w:r>
              <w:t>2.虚拟桌面支持完整克隆专有模式桌面，以及链接克隆还原模式桌面；支持用户和虚拟桌面之间采用一对一、多对一、多对多的分配方式。</w:t>
            </w:r>
          </w:p>
          <w:p w14:paraId="5C20D5E6">
            <w:pPr>
              <w:pStyle w:val="5"/>
              <w:rPr>
                <w:rFonts w:hint="default"/>
              </w:rPr>
            </w:pPr>
            <w:r>
              <w:t>3.支持远程协助功能，管理员可发起协助请求，用户同意后，管理员可查看、操作用户终端。支持管理员给终端设备批量发送消息。</w:t>
            </w:r>
          </w:p>
          <w:p w14:paraId="3A850B5D">
            <w:pPr>
              <w:pStyle w:val="5"/>
              <w:rPr>
                <w:rFonts w:hint="default"/>
              </w:rPr>
            </w:pPr>
            <w:r>
              <w:t>▲4.兼容便携式存储设备，并确保在千兆网络环境下，其数据传输速率≥50MB/s。（提供产品功能截图）</w:t>
            </w:r>
          </w:p>
          <w:p w14:paraId="37A66AF2">
            <w:pPr>
              <w:pStyle w:val="5"/>
              <w:rPr>
                <w:rFonts w:hint="default"/>
              </w:rPr>
            </w:pPr>
            <w:r>
              <w:t>5.不依赖第三方平台及组件，实现终端精细化监控及管理，支持终端资源监控、主要进程服务监控，支持设置监控间隔，设置资源使用阈值，当超过阈值后平台发向管理员发送告警信息。</w:t>
            </w:r>
          </w:p>
          <w:p w14:paraId="534D7FCD">
            <w:pPr>
              <w:pStyle w:val="5"/>
              <w:rPr>
                <w:rFonts w:hint="default"/>
              </w:rPr>
            </w:pPr>
            <w:r>
              <w:t>▲6.具备限制用户在应用虚拟化服务器上进行高级操作的能力，防止潜在危险行为的发生。包括但不限于禁止访问注册表、任务管理器、资源管理器和控制面板，以及禁用CMD命令提示符。（提供产品功能截图）</w:t>
            </w:r>
          </w:p>
          <w:p w14:paraId="27EE160C">
            <w:pPr>
              <w:pStyle w:val="5"/>
              <w:rPr>
                <w:rFonts w:hint="default"/>
              </w:rPr>
            </w:pPr>
            <w:r>
              <w:t>7.运维平台可持续监测虚拟机、主机及集群相关软硬件问题的能力。一旦检测到问题，系统将根据问题的严重性进行分级，并利用内置的AI智能诊断库自动分析问题。分析结果将以图文形式直观展示在平台上，包括问题描述、证据分析和处理建议。</w:t>
            </w:r>
          </w:p>
          <w:p w14:paraId="1F345EF2">
            <w:pPr>
              <w:pStyle w:val="5"/>
              <w:rPr>
                <w:rFonts w:hint="default"/>
              </w:rPr>
            </w:pPr>
            <w:r>
              <w:t>8.支持自定义管理员角色，根据平台的功能划分，分配各个模块的操作权限。可根据使用场景，建立自主定义的用户多级组织结构，呈现组织树形式。</w:t>
            </w:r>
          </w:p>
          <w:p w14:paraId="37D3AFF3">
            <w:pPr>
              <w:pStyle w:val="5"/>
              <w:rPr>
                <w:rFonts w:hint="default"/>
              </w:rPr>
            </w:pPr>
            <w:r>
              <w:t>9.为了优化云桌面环境中业务应用的使用感受，可以对当前频繁使用的软件进行专门的性能提升。此外，管理者可根据需求自定义需要加速的应用程序进程名称。</w:t>
            </w:r>
          </w:p>
          <w:p w14:paraId="710F1C55">
            <w:pPr>
              <w:pStyle w:val="5"/>
              <w:rPr>
                <w:rFonts w:hint="default"/>
              </w:rPr>
            </w:pPr>
            <w:r>
              <w:t>10.本次新增桌面云节点与主流桌面云集群平滑扩容，实现业务灵活部署和整体桌面云资源池的统一管理，同时在扩容过程中无需停机即可实现桌面云资源线性扩展。</w:t>
            </w:r>
          </w:p>
        </w:tc>
        <w:tc>
          <w:tcPr>
            <w:tcW w:w="671" w:type="dxa"/>
            <w:tcBorders>
              <w:top w:val="single" w:color="auto" w:sz="4" w:space="0"/>
              <w:left w:val="single" w:color="auto" w:sz="4" w:space="0"/>
              <w:bottom w:val="single" w:color="auto" w:sz="4" w:space="0"/>
              <w:right w:val="single" w:color="auto" w:sz="4" w:space="0"/>
            </w:tcBorders>
            <w:vAlign w:val="center"/>
          </w:tcPr>
          <w:p w14:paraId="2F4F2433">
            <w:pPr>
              <w:widowControl/>
              <w:adjustRightInd w:val="0"/>
              <w:snapToGrid w:val="0"/>
              <w:spacing w:line="360" w:lineRule="auto"/>
              <w:jc w:val="center"/>
              <w:rPr>
                <w:rFonts w:ascii="宋体" w:hAnsi="宋体" w:eastAsia="宋体" w:cs="宋体"/>
                <w:bCs/>
                <w:kern w:val="0"/>
                <w:sz w:val="20"/>
                <w:szCs w:val="20"/>
              </w:rPr>
            </w:pPr>
            <w:r>
              <w:rPr>
                <w:rFonts w:hint="eastAsia" w:ascii="宋体" w:hAnsi="宋体" w:eastAsia="宋体" w:cs="仿宋"/>
                <w:sz w:val="20"/>
                <w:szCs w:val="20"/>
              </w:rPr>
              <w:t>3台</w:t>
            </w:r>
          </w:p>
        </w:tc>
      </w:tr>
      <w:tr w14:paraId="33F0E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417" w:type="dxa"/>
            <w:tcBorders>
              <w:top w:val="single" w:color="auto" w:sz="4" w:space="0"/>
              <w:left w:val="single" w:color="auto" w:sz="4" w:space="0"/>
              <w:bottom w:val="single" w:color="auto" w:sz="4" w:space="0"/>
              <w:right w:val="single" w:color="auto" w:sz="4" w:space="0"/>
            </w:tcBorders>
            <w:vAlign w:val="center"/>
          </w:tcPr>
          <w:p w14:paraId="5EFD836A">
            <w:pPr>
              <w:widowControl/>
              <w:adjustRightInd w:val="0"/>
              <w:snapToGrid w:val="0"/>
              <w:spacing w:line="360" w:lineRule="auto"/>
              <w:rPr>
                <w:rFonts w:ascii="宋体" w:hAnsi="宋体" w:eastAsia="宋体"/>
                <w:sz w:val="20"/>
                <w:szCs w:val="20"/>
              </w:rPr>
            </w:pPr>
            <w:r>
              <w:rPr>
                <w:rFonts w:hint="eastAsia" w:ascii="宋体" w:hAnsi="宋体" w:eastAsia="宋体" w:cs="仿宋"/>
                <w:kern w:val="0"/>
                <w:sz w:val="20"/>
                <w:szCs w:val="20"/>
                <w:lang w:bidi="ar"/>
              </w:rPr>
              <w:t>3</w:t>
            </w:r>
          </w:p>
        </w:tc>
        <w:tc>
          <w:tcPr>
            <w:tcW w:w="696" w:type="dxa"/>
            <w:tcBorders>
              <w:top w:val="single" w:color="auto" w:sz="4" w:space="0"/>
              <w:left w:val="single" w:color="auto" w:sz="4" w:space="0"/>
              <w:bottom w:val="single" w:color="auto" w:sz="4" w:space="0"/>
              <w:right w:val="single" w:color="auto" w:sz="4" w:space="0"/>
            </w:tcBorders>
            <w:vAlign w:val="center"/>
          </w:tcPr>
          <w:p w14:paraId="588B29D7">
            <w:pPr>
              <w:widowControl/>
              <w:adjustRightInd w:val="0"/>
              <w:snapToGrid w:val="0"/>
              <w:spacing w:line="360" w:lineRule="auto"/>
              <w:jc w:val="center"/>
              <w:rPr>
                <w:rFonts w:ascii="宋体" w:hAnsi="宋体" w:eastAsia="宋体"/>
                <w:sz w:val="20"/>
                <w:szCs w:val="20"/>
              </w:rPr>
            </w:pPr>
            <w:r>
              <w:rPr>
                <w:rFonts w:hint="eastAsia" w:ascii="宋体" w:hAnsi="宋体" w:eastAsia="宋体" w:cs="仿宋"/>
                <w:sz w:val="20"/>
                <w:szCs w:val="20"/>
              </w:rPr>
              <w:t>存储交换机</w:t>
            </w:r>
          </w:p>
        </w:tc>
        <w:tc>
          <w:tcPr>
            <w:tcW w:w="6026" w:type="dxa"/>
            <w:tcBorders>
              <w:top w:val="single" w:color="auto" w:sz="4" w:space="0"/>
              <w:left w:val="single" w:color="auto" w:sz="4" w:space="0"/>
              <w:bottom w:val="single" w:color="auto" w:sz="4" w:space="0"/>
              <w:right w:val="single" w:color="auto" w:sz="4" w:space="0"/>
            </w:tcBorders>
            <w:vAlign w:val="center"/>
          </w:tcPr>
          <w:p w14:paraId="4D22AFE8">
            <w:pPr>
              <w:pStyle w:val="5"/>
              <w:rPr>
                <w:rFonts w:hint="default"/>
              </w:rPr>
            </w:pPr>
            <w:r>
              <w:t>1.交换性能≥2.4Tbps；包转发率≥780Mpps；万兆光口≥12个（含光纤线和光模块）；千兆电口≥12个。</w:t>
            </w:r>
          </w:p>
          <w:p w14:paraId="2C24413D">
            <w:pPr>
              <w:pStyle w:val="5"/>
              <w:rPr>
                <w:rFonts w:hint="default"/>
              </w:rPr>
            </w:pPr>
            <w:r>
              <w:t>2.含三年产品质保。</w:t>
            </w:r>
          </w:p>
        </w:tc>
        <w:tc>
          <w:tcPr>
            <w:tcW w:w="671" w:type="dxa"/>
            <w:tcBorders>
              <w:top w:val="single" w:color="auto" w:sz="4" w:space="0"/>
              <w:left w:val="single" w:color="auto" w:sz="4" w:space="0"/>
              <w:bottom w:val="single" w:color="auto" w:sz="4" w:space="0"/>
              <w:right w:val="single" w:color="auto" w:sz="4" w:space="0"/>
            </w:tcBorders>
            <w:vAlign w:val="center"/>
          </w:tcPr>
          <w:p w14:paraId="5E26B226">
            <w:pPr>
              <w:widowControl/>
              <w:adjustRightInd w:val="0"/>
              <w:snapToGrid w:val="0"/>
              <w:spacing w:line="360" w:lineRule="auto"/>
              <w:jc w:val="center"/>
              <w:rPr>
                <w:rFonts w:ascii="宋体" w:hAnsi="宋体" w:eastAsia="宋体" w:cs="宋体"/>
                <w:bCs/>
                <w:kern w:val="0"/>
                <w:sz w:val="20"/>
                <w:szCs w:val="20"/>
              </w:rPr>
            </w:pPr>
            <w:r>
              <w:rPr>
                <w:rFonts w:hint="eastAsia" w:ascii="宋体" w:hAnsi="宋体" w:eastAsia="宋体" w:cs="仿宋"/>
                <w:sz w:val="20"/>
                <w:szCs w:val="20"/>
              </w:rPr>
              <w:t>2台</w:t>
            </w:r>
          </w:p>
        </w:tc>
      </w:tr>
      <w:tr w14:paraId="4AE17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417" w:type="dxa"/>
            <w:tcBorders>
              <w:top w:val="single" w:color="auto" w:sz="4" w:space="0"/>
              <w:left w:val="single" w:color="auto" w:sz="4" w:space="0"/>
              <w:bottom w:val="single" w:color="auto" w:sz="4" w:space="0"/>
              <w:right w:val="single" w:color="auto" w:sz="4" w:space="0"/>
            </w:tcBorders>
            <w:vAlign w:val="center"/>
          </w:tcPr>
          <w:p w14:paraId="5C39C7EC">
            <w:pPr>
              <w:widowControl/>
              <w:adjustRightInd w:val="0"/>
              <w:snapToGrid w:val="0"/>
              <w:spacing w:line="360" w:lineRule="auto"/>
              <w:rPr>
                <w:rFonts w:ascii="宋体" w:hAnsi="宋体" w:eastAsia="宋体"/>
                <w:sz w:val="20"/>
                <w:szCs w:val="20"/>
              </w:rPr>
            </w:pPr>
            <w:r>
              <w:rPr>
                <w:rFonts w:hint="eastAsia" w:ascii="宋体" w:hAnsi="宋体" w:eastAsia="宋体" w:cs="仿宋"/>
                <w:kern w:val="0"/>
                <w:sz w:val="20"/>
                <w:szCs w:val="20"/>
                <w:lang w:bidi="ar"/>
              </w:rPr>
              <w:t>4</w:t>
            </w:r>
          </w:p>
        </w:tc>
        <w:tc>
          <w:tcPr>
            <w:tcW w:w="696" w:type="dxa"/>
            <w:tcBorders>
              <w:top w:val="single" w:color="auto" w:sz="4" w:space="0"/>
              <w:left w:val="single" w:color="auto" w:sz="4" w:space="0"/>
              <w:bottom w:val="single" w:color="auto" w:sz="4" w:space="0"/>
              <w:right w:val="single" w:color="auto" w:sz="4" w:space="0"/>
            </w:tcBorders>
            <w:vAlign w:val="center"/>
          </w:tcPr>
          <w:p w14:paraId="61CAD3EA">
            <w:pPr>
              <w:widowControl/>
              <w:adjustRightInd w:val="0"/>
              <w:snapToGrid w:val="0"/>
              <w:spacing w:line="360" w:lineRule="auto"/>
              <w:jc w:val="center"/>
              <w:rPr>
                <w:rFonts w:ascii="宋体" w:hAnsi="宋体" w:eastAsia="宋体"/>
                <w:sz w:val="20"/>
                <w:szCs w:val="20"/>
              </w:rPr>
            </w:pPr>
            <w:r>
              <w:rPr>
                <w:rFonts w:hint="eastAsia" w:ascii="宋体" w:hAnsi="宋体" w:eastAsia="宋体" w:cs="仿宋"/>
                <w:sz w:val="20"/>
                <w:szCs w:val="20"/>
              </w:rPr>
              <w:t>桌面云接入授权</w:t>
            </w:r>
          </w:p>
        </w:tc>
        <w:tc>
          <w:tcPr>
            <w:tcW w:w="6026" w:type="dxa"/>
            <w:tcBorders>
              <w:top w:val="single" w:color="auto" w:sz="4" w:space="0"/>
              <w:left w:val="single" w:color="auto" w:sz="4" w:space="0"/>
              <w:bottom w:val="single" w:color="auto" w:sz="4" w:space="0"/>
              <w:right w:val="single" w:color="auto" w:sz="4" w:space="0"/>
            </w:tcBorders>
            <w:vAlign w:val="center"/>
          </w:tcPr>
          <w:p w14:paraId="0882ED9B">
            <w:pPr>
              <w:pStyle w:val="5"/>
              <w:rPr>
                <w:rFonts w:hint="default"/>
              </w:rPr>
            </w:pPr>
            <w:r>
              <w:t>1.提供VDI并发用户连接授权，支持发布专有桌面、还原桌面、共享桌面、远程应用等多种桌面资源，满足单位不同场景的应用需求。提供原厂技术支持服务。</w:t>
            </w:r>
          </w:p>
          <w:p w14:paraId="595FAF71">
            <w:pPr>
              <w:pStyle w:val="5"/>
              <w:rPr>
                <w:rFonts w:hint="default"/>
              </w:rPr>
            </w:pPr>
            <w:r>
              <w:t>▲2.提供全局模板功能。允许管理员通过跨虚拟化集群使用统一的模板来实现云桌面的创建、更新和管理。（提供产品功能截图）</w:t>
            </w:r>
          </w:p>
        </w:tc>
        <w:tc>
          <w:tcPr>
            <w:tcW w:w="671" w:type="dxa"/>
            <w:tcBorders>
              <w:top w:val="single" w:color="auto" w:sz="4" w:space="0"/>
              <w:left w:val="single" w:color="auto" w:sz="4" w:space="0"/>
              <w:bottom w:val="single" w:color="auto" w:sz="4" w:space="0"/>
              <w:right w:val="single" w:color="auto" w:sz="4" w:space="0"/>
            </w:tcBorders>
            <w:vAlign w:val="center"/>
          </w:tcPr>
          <w:p w14:paraId="0E082AEA">
            <w:pPr>
              <w:widowControl/>
              <w:adjustRightInd w:val="0"/>
              <w:snapToGrid w:val="0"/>
              <w:spacing w:line="360" w:lineRule="auto"/>
              <w:jc w:val="center"/>
              <w:rPr>
                <w:rFonts w:ascii="宋体" w:hAnsi="宋体" w:eastAsia="宋体" w:cs="宋体"/>
                <w:bCs/>
                <w:kern w:val="0"/>
                <w:sz w:val="20"/>
                <w:szCs w:val="20"/>
              </w:rPr>
            </w:pPr>
            <w:r>
              <w:rPr>
                <w:rFonts w:hint="eastAsia" w:ascii="宋体" w:hAnsi="宋体" w:eastAsia="宋体" w:cs="仿宋"/>
                <w:sz w:val="20"/>
                <w:szCs w:val="20"/>
              </w:rPr>
              <w:t>1套</w:t>
            </w:r>
          </w:p>
        </w:tc>
      </w:tr>
      <w:tr w14:paraId="4BA1D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417" w:type="dxa"/>
            <w:tcBorders>
              <w:top w:val="single" w:color="auto" w:sz="4" w:space="0"/>
              <w:left w:val="single" w:color="auto" w:sz="4" w:space="0"/>
              <w:bottom w:val="single" w:color="auto" w:sz="4" w:space="0"/>
              <w:right w:val="single" w:color="auto" w:sz="4" w:space="0"/>
            </w:tcBorders>
            <w:vAlign w:val="center"/>
          </w:tcPr>
          <w:p w14:paraId="6E21CD30">
            <w:pPr>
              <w:widowControl/>
              <w:adjustRightInd w:val="0"/>
              <w:snapToGrid w:val="0"/>
              <w:spacing w:line="360" w:lineRule="auto"/>
              <w:rPr>
                <w:rFonts w:ascii="宋体" w:hAnsi="宋体" w:eastAsia="宋体"/>
                <w:sz w:val="20"/>
                <w:szCs w:val="20"/>
              </w:rPr>
            </w:pPr>
            <w:r>
              <w:rPr>
                <w:rFonts w:hint="eastAsia" w:ascii="宋体" w:hAnsi="宋体" w:eastAsia="宋体" w:cs="仿宋"/>
                <w:kern w:val="0"/>
                <w:sz w:val="20"/>
                <w:szCs w:val="20"/>
                <w:lang w:bidi="ar"/>
              </w:rPr>
              <w:t>5</w:t>
            </w:r>
          </w:p>
        </w:tc>
        <w:tc>
          <w:tcPr>
            <w:tcW w:w="696" w:type="dxa"/>
            <w:tcBorders>
              <w:top w:val="single" w:color="auto" w:sz="4" w:space="0"/>
              <w:left w:val="single" w:color="auto" w:sz="4" w:space="0"/>
              <w:bottom w:val="single" w:color="auto" w:sz="4" w:space="0"/>
              <w:right w:val="single" w:color="auto" w:sz="4" w:space="0"/>
            </w:tcBorders>
            <w:vAlign w:val="center"/>
          </w:tcPr>
          <w:p w14:paraId="3B607065">
            <w:pPr>
              <w:widowControl/>
              <w:adjustRightInd w:val="0"/>
              <w:snapToGrid w:val="0"/>
              <w:spacing w:line="360" w:lineRule="auto"/>
              <w:jc w:val="center"/>
              <w:rPr>
                <w:rFonts w:ascii="宋体" w:hAnsi="宋体" w:eastAsia="宋体"/>
                <w:sz w:val="20"/>
                <w:szCs w:val="20"/>
              </w:rPr>
            </w:pPr>
            <w:r>
              <w:rPr>
                <w:rFonts w:hint="eastAsia" w:ascii="宋体" w:hAnsi="宋体" w:eastAsia="宋体" w:cs="仿宋"/>
                <w:kern w:val="0"/>
                <w:sz w:val="20"/>
                <w:szCs w:val="20"/>
                <w:lang w:bidi="ar"/>
              </w:rPr>
              <w:t>彩色数码复合机</w:t>
            </w:r>
          </w:p>
        </w:tc>
        <w:tc>
          <w:tcPr>
            <w:tcW w:w="6026" w:type="dxa"/>
            <w:tcBorders>
              <w:top w:val="single" w:color="auto" w:sz="4" w:space="0"/>
              <w:left w:val="single" w:color="auto" w:sz="4" w:space="0"/>
              <w:bottom w:val="single" w:color="auto" w:sz="4" w:space="0"/>
              <w:right w:val="single" w:color="auto" w:sz="4" w:space="0"/>
            </w:tcBorders>
            <w:vAlign w:val="center"/>
          </w:tcPr>
          <w:p w14:paraId="4C52E0D3">
            <w:pPr>
              <w:pStyle w:val="5"/>
              <w:rPr>
                <w:rFonts w:hint="default"/>
              </w:rPr>
            </w:pPr>
            <w:r>
              <w:t>▲1.原稿尺寸：≥A3；</w:t>
            </w:r>
          </w:p>
          <w:p w14:paraId="6379F2C1">
            <w:pPr>
              <w:pStyle w:val="5"/>
              <w:rPr>
                <w:rFonts w:hint="default"/>
              </w:rPr>
            </w:pPr>
            <w:r>
              <w:t>▲2.功能：彩色自动双面打印、复印、扫描，含工作台；</w:t>
            </w:r>
          </w:p>
          <w:p w14:paraId="17CEE267">
            <w:pPr>
              <w:pStyle w:val="5"/>
              <w:rPr>
                <w:rFonts w:hint="default"/>
              </w:rPr>
            </w:pPr>
            <w:r>
              <w:t>▲3.输出速度：≥25张/分钟；</w:t>
            </w:r>
          </w:p>
          <w:p w14:paraId="58C5FD13">
            <w:pPr>
              <w:pStyle w:val="5"/>
              <w:rPr>
                <w:rFonts w:hint="default"/>
              </w:rPr>
            </w:pPr>
            <w:r>
              <w:t>4.分辨率：≥600*600dpi；</w:t>
            </w:r>
          </w:p>
          <w:p w14:paraId="63D4EF41">
            <w:pPr>
              <w:pStyle w:val="5"/>
              <w:rPr>
                <w:rFonts w:hint="default"/>
              </w:rPr>
            </w:pPr>
            <w:r>
              <w:t>5.纸张容量：≥1100张；</w:t>
            </w:r>
          </w:p>
          <w:p w14:paraId="37389100">
            <w:pPr>
              <w:pStyle w:val="5"/>
              <w:rPr>
                <w:rFonts w:hint="default"/>
              </w:rPr>
            </w:pPr>
            <w:r>
              <w:t>▲6.适配国产操作系统；</w:t>
            </w:r>
          </w:p>
        </w:tc>
        <w:tc>
          <w:tcPr>
            <w:tcW w:w="671" w:type="dxa"/>
            <w:tcBorders>
              <w:top w:val="single" w:color="auto" w:sz="4" w:space="0"/>
              <w:left w:val="single" w:color="auto" w:sz="4" w:space="0"/>
              <w:bottom w:val="single" w:color="auto" w:sz="4" w:space="0"/>
              <w:right w:val="single" w:color="auto" w:sz="4" w:space="0"/>
            </w:tcBorders>
            <w:vAlign w:val="center"/>
          </w:tcPr>
          <w:p w14:paraId="38AFDE6D">
            <w:pPr>
              <w:widowControl/>
              <w:adjustRightInd w:val="0"/>
              <w:snapToGrid w:val="0"/>
              <w:spacing w:line="360" w:lineRule="auto"/>
              <w:jc w:val="center"/>
              <w:rPr>
                <w:rFonts w:ascii="宋体" w:hAnsi="宋体" w:eastAsia="宋体" w:cs="宋体"/>
                <w:bCs/>
                <w:kern w:val="0"/>
                <w:sz w:val="20"/>
                <w:szCs w:val="20"/>
              </w:rPr>
            </w:pPr>
            <w:r>
              <w:rPr>
                <w:rFonts w:hint="eastAsia" w:ascii="宋体" w:hAnsi="宋体" w:eastAsia="宋体" w:cs="仿宋"/>
                <w:kern w:val="0"/>
                <w:sz w:val="20"/>
                <w:szCs w:val="20"/>
                <w:lang w:bidi="ar"/>
              </w:rPr>
              <w:t>3台</w:t>
            </w:r>
          </w:p>
        </w:tc>
      </w:tr>
      <w:tr w14:paraId="037FA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417" w:type="dxa"/>
            <w:tcBorders>
              <w:top w:val="single" w:color="auto" w:sz="4" w:space="0"/>
              <w:left w:val="single" w:color="auto" w:sz="4" w:space="0"/>
              <w:bottom w:val="single" w:color="auto" w:sz="4" w:space="0"/>
              <w:right w:val="single" w:color="auto" w:sz="4" w:space="0"/>
            </w:tcBorders>
            <w:vAlign w:val="center"/>
          </w:tcPr>
          <w:p w14:paraId="6FE39310">
            <w:pPr>
              <w:widowControl/>
              <w:adjustRightInd w:val="0"/>
              <w:snapToGrid w:val="0"/>
              <w:spacing w:line="360" w:lineRule="auto"/>
              <w:rPr>
                <w:rFonts w:ascii="宋体" w:hAnsi="宋体" w:eastAsia="宋体"/>
                <w:sz w:val="20"/>
                <w:szCs w:val="20"/>
              </w:rPr>
            </w:pPr>
            <w:r>
              <w:rPr>
                <w:rFonts w:hint="eastAsia" w:ascii="宋体" w:hAnsi="宋体" w:eastAsia="宋体" w:cs="仿宋"/>
                <w:kern w:val="0"/>
                <w:sz w:val="20"/>
                <w:szCs w:val="20"/>
                <w:lang w:bidi="ar"/>
              </w:rPr>
              <w:t>6</w:t>
            </w:r>
          </w:p>
        </w:tc>
        <w:tc>
          <w:tcPr>
            <w:tcW w:w="696" w:type="dxa"/>
            <w:tcBorders>
              <w:top w:val="single" w:color="auto" w:sz="4" w:space="0"/>
              <w:left w:val="single" w:color="auto" w:sz="4" w:space="0"/>
              <w:bottom w:val="single" w:color="auto" w:sz="4" w:space="0"/>
              <w:right w:val="single" w:color="auto" w:sz="4" w:space="0"/>
            </w:tcBorders>
            <w:vAlign w:val="center"/>
          </w:tcPr>
          <w:p w14:paraId="0F36BCDF">
            <w:pPr>
              <w:widowControl/>
              <w:adjustRightInd w:val="0"/>
              <w:snapToGrid w:val="0"/>
              <w:spacing w:line="360" w:lineRule="auto"/>
              <w:jc w:val="center"/>
              <w:rPr>
                <w:rFonts w:ascii="宋体" w:hAnsi="宋体" w:eastAsia="宋体"/>
                <w:sz w:val="20"/>
                <w:szCs w:val="20"/>
              </w:rPr>
            </w:pPr>
            <w:r>
              <w:rPr>
                <w:rFonts w:hint="eastAsia" w:ascii="宋体" w:hAnsi="宋体" w:eastAsia="宋体" w:cs="仿宋"/>
                <w:kern w:val="0"/>
                <w:sz w:val="20"/>
                <w:szCs w:val="20"/>
                <w:lang w:bidi="ar"/>
              </w:rPr>
              <w:t>瘦终端</w:t>
            </w:r>
          </w:p>
        </w:tc>
        <w:tc>
          <w:tcPr>
            <w:tcW w:w="6026" w:type="dxa"/>
            <w:tcBorders>
              <w:top w:val="single" w:color="auto" w:sz="4" w:space="0"/>
              <w:left w:val="single" w:color="auto" w:sz="4" w:space="0"/>
              <w:bottom w:val="single" w:color="auto" w:sz="4" w:space="0"/>
              <w:right w:val="single" w:color="auto" w:sz="4" w:space="0"/>
            </w:tcBorders>
            <w:vAlign w:val="center"/>
          </w:tcPr>
          <w:p w14:paraId="1E4CC05D">
            <w:pPr>
              <w:pStyle w:val="5"/>
              <w:rPr>
                <w:rFonts w:hint="default"/>
              </w:rPr>
            </w:pPr>
            <w:r>
              <w:t>一、国产，双网盒子，瘦终端技术要求：</w:t>
            </w:r>
          </w:p>
          <w:p w14:paraId="4F723470">
            <w:pPr>
              <w:pStyle w:val="5"/>
              <w:rPr>
                <w:rFonts w:hint="default"/>
              </w:rPr>
            </w:pPr>
            <w:r>
              <w:t>▲1.国产化CPU，主频≥2.0GHz ，内存≥2GB，硬盘容量≥8GB；接口≥2千兆电口，接口≥1*VGA+1*HDMI，USB≥2*USB2.04*USB3.0，具备网络切换器。</w:t>
            </w:r>
          </w:p>
          <w:p w14:paraId="38330708">
            <w:pPr>
              <w:pStyle w:val="5"/>
              <w:rPr>
                <w:rFonts w:hint="default"/>
              </w:rPr>
            </w:pPr>
            <w:r>
              <w:t>2.支持通过单位现网管理平台管理桌面云和瘦终端。支持分组管理、批量移动、删除、关闭瘦终端，支持配置定时开关机计划及加电自启动功能，支持自定义开机画面、配置自动登录和保存密码。</w:t>
            </w:r>
          </w:p>
          <w:p w14:paraId="118D2285">
            <w:pPr>
              <w:pStyle w:val="5"/>
              <w:rPr>
                <w:rFonts w:hint="default"/>
              </w:rPr>
            </w:pPr>
            <w:r>
              <w:t>二、虚拟化管理接入授权参数：</w:t>
            </w:r>
          </w:p>
          <w:p w14:paraId="326DAEDA">
            <w:pPr>
              <w:pStyle w:val="5"/>
              <w:rPr>
                <w:rFonts w:hint="default"/>
              </w:rPr>
            </w:pPr>
            <w:r>
              <w:t>▲1.提供VDI并发用户连接授权，支持发布专有桌面、还原桌面（包括池化桌面）、共享桌面、远程应用和TCI终端至少6种桌面资源，满足不同场景的应用需求。</w:t>
            </w:r>
          </w:p>
          <w:p w14:paraId="4DD81785">
            <w:pPr>
              <w:pStyle w:val="5"/>
              <w:rPr>
                <w:rFonts w:hint="default"/>
              </w:rPr>
            </w:pPr>
            <w:r>
              <w:t>2.支持还原桌面用户在重启虚拟机桌面的情况或管理员通过模版更新虚拟机的情况，用户之前的个性化配置(如输入法配置等)还能够继续保留使用。</w:t>
            </w:r>
          </w:p>
          <w:p w14:paraId="7092D08D">
            <w:pPr>
              <w:pStyle w:val="5"/>
              <w:rPr>
                <w:rFonts w:hint="default"/>
              </w:rPr>
            </w:pPr>
            <w:r>
              <w:t>3.客户端连接虚拟桌面无需依赖虚拟机 IP，如禁用虚机网卡或者随意更改IP，桌面会话不会中断，用户可以正常办公，避免因误操作。</w:t>
            </w:r>
          </w:p>
        </w:tc>
        <w:tc>
          <w:tcPr>
            <w:tcW w:w="671" w:type="dxa"/>
            <w:tcBorders>
              <w:top w:val="single" w:color="auto" w:sz="4" w:space="0"/>
              <w:left w:val="single" w:color="auto" w:sz="4" w:space="0"/>
              <w:bottom w:val="single" w:color="auto" w:sz="4" w:space="0"/>
              <w:right w:val="single" w:color="auto" w:sz="4" w:space="0"/>
            </w:tcBorders>
            <w:vAlign w:val="center"/>
          </w:tcPr>
          <w:p w14:paraId="57E7389B">
            <w:pPr>
              <w:widowControl/>
              <w:adjustRightInd w:val="0"/>
              <w:snapToGrid w:val="0"/>
              <w:spacing w:line="360" w:lineRule="auto"/>
              <w:jc w:val="center"/>
              <w:rPr>
                <w:rFonts w:ascii="宋体" w:hAnsi="宋体" w:eastAsia="宋体" w:cs="宋体"/>
                <w:bCs/>
                <w:kern w:val="0"/>
                <w:sz w:val="20"/>
                <w:szCs w:val="20"/>
              </w:rPr>
            </w:pPr>
            <w:r>
              <w:rPr>
                <w:rFonts w:hint="eastAsia" w:ascii="宋体" w:hAnsi="宋体" w:eastAsia="宋体" w:cs="仿宋"/>
                <w:kern w:val="0"/>
                <w:sz w:val="20"/>
                <w:szCs w:val="20"/>
                <w:lang w:bidi="ar"/>
              </w:rPr>
              <w:t>19套</w:t>
            </w:r>
          </w:p>
        </w:tc>
      </w:tr>
      <w:tr w14:paraId="78AAA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417" w:type="dxa"/>
            <w:tcBorders>
              <w:top w:val="single" w:color="auto" w:sz="4" w:space="0"/>
              <w:left w:val="single" w:color="auto" w:sz="4" w:space="0"/>
              <w:bottom w:val="single" w:color="auto" w:sz="4" w:space="0"/>
              <w:right w:val="single" w:color="auto" w:sz="4" w:space="0"/>
            </w:tcBorders>
            <w:vAlign w:val="center"/>
          </w:tcPr>
          <w:p w14:paraId="71F3FA78">
            <w:pPr>
              <w:widowControl/>
              <w:adjustRightInd w:val="0"/>
              <w:snapToGrid w:val="0"/>
              <w:spacing w:line="360" w:lineRule="auto"/>
              <w:rPr>
                <w:rFonts w:ascii="宋体" w:hAnsi="宋体" w:eastAsia="宋体"/>
                <w:sz w:val="20"/>
                <w:szCs w:val="20"/>
              </w:rPr>
            </w:pPr>
            <w:r>
              <w:rPr>
                <w:rFonts w:hint="eastAsia" w:ascii="宋体" w:hAnsi="宋体" w:eastAsia="宋体" w:cs="仿宋"/>
                <w:sz w:val="20"/>
                <w:szCs w:val="20"/>
              </w:rPr>
              <w:t>7</w:t>
            </w:r>
          </w:p>
        </w:tc>
        <w:tc>
          <w:tcPr>
            <w:tcW w:w="696" w:type="dxa"/>
            <w:tcBorders>
              <w:top w:val="single" w:color="auto" w:sz="4" w:space="0"/>
              <w:left w:val="single" w:color="auto" w:sz="4" w:space="0"/>
              <w:bottom w:val="single" w:color="auto" w:sz="4" w:space="0"/>
              <w:right w:val="single" w:color="auto" w:sz="4" w:space="0"/>
            </w:tcBorders>
            <w:vAlign w:val="center"/>
          </w:tcPr>
          <w:p w14:paraId="04F17614">
            <w:pPr>
              <w:widowControl/>
              <w:adjustRightInd w:val="0"/>
              <w:snapToGrid w:val="0"/>
              <w:spacing w:line="360" w:lineRule="auto"/>
              <w:jc w:val="center"/>
              <w:rPr>
                <w:rFonts w:ascii="宋体" w:hAnsi="宋体" w:eastAsia="宋体"/>
                <w:sz w:val="20"/>
                <w:szCs w:val="20"/>
              </w:rPr>
            </w:pPr>
            <w:r>
              <w:rPr>
                <w:rFonts w:hint="eastAsia" w:ascii="宋体" w:hAnsi="宋体" w:eastAsia="宋体" w:cs="仿宋"/>
                <w:kern w:val="0"/>
                <w:sz w:val="20"/>
                <w:szCs w:val="20"/>
                <w:lang w:bidi="ar"/>
              </w:rPr>
              <w:t>扫描仪</w:t>
            </w:r>
          </w:p>
        </w:tc>
        <w:tc>
          <w:tcPr>
            <w:tcW w:w="6026" w:type="dxa"/>
            <w:tcBorders>
              <w:top w:val="single" w:color="auto" w:sz="4" w:space="0"/>
              <w:left w:val="single" w:color="auto" w:sz="4" w:space="0"/>
              <w:bottom w:val="single" w:color="auto" w:sz="4" w:space="0"/>
              <w:right w:val="single" w:color="auto" w:sz="4" w:space="0"/>
            </w:tcBorders>
            <w:vAlign w:val="center"/>
          </w:tcPr>
          <w:p w14:paraId="3F3C8322">
            <w:pPr>
              <w:pStyle w:val="5"/>
              <w:rPr>
                <w:rFonts w:hint="default"/>
              </w:rPr>
            </w:pPr>
            <w:r>
              <w:t>▲1.扫描类型：彩色自动馈纸双面扫描仪；</w:t>
            </w:r>
          </w:p>
          <w:p w14:paraId="7A967FAC">
            <w:pPr>
              <w:pStyle w:val="5"/>
              <w:rPr>
                <w:rFonts w:hint="default"/>
              </w:rPr>
            </w:pPr>
            <w:r>
              <w:t>2.幅面：≥A4；</w:t>
            </w:r>
          </w:p>
          <w:p w14:paraId="4CA53056">
            <w:pPr>
              <w:pStyle w:val="5"/>
              <w:rPr>
                <w:rFonts w:hint="default"/>
              </w:rPr>
            </w:pPr>
            <w:r>
              <w:t>3.分辨率：≥600dpi；</w:t>
            </w:r>
          </w:p>
          <w:p w14:paraId="1081DA27">
            <w:pPr>
              <w:pStyle w:val="5"/>
              <w:rPr>
                <w:rFonts w:hint="default"/>
              </w:rPr>
            </w:pPr>
            <w:r>
              <w:t>▲4.扫描速度：≥100ppm；</w:t>
            </w:r>
          </w:p>
          <w:p w14:paraId="66D1D838">
            <w:pPr>
              <w:pStyle w:val="5"/>
              <w:rPr>
                <w:rFonts w:hint="default"/>
              </w:rPr>
            </w:pPr>
            <w:r>
              <w:t>5.具备重张检测功能；</w:t>
            </w:r>
          </w:p>
          <w:p w14:paraId="29502208">
            <w:pPr>
              <w:pStyle w:val="5"/>
              <w:rPr>
                <w:rFonts w:hint="default"/>
              </w:rPr>
            </w:pPr>
            <w:r>
              <w:t>6.送纸器容量：≥ 100页；</w:t>
            </w:r>
          </w:p>
          <w:p w14:paraId="26BCB886">
            <w:pPr>
              <w:pStyle w:val="5"/>
              <w:rPr>
                <w:rFonts w:hint="default"/>
              </w:rPr>
            </w:pPr>
            <w:r>
              <w:t>7.适配国产操作系统；</w:t>
            </w:r>
          </w:p>
        </w:tc>
        <w:tc>
          <w:tcPr>
            <w:tcW w:w="671" w:type="dxa"/>
            <w:tcBorders>
              <w:top w:val="single" w:color="auto" w:sz="4" w:space="0"/>
              <w:left w:val="single" w:color="auto" w:sz="4" w:space="0"/>
              <w:bottom w:val="single" w:color="auto" w:sz="4" w:space="0"/>
              <w:right w:val="single" w:color="auto" w:sz="4" w:space="0"/>
            </w:tcBorders>
            <w:vAlign w:val="center"/>
          </w:tcPr>
          <w:p w14:paraId="31563B0E">
            <w:pPr>
              <w:widowControl/>
              <w:adjustRightInd w:val="0"/>
              <w:snapToGrid w:val="0"/>
              <w:spacing w:line="360" w:lineRule="auto"/>
              <w:jc w:val="center"/>
              <w:rPr>
                <w:rFonts w:ascii="宋体" w:hAnsi="宋体" w:eastAsia="宋体" w:cs="宋体"/>
                <w:bCs/>
                <w:kern w:val="0"/>
                <w:sz w:val="20"/>
                <w:szCs w:val="20"/>
              </w:rPr>
            </w:pPr>
            <w:r>
              <w:rPr>
                <w:rFonts w:hint="eastAsia" w:ascii="宋体" w:hAnsi="宋体" w:eastAsia="宋体" w:cs="仿宋"/>
                <w:sz w:val="20"/>
                <w:szCs w:val="20"/>
              </w:rPr>
              <w:t>1台</w:t>
            </w:r>
          </w:p>
        </w:tc>
      </w:tr>
      <w:tr w14:paraId="4EAD8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417" w:type="dxa"/>
            <w:tcBorders>
              <w:top w:val="single" w:color="auto" w:sz="4" w:space="0"/>
              <w:left w:val="single" w:color="auto" w:sz="4" w:space="0"/>
              <w:bottom w:val="single" w:color="auto" w:sz="4" w:space="0"/>
              <w:right w:val="single" w:color="auto" w:sz="4" w:space="0"/>
            </w:tcBorders>
            <w:vAlign w:val="center"/>
          </w:tcPr>
          <w:p w14:paraId="587A14B1">
            <w:pPr>
              <w:widowControl/>
              <w:adjustRightInd w:val="0"/>
              <w:snapToGrid w:val="0"/>
              <w:spacing w:line="360" w:lineRule="auto"/>
              <w:rPr>
                <w:rFonts w:ascii="宋体" w:hAnsi="宋体" w:eastAsia="宋体"/>
                <w:sz w:val="20"/>
                <w:szCs w:val="20"/>
              </w:rPr>
            </w:pPr>
            <w:r>
              <w:rPr>
                <w:rFonts w:hint="eastAsia" w:ascii="宋体" w:hAnsi="宋体" w:eastAsia="宋体" w:cs="仿宋"/>
                <w:kern w:val="0"/>
                <w:sz w:val="20"/>
                <w:szCs w:val="20"/>
                <w:lang w:bidi="ar"/>
              </w:rPr>
              <w:t>8</w:t>
            </w:r>
          </w:p>
        </w:tc>
        <w:tc>
          <w:tcPr>
            <w:tcW w:w="696" w:type="dxa"/>
            <w:tcBorders>
              <w:top w:val="single" w:color="auto" w:sz="4" w:space="0"/>
              <w:left w:val="single" w:color="auto" w:sz="4" w:space="0"/>
              <w:bottom w:val="single" w:color="auto" w:sz="4" w:space="0"/>
              <w:right w:val="single" w:color="auto" w:sz="4" w:space="0"/>
            </w:tcBorders>
            <w:vAlign w:val="center"/>
          </w:tcPr>
          <w:p w14:paraId="17234D01">
            <w:pPr>
              <w:widowControl/>
              <w:adjustRightInd w:val="0"/>
              <w:snapToGrid w:val="0"/>
              <w:spacing w:line="360" w:lineRule="auto"/>
              <w:jc w:val="center"/>
              <w:rPr>
                <w:rFonts w:ascii="宋体" w:hAnsi="宋体" w:eastAsia="宋体"/>
                <w:sz w:val="20"/>
                <w:szCs w:val="20"/>
              </w:rPr>
            </w:pPr>
            <w:r>
              <w:rPr>
                <w:rFonts w:hint="eastAsia" w:ascii="宋体" w:hAnsi="宋体" w:eastAsia="宋体" w:cs="仿宋"/>
                <w:kern w:val="0"/>
                <w:sz w:val="20"/>
                <w:szCs w:val="20"/>
                <w:lang w:bidi="ar"/>
              </w:rPr>
              <w:t>一体机</w:t>
            </w:r>
          </w:p>
        </w:tc>
        <w:tc>
          <w:tcPr>
            <w:tcW w:w="6026" w:type="dxa"/>
            <w:tcBorders>
              <w:top w:val="single" w:color="auto" w:sz="4" w:space="0"/>
              <w:left w:val="single" w:color="auto" w:sz="4" w:space="0"/>
              <w:bottom w:val="single" w:color="auto" w:sz="4" w:space="0"/>
              <w:right w:val="single" w:color="auto" w:sz="4" w:space="0"/>
            </w:tcBorders>
            <w:vAlign w:val="center"/>
          </w:tcPr>
          <w:p w14:paraId="69AB4AFD">
            <w:pPr>
              <w:pStyle w:val="5"/>
              <w:rPr>
                <w:rFonts w:hint="default"/>
              </w:rPr>
            </w:pPr>
            <w:r>
              <w:t xml:space="preserve">▲1. CPU：国产处理器，8核 </w:t>
            </w:r>
            <w:r>
              <w:br w:type="textWrapping"/>
            </w:r>
            <w:r>
              <w:t>2.内存：≥16G DDR4</w:t>
            </w:r>
          </w:p>
          <w:p w14:paraId="4165F1EF">
            <w:pPr>
              <w:pStyle w:val="5"/>
              <w:rPr>
                <w:rFonts w:hint="default"/>
              </w:rPr>
            </w:pPr>
            <w:r>
              <w:t>3.硬盘：≥512G固态硬盘</w:t>
            </w:r>
          </w:p>
          <w:p w14:paraId="554CCD90">
            <w:pPr>
              <w:pStyle w:val="5"/>
              <w:rPr>
                <w:rFonts w:hint="default"/>
              </w:rPr>
            </w:pPr>
            <w:r>
              <w:t>4.其他：含麦克风、扬声器、摄像头</w:t>
            </w:r>
          </w:p>
          <w:p w14:paraId="0B3FBA5C">
            <w:pPr>
              <w:pStyle w:val="5"/>
              <w:rPr>
                <w:rFonts w:hint="default"/>
              </w:rPr>
            </w:pPr>
            <w:r>
              <w:t>▲5.操作系统：支持国产操作系统</w:t>
            </w:r>
          </w:p>
          <w:p w14:paraId="14F431E5">
            <w:pPr>
              <w:pStyle w:val="5"/>
              <w:rPr>
                <w:rFonts w:hint="default"/>
              </w:rPr>
            </w:pPr>
            <w:r>
              <w:t xml:space="preserve">6.尺寸：≥23.8英寸，1920*1080 </w:t>
            </w:r>
          </w:p>
        </w:tc>
        <w:tc>
          <w:tcPr>
            <w:tcW w:w="671" w:type="dxa"/>
            <w:tcBorders>
              <w:top w:val="single" w:color="auto" w:sz="4" w:space="0"/>
              <w:left w:val="single" w:color="auto" w:sz="4" w:space="0"/>
              <w:bottom w:val="single" w:color="auto" w:sz="4" w:space="0"/>
              <w:right w:val="single" w:color="auto" w:sz="4" w:space="0"/>
            </w:tcBorders>
            <w:vAlign w:val="center"/>
          </w:tcPr>
          <w:p w14:paraId="31353E99">
            <w:pPr>
              <w:widowControl/>
              <w:adjustRightInd w:val="0"/>
              <w:snapToGrid w:val="0"/>
              <w:spacing w:line="360" w:lineRule="auto"/>
              <w:jc w:val="center"/>
              <w:rPr>
                <w:rFonts w:ascii="宋体" w:hAnsi="宋体" w:eastAsia="宋体" w:cs="宋体"/>
                <w:bCs/>
                <w:kern w:val="0"/>
                <w:sz w:val="20"/>
                <w:szCs w:val="20"/>
              </w:rPr>
            </w:pPr>
            <w:r>
              <w:rPr>
                <w:rFonts w:hint="eastAsia" w:ascii="宋体" w:hAnsi="宋体" w:eastAsia="宋体" w:cs="仿宋"/>
                <w:kern w:val="0"/>
                <w:sz w:val="20"/>
                <w:szCs w:val="20"/>
                <w:lang w:bidi="ar"/>
              </w:rPr>
              <w:t>3台</w:t>
            </w:r>
          </w:p>
        </w:tc>
      </w:tr>
      <w:tr w14:paraId="6E45E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417" w:type="dxa"/>
            <w:tcBorders>
              <w:top w:val="single" w:color="auto" w:sz="4" w:space="0"/>
              <w:left w:val="single" w:color="auto" w:sz="4" w:space="0"/>
              <w:bottom w:val="single" w:color="auto" w:sz="4" w:space="0"/>
              <w:right w:val="single" w:color="auto" w:sz="4" w:space="0"/>
            </w:tcBorders>
            <w:vAlign w:val="center"/>
          </w:tcPr>
          <w:p w14:paraId="76DF11F2">
            <w:pPr>
              <w:widowControl/>
              <w:adjustRightInd w:val="0"/>
              <w:snapToGrid w:val="0"/>
              <w:spacing w:line="360" w:lineRule="auto"/>
              <w:rPr>
                <w:rFonts w:ascii="宋体" w:hAnsi="宋体" w:eastAsia="宋体"/>
                <w:sz w:val="20"/>
                <w:szCs w:val="20"/>
              </w:rPr>
            </w:pPr>
            <w:r>
              <w:rPr>
                <w:rFonts w:hint="eastAsia" w:ascii="宋体" w:hAnsi="宋体" w:eastAsia="宋体" w:cs="仿宋"/>
                <w:kern w:val="0"/>
                <w:sz w:val="20"/>
                <w:szCs w:val="20"/>
                <w:lang w:bidi="ar"/>
              </w:rPr>
              <w:t>9</w:t>
            </w:r>
          </w:p>
        </w:tc>
        <w:tc>
          <w:tcPr>
            <w:tcW w:w="696" w:type="dxa"/>
            <w:tcBorders>
              <w:top w:val="single" w:color="auto" w:sz="4" w:space="0"/>
              <w:left w:val="single" w:color="auto" w:sz="4" w:space="0"/>
              <w:bottom w:val="single" w:color="auto" w:sz="4" w:space="0"/>
              <w:right w:val="single" w:color="auto" w:sz="4" w:space="0"/>
            </w:tcBorders>
            <w:vAlign w:val="center"/>
          </w:tcPr>
          <w:p w14:paraId="2329AE0A">
            <w:pPr>
              <w:widowControl/>
              <w:adjustRightInd w:val="0"/>
              <w:snapToGrid w:val="0"/>
              <w:spacing w:line="360" w:lineRule="auto"/>
              <w:jc w:val="center"/>
              <w:rPr>
                <w:rFonts w:ascii="宋体" w:hAnsi="宋体" w:eastAsia="宋体"/>
                <w:sz w:val="20"/>
                <w:szCs w:val="20"/>
              </w:rPr>
            </w:pPr>
            <w:r>
              <w:rPr>
                <w:rFonts w:hint="eastAsia" w:ascii="宋体" w:hAnsi="宋体" w:eastAsia="宋体" w:cs="仿宋"/>
                <w:kern w:val="0"/>
                <w:sz w:val="20"/>
                <w:szCs w:val="20"/>
                <w:lang w:bidi="ar"/>
              </w:rPr>
              <w:t>审委会笔录信息签字交互平板（含签名信息交互软件）</w:t>
            </w:r>
          </w:p>
        </w:tc>
        <w:tc>
          <w:tcPr>
            <w:tcW w:w="6026" w:type="dxa"/>
            <w:tcBorders>
              <w:top w:val="single" w:color="auto" w:sz="4" w:space="0"/>
              <w:left w:val="single" w:color="auto" w:sz="4" w:space="0"/>
              <w:bottom w:val="single" w:color="auto" w:sz="4" w:space="0"/>
              <w:right w:val="single" w:color="auto" w:sz="4" w:space="0"/>
            </w:tcBorders>
            <w:vAlign w:val="center"/>
          </w:tcPr>
          <w:p w14:paraId="1DEBC8AB">
            <w:pPr>
              <w:pStyle w:val="5"/>
              <w:rPr>
                <w:rFonts w:hint="default"/>
              </w:rPr>
            </w:pPr>
            <w:r>
              <w:t>1.多功能信息交互终端，≥10寸大屏高清显示，画面清晰流畅；流线型窄边框机身设计，隐藏式撑脚，可自然调节倾斜角度；</w:t>
            </w:r>
          </w:p>
          <w:p w14:paraId="302DE6F0">
            <w:pPr>
              <w:pStyle w:val="5"/>
              <w:rPr>
                <w:rFonts w:hint="default"/>
              </w:rPr>
            </w:pPr>
            <w:r>
              <w:t>2.CPU：≥四核Cortex-A17，频率高达1.8GHz；系统：≥Android 7；系统内存：≥4GB DDR3；存储：≥128GB；屏幕尺寸：≥10寸，支持10点电容触控；分辨率：≥1280x800；</w:t>
            </w:r>
          </w:p>
          <w:p w14:paraId="475BEF78">
            <w:pPr>
              <w:pStyle w:val="5"/>
              <w:rPr>
                <w:rFonts w:hint="default"/>
              </w:rPr>
            </w:pPr>
            <w:r>
              <w:t>3.双控屏：电容屏和电磁屏；支持无源电磁笔，笔尖可替换；支持指纹模块、扬声器和麦克风；</w:t>
            </w:r>
          </w:p>
          <w:p w14:paraId="625C932D">
            <w:pPr>
              <w:pStyle w:val="5"/>
              <w:rPr>
                <w:rFonts w:hint="default"/>
              </w:rPr>
            </w:pPr>
            <w:r>
              <w:t>4.必须和审委会业务平台对接，支持审委会软件下发文书并且签字指纹按捺回传至审委会平台</w:t>
            </w:r>
          </w:p>
        </w:tc>
        <w:tc>
          <w:tcPr>
            <w:tcW w:w="671" w:type="dxa"/>
            <w:tcBorders>
              <w:top w:val="single" w:color="auto" w:sz="4" w:space="0"/>
              <w:left w:val="single" w:color="auto" w:sz="4" w:space="0"/>
              <w:bottom w:val="single" w:color="auto" w:sz="4" w:space="0"/>
              <w:right w:val="single" w:color="auto" w:sz="4" w:space="0"/>
            </w:tcBorders>
            <w:vAlign w:val="center"/>
          </w:tcPr>
          <w:p w14:paraId="4D9CAAF2">
            <w:pPr>
              <w:widowControl/>
              <w:adjustRightInd w:val="0"/>
              <w:snapToGrid w:val="0"/>
              <w:spacing w:line="360" w:lineRule="auto"/>
              <w:jc w:val="center"/>
              <w:rPr>
                <w:rFonts w:ascii="宋体" w:hAnsi="宋体" w:eastAsia="宋体" w:cs="宋体"/>
                <w:bCs/>
                <w:kern w:val="0"/>
                <w:sz w:val="20"/>
                <w:szCs w:val="20"/>
              </w:rPr>
            </w:pPr>
            <w:r>
              <w:rPr>
                <w:rFonts w:hint="eastAsia" w:ascii="宋体" w:hAnsi="宋体" w:eastAsia="宋体" w:cs="仿宋"/>
                <w:kern w:val="0"/>
                <w:sz w:val="20"/>
                <w:szCs w:val="20"/>
                <w:lang w:bidi="ar"/>
              </w:rPr>
              <w:t>16台</w:t>
            </w:r>
          </w:p>
        </w:tc>
      </w:tr>
      <w:tr w14:paraId="2B8F8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417" w:type="dxa"/>
            <w:tcBorders>
              <w:top w:val="single" w:color="auto" w:sz="4" w:space="0"/>
              <w:left w:val="single" w:color="auto" w:sz="4" w:space="0"/>
              <w:bottom w:val="single" w:color="auto" w:sz="4" w:space="0"/>
              <w:right w:val="single" w:color="auto" w:sz="4" w:space="0"/>
            </w:tcBorders>
            <w:vAlign w:val="center"/>
          </w:tcPr>
          <w:p w14:paraId="6EA4B175">
            <w:pPr>
              <w:widowControl/>
              <w:adjustRightInd w:val="0"/>
              <w:snapToGrid w:val="0"/>
              <w:spacing w:line="360" w:lineRule="auto"/>
              <w:rPr>
                <w:rFonts w:ascii="宋体" w:hAnsi="宋体" w:eastAsia="宋体"/>
                <w:sz w:val="20"/>
                <w:szCs w:val="20"/>
              </w:rPr>
            </w:pPr>
            <w:r>
              <w:rPr>
                <w:rFonts w:hint="eastAsia" w:ascii="宋体" w:hAnsi="宋体" w:eastAsia="宋体" w:cs="仿宋"/>
                <w:kern w:val="0"/>
                <w:sz w:val="20"/>
                <w:szCs w:val="20"/>
                <w:lang w:bidi="ar"/>
              </w:rPr>
              <w:t>10</w:t>
            </w:r>
          </w:p>
        </w:tc>
        <w:tc>
          <w:tcPr>
            <w:tcW w:w="696" w:type="dxa"/>
            <w:tcBorders>
              <w:top w:val="single" w:color="auto" w:sz="4" w:space="0"/>
              <w:left w:val="single" w:color="auto" w:sz="4" w:space="0"/>
              <w:bottom w:val="single" w:color="auto" w:sz="4" w:space="0"/>
              <w:right w:val="single" w:color="auto" w:sz="4" w:space="0"/>
            </w:tcBorders>
            <w:vAlign w:val="center"/>
          </w:tcPr>
          <w:p w14:paraId="5954E0AB">
            <w:pPr>
              <w:widowControl/>
              <w:adjustRightInd w:val="0"/>
              <w:snapToGrid w:val="0"/>
              <w:spacing w:line="360" w:lineRule="auto"/>
              <w:jc w:val="center"/>
              <w:rPr>
                <w:rFonts w:ascii="宋体" w:hAnsi="宋体" w:eastAsia="宋体"/>
                <w:sz w:val="20"/>
                <w:szCs w:val="20"/>
              </w:rPr>
            </w:pPr>
            <w:r>
              <w:rPr>
                <w:rFonts w:hint="eastAsia" w:ascii="宋体" w:hAnsi="宋体" w:eastAsia="宋体" w:cs="仿宋"/>
                <w:kern w:val="0"/>
                <w:sz w:val="20"/>
                <w:szCs w:val="20"/>
                <w:lang w:bidi="ar"/>
              </w:rPr>
              <w:t>显示器</w:t>
            </w:r>
          </w:p>
        </w:tc>
        <w:tc>
          <w:tcPr>
            <w:tcW w:w="6026" w:type="dxa"/>
            <w:tcBorders>
              <w:top w:val="single" w:color="auto" w:sz="4" w:space="0"/>
              <w:left w:val="single" w:color="auto" w:sz="4" w:space="0"/>
              <w:bottom w:val="single" w:color="auto" w:sz="4" w:space="0"/>
              <w:right w:val="single" w:color="auto" w:sz="4" w:space="0"/>
            </w:tcBorders>
            <w:vAlign w:val="center"/>
          </w:tcPr>
          <w:p w14:paraId="1F40843D">
            <w:pPr>
              <w:pStyle w:val="5"/>
              <w:rPr>
                <w:rFonts w:hint="default"/>
              </w:rPr>
            </w:pPr>
            <w:r>
              <w:t>1.面板类型：液晶面板；</w:t>
            </w:r>
          </w:p>
          <w:p w14:paraId="7C14EDF0">
            <w:pPr>
              <w:pStyle w:val="5"/>
              <w:rPr>
                <w:rFonts w:hint="default"/>
              </w:rPr>
            </w:pPr>
            <w:r>
              <w:t>2.显示器类型：曲面屏；</w:t>
            </w:r>
          </w:p>
          <w:p w14:paraId="04FE7B8E">
            <w:pPr>
              <w:pStyle w:val="5"/>
              <w:rPr>
                <w:rFonts w:hint="default"/>
              </w:rPr>
            </w:pPr>
            <w:r>
              <w:t>3.屏幕尺寸：≥34英寸；</w:t>
            </w:r>
          </w:p>
          <w:p w14:paraId="278E2B2D">
            <w:pPr>
              <w:pStyle w:val="5"/>
              <w:rPr>
                <w:rFonts w:hint="default"/>
              </w:rPr>
            </w:pPr>
            <w:r>
              <w:t>4.屏幕长宽比：21：9；</w:t>
            </w:r>
          </w:p>
          <w:p w14:paraId="4E5FFC0A">
            <w:pPr>
              <w:pStyle w:val="5"/>
              <w:rPr>
                <w:rFonts w:hint="default"/>
              </w:rPr>
            </w:pPr>
            <w:r>
              <w:t>5.亮度：≥300 cd/㎡；</w:t>
            </w:r>
          </w:p>
        </w:tc>
        <w:tc>
          <w:tcPr>
            <w:tcW w:w="671" w:type="dxa"/>
            <w:tcBorders>
              <w:top w:val="single" w:color="auto" w:sz="4" w:space="0"/>
              <w:left w:val="single" w:color="auto" w:sz="4" w:space="0"/>
              <w:bottom w:val="single" w:color="auto" w:sz="4" w:space="0"/>
              <w:right w:val="single" w:color="auto" w:sz="4" w:space="0"/>
            </w:tcBorders>
            <w:vAlign w:val="center"/>
          </w:tcPr>
          <w:p w14:paraId="2DA30D8E">
            <w:pPr>
              <w:widowControl/>
              <w:adjustRightInd w:val="0"/>
              <w:snapToGrid w:val="0"/>
              <w:spacing w:line="360" w:lineRule="auto"/>
              <w:jc w:val="center"/>
              <w:rPr>
                <w:rFonts w:ascii="宋体" w:hAnsi="宋体" w:eastAsia="宋体" w:cs="宋体"/>
                <w:bCs/>
                <w:kern w:val="0"/>
                <w:sz w:val="20"/>
                <w:szCs w:val="20"/>
              </w:rPr>
            </w:pPr>
            <w:r>
              <w:rPr>
                <w:rFonts w:hint="eastAsia" w:ascii="宋体" w:hAnsi="宋体" w:eastAsia="宋体" w:cs="仿宋"/>
                <w:kern w:val="0"/>
                <w:sz w:val="20"/>
                <w:szCs w:val="20"/>
                <w:lang w:bidi="ar"/>
              </w:rPr>
              <w:t>48台</w:t>
            </w:r>
          </w:p>
        </w:tc>
      </w:tr>
      <w:tr w14:paraId="0F2E7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417" w:type="dxa"/>
            <w:tcBorders>
              <w:top w:val="single" w:color="auto" w:sz="4" w:space="0"/>
              <w:left w:val="single" w:color="auto" w:sz="4" w:space="0"/>
              <w:bottom w:val="single" w:color="auto" w:sz="4" w:space="0"/>
              <w:right w:val="single" w:color="auto" w:sz="4" w:space="0"/>
            </w:tcBorders>
            <w:vAlign w:val="center"/>
          </w:tcPr>
          <w:p w14:paraId="1A0049DA">
            <w:pPr>
              <w:widowControl/>
              <w:adjustRightInd w:val="0"/>
              <w:snapToGrid w:val="0"/>
              <w:spacing w:line="360" w:lineRule="auto"/>
              <w:rPr>
                <w:rFonts w:ascii="宋体" w:hAnsi="宋体" w:eastAsia="宋体"/>
                <w:sz w:val="20"/>
                <w:szCs w:val="20"/>
              </w:rPr>
            </w:pPr>
            <w:r>
              <w:rPr>
                <w:rFonts w:hint="eastAsia" w:ascii="宋体" w:hAnsi="宋体" w:eastAsia="宋体" w:cs="仿宋"/>
                <w:kern w:val="0"/>
                <w:sz w:val="20"/>
                <w:szCs w:val="20"/>
                <w:lang w:bidi="ar"/>
              </w:rPr>
              <w:t>11</w:t>
            </w:r>
          </w:p>
        </w:tc>
        <w:tc>
          <w:tcPr>
            <w:tcW w:w="696" w:type="dxa"/>
            <w:tcBorders>
              <w:top w:val="single" w:color="auto" w:sz="4" w:space="0"/>
              <w:left w:val="single" w:color="auto" w:sz="4" w:space="0"/>
              <w:bottom w:val="single" w:color="auto" w:sz="4" w:space="0"/>
              <w:right w:val="single" w:color="auto" w:sz="4" w:space="0"/>
            </w:tcBorders>
            <w:vAlign w:val="center"/>
          </w:tcPr>
          <w:p w14:paraId="361C140C">
            <w:pPr>
              <w:widowControl/>
              <w:adjustRightInd w:val="0"/>
              <w:snapToGrid w:val="0"/>
              <w:spacing w:line="360" w:lineRule="auto"/>
              <w:jc w:val="center"/>
              <w:rPr>
                <w:rFonts w:ascii="宋体" w:hAnsi="宋体" w:eastAsia="宋体"/>
                <w:sz w:val="20"/>
                <w:szCs w:val="20"/>
              </w:rPr>
            </w:pPr>
            <w:r>
              <w:rPr>
                <w:rFonts w:hint="eastAsia" w:ascii="宋体" w:hAnsi="宋体" w:eastAsia="宋体" w:cs="仿宋"/>
                <w:kern w:val="0"/>
                <w:sz w:val="20"/>
                <w:szCs w:val="20"/>
                <w:lang w:bidi="ar"/>
              </w:rPr>
              <w:t>智慧法庭应用支撑平台</w:t>
            </w:r>
          </w:p>
        </w:tc>
        <w:tc>
          <w:tcPr>
            <w:tcW w:w="6026" w:type="dxa"/>
            <w:tcBorders>
              <w:top w:val="single" w:color="auto" w:sz="4" w:space="0"/>
              <w:left w:val="single" w:color="auto" w:sz="4" w:space="0"/>
              <w:bottom w:val="single" w:color="auto" w:sz="4" w:space="0"/>
              <w:right w:val="single" w:color="auto" w:sz="4" w:space="0"/>
            </w:tcBorders>
            <w:vAlign w:val="center"/>
          </w:tcPr>
          <w:p w14:paraId="3E5DD1C1">
            <w:pPr>
              <w:pStyle w:val="5"/>
              <w:rPr>
                <w:rFonts w:hint="default"/>
              </w:rPr>
            </w:pPr>
            <w:r>
              <w:t>一、功能要求</w:t>
            </w:r>
          </w:p>
          <w:p w14:paraId="12C878B8">
            <w:pPr>
              <w:pStyle w:val="5"/>
              <w:rPr>
                <w:rFonts w:hint="default"/>
              </w:rPr>
            </w:pPr>
            <w:r>
              <w:t>1.采用B/S架构，可国产浏览器直接访问登录，科技法庭进行统一管理，包含书记员、法官、当事人等角色的智能辅助客户端软件。</w:t>
            </w:r>
          </w:p>
          <w:p w14:paraId="159047D8">
            <w:pPr>
              <w:pStyle w:val="5"/>
              <w:rPr>
                <w:rFonts w:hint="default"/>
              </w:rPr>
            </w:pPr>
            <w:r>
              <w:t>2.与省高院审务督察平台无缝对接，实现庭审音视频、案件信息等数据实时上报。</w:t>
            </w:r>
          </w:p>
          <w:p w14:paraId="5D70984D">
            <w:pPr>
              <w:pStyle w:val="5"/>
              <w:rPr>
                <w:rFonts w:hint="default"/>
              </w:rPr>
            </w:pPr>
            <w:r>
              <w:t>3.与全国“一张网”办公办案平台系统对接，对接后可获取用户、排期等相关信息。</w:t>
            </w:r>
          </w:p>
          <w:p w14:paraId="22EA0F89">
            <w:pPr>
              <w:pStyle w:val="5"/>
              <w:rPr>
                <w:rFonts w:hint="default"/>
              </w:rPr>
            </w:pPr>
            <w:r>
              <w:t>二、技术要求</w:t>
            </w:r>
          </w:p>
          <w:p w14:paraId="3BF2B6E2">
            <w:pPr>
              <w:pStyle w:val="5"/>
              <w:rPr>
                <w:rFonts w:hint="default"/>
              </w:rPr>
            </w:pPr>
            <w:r>
              <w:t>1.具备运维模块，包含法庭管理、系统状态监管、快捷访问等功能。</w:t>
            </w:r>
          </w:p>
          <w:p w14:paraId="09D4BF23">
            <w:pPr>
              <w:pStyle w:val="5"/>
              <w:rPr>
                <w:rFonts w:hint="default"/>
              </w:rPr>
            </w:pPr>
            <w:r>
              <w:t>2.存储迁移管理模块，案件录像重新传输，可以查看案号、任务状态、开始、结束时间、源地址、目的地址等信息。</w:t>
            </w:r>
          </w:p>
          <w:p w14:paraId="6F44F15C">
            <w:pPr>
              <w:pStyle w:val="5"/>
              <w:rPr>
                <w:rFonts w:hint="default"/>
              </w:rPr>
            </w:pPr>
            <w:r>
              <w:t>3.案件管理模块，包含案件管理信息和排期管理功能，能够查看案件、排期信息数据。</w:t>
            </w:r>
          </w:p>
          <w:p w14:paraId="20B87F7C">
            <w:pPr>
              <w:pStyle w:val="5"/>
              <w:rPr>
                <w:rFonts w:hint="default"/>
              </w:rPr>
            </w:pPr>
            <w:r>
              <w:t>4.应用配置模块，为法庭综合管理后台与业务相关的配置项的集合，包含与法庭进行联动的应用配置。</w:t>
            </w:r>
          </w:p>
          <w:p w14:paraId="46318594">
            <w:pPr>
              <w:pStyle w:val="5"/>
              <w:rPr>
                <w:rFonts w:hint="default"/>
              </w:rPr>
            </w:pPr>
            <w:r>
              <w:t>5.1庭室配置：</w:t>
            </w:r>
          </w:p>
          <w:p w14:paraId="152BFCDA">
            <w:pPr>
              <w:pStyle w:val="5"/>
              <w:rPr>
                <w:rFonts w:hint="default"/>
              </w:rPr>
            </w:pPr>
            <w:r>
              <w:t>5.1.1对法庭基本信息、客户端配置、设备信息、录制管理等配置操作。</w:t>
            </w:r>
          </w:p>
          <w:p w14:paraId="231E0990">
            <w:pPr>
              <w:pStyle w:val="5"/>
              <w:rPr>
                <w:rFonts w:hint="default"/>
              </w:rPr>
            </w:pPr>
            <w:r>
              <w:t>5.1.2可进行添加，修改，删除远程庭审室类型；</w:t>
            </w:r>
          </w:p>
          <w:p w14:paraId="65E08834">
            <w:pPr>
              <w:pStyle w:val="5"/>
              <w:rPr>
                <w:rFonts w:hint="default"/>
              </w:rPr>
            </w:pPr>
            <w:r>
              <w:t>5.1.3远程庭审室配置，包括庭审室名称、庭审室类型、所属单位、建设日期、庭审室状态、描述、操作等内容。</w:t>
            </w:r>
          </w:p>
          <w:p w14:paraId="23806934">
            <w:pPr>
              <w:pStyle w:val="5"/>
              <w:rPr>
                <w:rFonts w:hint="default"/>
              </w:rPr>
            </w:pPr>
            <w:r>
              <w:t>5.1.4以列表的形式展示出流媒体服务器的详细信息，包括：服务器名称，IP地址，版本号，序列号等。</w:t>
            </w:r>
          </w:p>
          <w:p w14:paraId="7E0690A2">
            <w:pPr>
              <w:pStyle w:val="5"/>
              <w:rPr>
                <w:rFonts w:hint="default"/>
              </w:rPr>
            </w:pPr>
            <w:r>
              <w:t>5.1.5对流媒体的管理和配置，能够进行添加、修改和删除；</w:t>
            </w:r>
          </w:p>
          <w:p w14:paraId="754D5307">
            <w:pPr>
              <w:pStyle w:val="5"/>
              <w:rPr>
                <w:rFonts w:hint="default"/>
              </w:rPr>
            </w:pPr>
            <w:r>
              <w:t>对系统版本版本的升级管理，软件的上传和下载修改；对客户端启动检测项配置；对法庭纪律的修改、删除、预览、下载操作。</w:t>
            </w:r>
          </w:p>
          <w:p w14:paraId="35F040B5">
            <w:pPr>
              <w:pStyle w:val="5"/>
              <w:rPr>
                <w:rFonts w:hint="default"/>
              </w:rPr>
            </w:pPr>
            <w:r>
              <w:t>6.具备统计分析模块，应具备法庭建设情况、开庭情况、电子签名等统计信息。</w:t>
            </w:r>
          </w:p>
          <w:p w14:paraId="241B0B7C">
            <w:pPr>
              <w:pStyle w:val="5"/>
              <w:rPr>
                <w:rFonts w:hint="default"/>
              </w:rPr>
            </w:pPr>
            <w:r>
              <w:t>对法庭建设情况进行统计，统计内容包含智科技法庭、智慧法庭等。</w:t>
            </w:r>
          </w:p>
          <w:p w14:paraId="6D74CB61">
            <w:pPr>
              <w:pStyle w:val="5"/>
              <w:rPr>
                <w:rFonts w:hint="default"/>
              </w:rPr>
            </w:pPr>
            <w:r>
              <w:t>对开庭数量、排期数量、开庭比例、开庭总时长进行显示，导出表格。</w:t>
            </w:r>
          </w:p>
          <w:p w14:paraId="748A8FA1">
            <w:pPr>
              <w:pStyle w:val="5"/>
              <w:rPr>
                <w:rFonts w:hint="default"/>
              </w:rPr>
            </w:pPr>
            <w:r>
              <w:t>对开庭数量、签名率进行统计。</w:t>
            </w:r>
          </w:p>
          <w:p w14:paraId="5CD87314">
            <w:pPr>
              <w:pStyle w:val="5"/>
              <w:rPr>
                <w:rFonts w:hint="default"/>
              </w:rPr>
            </w:pPr>
            <w:r>
              <w:t>7、管理模块，应具备对角色权限配置及系统授权查看的功能</w:t>
            </w:r>
          </w:p>
          <w:p w14:paraId="373BC173">
            <w:pPr>
              <w:pStyle w:val="5"/>
              <w:rPr>
                <w:rFonts w:hint="default"/>
              </w:rPr>
            </w:pPr>
            <w:r>
              <w:t>对角色名称的搜索</w:t>
            </w:r>
          </w:p>
          <w:p w14:paraId="0BEC0069">
            <w:pPr>
              <w:pStyle w:val="5"/>
              <w:rPr>
                <w:rFonts w:hint="default"/>
              </w:rPr>
            </w:pPr>
            <w:r>
              <w:t>对用户角色的权限进行授权管理</w:t>
            </w:r>
          </w:p>
          <w:p w14:paraId="4B2B65E9">
            <w:pPr>
              <w:pStyle w:val="5"/>
              <w:rPr>
                <w:rFonts w:hint="default"/>
              </w:rPr>
            </w:pPr>
            <w:r>
              <w:t>对授权时间及数量进行查看</w:t>
            </w:r>
          </w:p>
          <w:p w14:paraId="649653C0">
            <w:pPr>
              <w:pStyle w:val="5"/>
              <w:rPr>
                <w:rFonts w:hint="default"/>
              </w:rPr>
            </w:pPr>
            <w:r>
              <w:t>8、日志管理模块，应具备对用户登录及操作进行相关记录。</w:t>
            </w:r>
          </w:p>
          <w:p w14:paraId="4D16FE34">
            <w:pPr>
              <w:pStyle w:val="5"/>
              <w:rPr>
                <w:rFonts w:hint="default"/>
              </w:rPr>
            </w:pPr>
            <w:r>
              <w:t>按登录、登出条件进行搜索</w:t>
            </w:r>
          </w:p>
          <w:p w14:paraId="06174BD3">
            <w:pPr>
              <w:pStyle w:val="5"/>
              <w:rPr>
                <w:rFonts w:hint="default"/>
              </w:rPr>
            </w:pPr>
            <w:r>
              <w:t>按开庭、休庭、继续庭审、闭庭条件进行搜索</w:t>
            </w:r>
          </w:p>
          <w:p w14:paraId="5DBE780B">
            <w:pPr>
              <w:pStyle w:val="5"/>
              <w:rPr>
                <w:rFonts w:hint="default"/>
              </w:rPr>
            </w:pPr>
            <w:r>
              <w:t>▲9.数据管理模块，对回传办公办案平的数据的信息进行记录。按案号、开庭时间、回传状态等条件进行搜索，其中回传状态包括：成功、失败、回传中。（提供证明材料）</w:t>
            </w:r>
          </w:p>
        </w:tc>
        <w:tc>
          <w:tcPr>
            <w:tcW w:w="671" w:type="dxa"/>
            <w:tcBorders>
              <w:top w:val="single" w:color="auto" w:sz="4" w:space="0"/>
              <w:left w:val="single" w:color="auto" w:sz="4" w:space="0"/>
              <w:bottom w:val="single" w:color="auto" w:sz="4" w:space="0"/>
              <w:right w:val="single" w:color="auto" w:sz="4" w:space="0"/>
            </w:tcBorders>
            <w:vAlign w:val="center"/>
          </w:tcPr>
          <w:p w14:paraId="4615508E">
            <w:pPr>
              <w:widowControl/>
              <w:adjustRightInd w:val="0"/>
              <w:snapToGrid w:val="0"/>
              <w:spacing w:line="360" w:lineRule="auto"/>
              <w:jc w:val="center"/>
              <w:rPr>
                <w:rFonts w:ascii="宋体" w:hAnsi="宋体" w:eastAsia="宋体" w:cs="宋体"/>
                <w:bCs/>
                <w:kern w:val="0"/>
                <w:sz w:val="20"/>
                <w:szCs w:val="20"/>
              </w:rPr>
            </w:pPr>
            <w:r>
              <w:rPr>
                <w:rFonts w:hint="eastAsia" w:ascii="宋体" w:hAnsi="宋体" w:eastAsia="宋体" w:cs="仿宋"/>
                <w:kern w:val="0"/>
                <w:sz w:val="20"/>
                <w:szCs w:val="20"/>
                <w:lang w:bidi="ar"/>
              </w:rPr>
              <w:t>1套</w:t>
            </w:r>
          </w:p>
        </w:tc>
      </w:tr>
      <w:tr w14:paraId="366E9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417" w:type="dxa"/>
            <w:tcBorders>
              <w:top w:val="single" w:color="auto" w:sz="4" w:space="0"/>
              <w:left w:val="single" w:color="auto" w:sz="4" w:space="0"/>
              <w:bottom w:val="single" w:color="auto" w:sz="4" w:space="0"/>
              <w:right w:val="single" w:color="auto" w:sz="4" w:space="0"/>
            </w:tcBorders>
            <w:vAlign w:val="center"/>
          </w:tcPr>
          <w:p w14:paraId="7F54C8B8">
            <w:pPr>
              <w:widowControl/>
              <w:adjustRightInd w:val="0"/>
              <w:snapToGrid w:val="0"/>
              <w:spacing w:line="360" w:lineRule="auto"/>
              <w:ind w:left="-12"/>
              <w:rPr>
                <w:rFonts w:ascii="宋体" w:hAnsi="宋体" w:eastAsia="宋体"/>
                <w:sz w:val="20"/>
                <w:szCs w:val="20"/>
              </w:rPr>
            </w:pPr>
            <w:r>
              <w:rPr>
                <w:rFonts w:hint="eastAsia" w:ascii="宋体" w:hAnsi="宋体" w:eastAsia="宋体" w:cs="仿宋"/>
                <w:kern w:val="0"/>
                <w:sz w:val="20"/>
                <w:szCs w:val="20"/>
                <w:lang w:bidi="ar"/>
              </w:rPr>
              <w:t>12</w:t>
            </w:r>
          </w:p>
        </w:tc>
        <w:tc>
          <w:tcPr>
            <w:tcW w:w="696" w:type="dxa"/>
            <w:tcBorders>
              <w:top w:val="single" w:color="auto" w:sz="4" w:space="0"/>
              <w:left w:val="single" w:color="auto" w:sz="4" w:space="0"/>
              <w:bottom w:val="single" w:color="auto" w:sz="4" w:space="0"/>
              <w:right w:val="single" w:color="auto" w:sz="4" w:space="0"/>
            </w:tcBorders>
            <w:vAlign w:val="center"/>
          </w:tcPr>
          <w:p w14:paraId="728BA902">
            <w:pPr>
              <w:widowControl/>
              <w:adjustRightInd w:val="0"/>
              <w:snapToGrid w:val="0"/>
              <w:spacing w:line="360" w:lineRule="auto"/>
              <w:jc w:val="center"/>
              <w:rPr>
                <w:rFonts w:ascii="宋体" w:hAnsi="宋体" w:eastAsia="宋体"/>
                <w:sz w:val="20"/>
                <w:szCs w:val="20"/>
              </w:rPr>
            </w:pPr>
            <w:r>
              <w:rPr>
                <w:rFonts w:hint="eastAsia" w:ascii="宋体" w:hAnsi="宋体" w:eastAsia="宋体" w:cs="仿宋"/>
                <w:kern w:val="0"/>
                <w:sz w:val="20"/>
                <w:szCs w:val="20"/>
                <w:lang w:bidi="ar"/>
              </w:rPr>
              <w:t>智慧庭审应用系统</w:t>
            </w:r>
          </w:p>
        </w:tc>
        <w:tc>
          <w:tcPr>
            <w:tcW w:w="6026" w:type="dxa"/>
            <w:tcBorders>
              <w:top w:val="single" w:color="auto" w:sz="4" w:space="0"/>
              <w:left w:val="single" w:color="auto" w:sz="4" w:space="0"/>
              <w:bottom w:val="single" w:color="auto" w:sz="4" w:space="0"/>
              <w:right w:val="single" w:color="auto" w:sz="4" w:space="0"/>
            </w:tcBorders>
            <w:vAlign w:val="center"/>
          </w:tcPr>
          <w:p w14:paraId="13FFB994">
            <w:pPr>
              <w:pStyle w:val="5"/>
              <w:rPr>
                <w:rFonts w:hint="default"/>
              </w:rPr>
            </w:pPr>
            <w:r>
              <w:t>一、功能要求</w:t>
            </w:r>
          </w:p>
          <w:p w14:paraId="6522A7B5">
            <w:pPr>
              <w:pStyle w:val="5"/>
              <w:rPr>
                <w:rFonts w:hint="default"/>
              </w:rPr>
            </w:pPr>
            <w:r>
              <w:t>满足《全国法院办公办案平台中数字法庭建设技术规范》的相关要求，“一张网”下自建自用的数字法庭应满足UI设计规范，以便于全国办公办案平台的便捷调用。配合庭审资源管理使用，提供书记员、法官、当事人应用端，包含排期管理、庭审录音录像、笔录制作、笔录同步等功能。</w:t>
            </w:r>
          </w:p>
          <w:p w14:paraId="766AB372">
            <w:pPr>
              <w:pStyle w:val="5"/>
              <w:rPr>
                <w:rFonts w:hint="default"/>
              </w:rPr>
            </w:pPr>
            <w:r>
              <w:t>二、法官应用</w:t>
            </w:r>
          </w:p>
          <w:p w14:paraId="7B4DCBCF">
            <w:pPr>
              <w:pStyle w:val="5"/>
              <w:rPr>
                <w:rFonts w:hint="default"/>
              </w:rPr>
            </w:pPr>
            <w:r>
              <w:t>1.与书记员客户端联动，当书记员系统进入庭审后，法官系统提示是否登录到庭审系统中，具备点击姓名进入，无需输入用户名和密码。</w:t>
            </w:r>
          </w:p>
          <w:p w14:paraId="00876A39">
            <w:pPr>
              <w:pStyle w:val="5"/>
              <w:rPr>
                <w:rFonts w:hint="default"/>
              </w:rPr>
            </w:pPr>
            <w:r>
              <w:t>2.独立登录并具备我的案件、待审排期、庭审直播、庭审点播模块，通过案号、当事人、立案时间、案由、承办人查询案件信息，支持通过案号、开庭时间、开庭地点、开庭状态等信息进行查询待审排期信息。</w:t>
            </w:r>
          </w:p>
          <w:p w14:paraId="77DC429E">
            <w:pPr>
              <w:pStyle w:val="5"/>
              <w:rPr>
                <w:rFonts w:hint="default"/>
              </w:rPr>
            </w:pPr>
            <w:r>
              <w:t>3.在待审排期模块下，对案件排期进行修改、删除等操作。</w:t>
            </w:r>
          </w:p>
          <w:p w14:paraId="5300E88D">
            <w:pPr>
              <w:pStyle w:val="5"/>
              <w:rPr>
                <w:rFonts w:hint="default"/>
              </w:rPr>
            </w:pPr>
            <w:r>
              <w:t>4.庭审录像下载、播放视频的功能，下载内容包含庭审复合画面、庭审笔录等内容。</w:t>
            </w:r>
          </w:p>
          <w:p w14:paraId="3E8DDEAA">
            <w:pPr>
              <w:pStyle w:val="5"/>
              <w:rPr>
                <w:rFonts w:hint="default"/>
              </w:rPr>
            </w:pPr>
            <w:r>
              <w:t>5.与书记员客户端联动，能够接收庭审状态通知，如开庭、休庭以及闭庭的状态。</w:t>
            </w:r>
          </w:p>
          <w:p w14:paraId="7D9F571E">
            <w:pPr>
              <w:pStyle w:val="5"/>
              <w:rPr>
                <w:rFonts w:hint="default"/>
              </w:rPr>
            </w:pPr>
            <w:r>
              <w:t>▲6.与书记员系统的庭审笔录实时联动，法官可实时同步查看书记员记录笔录的内容，同时支持法官与书记员协同编辑笔录。（提供证明材料）</w:t>
            </w:r>
          </w:p>
          <w:p w14:paraId="3E931028">
            <w:pPr>
              <w:pStyle w:val="5"/>
              <w:rPr>
                <w:rFonts w:hint="default"/>
              </w:rPr>
            </w:pPr>
            <w:r>
              <w:t>▲7.可跟随笔录内容，方便法官对笔录内容自行翻看查阅。（提供证明材料）</w:t>
            </w:r>
          </w:p>
          <w:p w14:paraId="7440047D">
            <w:pPr>
              <w:pStyle w:val="5"/>
              <w:rPr>
                <w:rFonts w:hint="default"/>
              </w:rPr>
            </w:pPr>
            <w:r>
              <w:t>▲8.登录后支持双屏/三屏模式的手动切换，针对每屏，可以通过模块的拖动确定每屏功能，屏幕所占比例支持灵活的拖动变化。（提供证明材料）</w:t>
            </w:r>
          </w:p>
          <w:p w14:paraId="2CE3F34D">
            <w:pPr>
              <w:pStyle w:val="5"/>
              <w:rPr>
                <w:rFonts w:hint="default"/>
              </w:rPr>
            </w:pPr>
            <w:r>
              <w:t>9.具备庭审人员模块，通过此模块可查看诉讼参与人的信息，包含诉讼地位、人员姓名、联系电话、证件号码等，同时具备展开和收起庭审视频图像的功能。</w:t>
            </w:r>
          </w:p>
          <w:p w14:paraId="2BDB80A2">
            <w:pPr>
              <w:pStyle w:val="5"/>
              <w:rPr>
                <w:rFonts w:hint="default"/>
              </w:rPr>
            </w:pPr>
            <w:r>
              <w:t>10.具备庭审指导功能，可显示审判组织成员并自动生成群组，可通过即时通讯功能辅助加强法官、书记员之间的文字交流。</w:t>
            </w:r>
          </w:p>
          <w:p w14:paraId="03B8C92C">
            <w:pPr>
              <w:pStyle w:val="5"/>
              <w:rPr>
                <w:rFonts w:hint="default"/>
              </w:rPr>
            </w:pPr>
            <w:r>
              <w:t>▲11.具备笔录控制功能，授权当事人查看笔录功能，开启后当事人可查看书记员笔录内容。（提供证明材料）</w:t>
            </w:r>
          </w:p>
          <w:p w14:paraId="3DD668D9">
            <w:pPr>
              <w:pStyle w:val="5"/>
              <w:rPr>
                <w:rFonts w:hint="default"/>
              </w:rPr>
            </w:pPr>
            <w:r>
              <w:t>12.在双屏模式下，庭审笔录模块应与其它功能模块进行双屏查看，单屏全屏显示。</w:t>
            </w:r>
          </w:p>
          <w:p w14:paraId="70BB8635">
            <w:pPr>
              <w:pStyle w:val="5"/>
              <w:rPr>
                <w:rFonts w:hint="default"/>
              </w:rPr>
            </w:pPr>
            <w:r>
              <w:t>二、书记员应用</w:t>
            </w:r>
          </w:p>
          <w:p w14:paraId="6377D65B">
            <w:pPr>
              <w:pStyle w:val="5"/>
              <w:rPr>
                <w:rFonts w:hint="default"/>
              </w:rPr>
            </w:pPr>
            <w:r>
              <w:t>1.与法官、当事人系统联动，当书记员系统进入庭审后，法官、当事人系统有相应的状态变化。</w:t>
            </w:r>
          </w:p>
          <w:p w14:paraId="17DCFE02">
            <w:pPr>
              <w:pStyle w:val="5"/>
              <w:rPr>
                <w:rFonts w:hint="default"/>
              </w:rPr>
            </w:pPr>
            <w:r>
              <w:t>2.独立登录并具备我的案件、待审排期、庭审直播、庭审点播模块，需支持通过案号、当事人、立案时间、案由、承办人查询案件信息，支持通过案号、开庭时间、开庭地点、开庭状态等信息进行查询待审排期信息。</w:t>
            </w:r>
          </w:p>
          <w:p w14:paraId="7C0900DA">
            <w:pPr>
              <w:pStyle w:val="5"/>
              <w:rPr>
                <w:rFonts w:hint="default"/>
              </w:rPr>
            </w:pPr>
            <w:r>
              <w:t>3.在待审排期模块下，对案件排期进行修改、删除等操作，点击案号可直接进入庭审系统页面。</w:t>
            </w:r>
          </w:p>
          <w:p w14:paraId="36B8CF8B">
            <w:pPr>
              <w:pStyle w:val="5"/>
              <w:rPr>
                <w:rFonts w:hint="default"/>
              </w:rPr>
            </w:pPr>
            <w:r>
              <w:t>4.庭审录像下载、播放视频的功能，下载内容包含庭审复合画面、庭审笔录等内容，能够下载签名笔录支持导出、打印。</w:t>
            </w:r>
          </w:p>
          <w:p w14:paraId="3380DBE3">
            <w:pPr>
              <w:pStyle w:val="5"/>
              <w:rPr>
                <w:rFonts w:hint="default"/>
              </w:rPr>
            </w:pPr>
            <w:r>
              <w:t>5.具备新建案件和新建排期的功能，支持录入临时开庭的案号及案件类型并进行开庭录像。</w:t>
            </w:r>
          </w:p>
          <w:p w14:paraId="6BDDC1D0">
            <w:pPr>
              <w:pStyle w:val="5"/>
              <w:rPr>
                <w:rFonts w:hint="default"/>
              </w:rPr>
            </w:pPr>
            <w:r>
              <w:t>6.具备合并审理功能，通过选择多个案件进行合并审理。</w:t>
            </w:r>
          </w:p>
          <w:p w14:paraId="14A55287">
            <w:pPr>
              <w:pStyle w:val="5"/>
              <w:rPr>
                <w:rFonts w:hint="default"/>
              </w:rPr>
            </w:pPr>
            <w:r>
              <w:t>▲7.多种法庭用途，包括：开庭审理、庭询、谈话、宣判、其他、提讯（犯罪嫌疑人）、证据交换、听证等。（提供证明材料）</w:t>
            </w:r>
          </w:p>
          <w:p w14:paraId="37368AF0">
            <w:pPr>
              <w:pStyle w:val="5"/>
              <w:rPr>
                <w:rFonts w:hint="default"/>
              </w:rPr>
            </w:pPr>
            <w:r>
              <w:t>8.多种开庭方式，包括：本地开庭、远程开庭、互联网开庭、远程+互联网开庭等。</w:t>
            </w:r>
          </w:p>
          <w:p w14:paraId="3E3D1C6D">
            <w:pPr>
              <w:pStyle w:val="5"/>
              <w:rPr>
                <w:rFonts w:hint="default"/>
              </w:rPr>
            </w:pPr>
            <w:r>
              <w:t>9.登录后支持单屏/双屏模式的手动切换，在双屏模式下，屏幕所占比例灵活的拖动变化。</w:t>
            </w:r>
          </w:p>
          <w:p w14:paraId="08F38271">
            <w:pPr>
              <w:pStyle w:val="5"/>
              <w:rPr>
                <w:rFonts w:hint="default"/>
              </w:rPr>
            </w:pPr>
            <w:r>
              <w:t>10.具备语音播报模块，语音播报内容包含法庭纪律、权利义务、权利义务告知等。</w:t>
            </w:r>
          </w:p>
          <w:p w14:paraId="72B87231">
            <w:pPr>
              <w:pStyle w:val="5"/>
              <w:rPr>
                <w:rFonts w:hint="default"/>
              </w:rPr>
            </w:pPr>
            <w:r>
              <w:t>▲11.具备到庭提醒功能，在语音播报模块下选择到庭提醒模块，自定义呼叫当事人到法庭参与庭审，具备手动输入文字的功能；（提供证明材料）</w:t>
            </w:r>
          </w:p>
          <w:p w14:paraId="7951AE32">
            <w:pPr>
              <w:pStyle w:val="5"/>
              <w:rPr>
                <w:rFonts w:hint="default"/>
              </w:rPr>
            </w:pPr>
            <w:r>
              <w:t>12.具备笔录编辑功能，书记员可以编辑笔录，将笔录内容同步到法官及当事人客户端，保证法官及当事人对于笔录内容的知情权，发现笔录记录问题可以及时提醒做出修改完善。</w:t>
            </w:r>
          </w:p>
          <w:p w14:paraId="203AC6FA">
            <w:pPr>
              <w:pStyle w:val="5"/>
              <w:rPr>
                <w:rFonts w:hint="default"/>
              </w:rPr>
            </w:pPr>
            <w:r>
              <w:t>13.书记员笔录记录过程中，从第一页第一行开始，到最后一页，在每行前边具备行号显示，以同步给当事人进行笔录核对时同步消息，行号显示不得影响排版效果。</w:t>
            </w:r>
          </w:p>
          <w:p w14:paraId="01276DD3">
            <w:pPr>
              <w:pStyle w:val="5"/>
              <w:rPr>
                <w:rFonts w:hint="default"/>
              </w:rPr>
            </w:pPr>
            <w:r>
              <w:t>14.具备存疑列表展示功能，可以展示当事人对笔录存疑的内容。</w:t>
            </w:r>
          </w:p>
          <w:p w14:paraId="3B67CB6F">
            <w:pPr>
              <w:pStyle w:val="5"/>
              <w:rPr>
                <w:rFonts w:hint="default"/>
              </w:rPr>
            </w:pPr>
            <w:r>
              <w:t>▲15.快捷入口功功能，可快捷跳转第三方应用界面，第三方应用界面内嵌打开和外部打开两种方式，在庭审中随时调用其他应用。（提供证明材料）</w:t>
            </w:r>
          </w:p>
          <w:p w14:paraId="74C8EF55">
            <w:pPr>
              <w:pStyle w:val="5"/>
              <w:rPr>
                <w:rFonts w:hint="default"/>
              </w:rPr>
            </w:pPr>
            <w:r>
              <w:t>▲16.在记录笔录过程中，根据个人习惯对笔录区域进行放大缩小、适合页面、适合宽度、全屏模式、沉浸模式、护眼模式的调整。（提供证明材料）</w:t>
            </w:r>
          </w:p>
          <w:p w14:paraId="18E70A19">
            <w:pPr>
              <w:pStyle w:val="5"/>
              <w:rPr>
                <w:rFonts w:hint="default"/>
              </w:rPr>
            </w:pPr>
            <w:r>
              <w:t>三、当事人应用</w:t>
            </w:r>
          </w:p>
          <w:p w14:paraId="7FDB820B">
            <w:pPr>
              <w:pStyle w:val="5"/>
              <w:rPr>
                <w:rFonts w:hint="default"/>
              </w:rPr>
            </w:pPr>
            <w:r>
              <w:t>1.在未进入庭审前显示法庭纪律的内容，有助于提醒当事人遵守法庭纪律。</w:t>
            </w:r>
          </w:p>
          <w:p w14:paraId="2260C549">
            <w:pPr>
              <w:pStyle w:val="5"/>
              <w:rPr>
                <w:rFonts w:hint="default"/>
              </w:rPr>
            </w:pPr>
            <w:r>
              <w:t>2.与书记员客户端联动，当书记员系统进入庭审后，当事人系统自动登录的到庭审系统中，避免当事人操作复杂。</w:t>
            </w:r>
          </w:p>
          <w:p w14:paraId="430EDDD9">
            <w:pPr>
              <w:pStyle w:val="5"/>
              <w:rPr>
                <w:rFonts w:hint="default"/>
              </w:rPr>
            </w:pPr>
            <w:r>
              <w:t>3.进入后应具备显示案号、开庭状态的信息。</w:t>
            </w:r>
          </w:p>
          <w:p w14:paraId="40FBD904">
            <w:pPr>
              <w:pStyle w:val="5"/>
              <w:rPr>
                <w:rFonts w:hint="default"/>
              </w:rPr>
            </w:pPr>
            <w:r>
              <w:t>4.双屏或单屏全屏显示，与书记员客户端联动，能够接收庭审状态通知，如开庭、休庭、以及闭庭的状态。</w:t>
            </w:r>
          </w:p>
          <w:p w14:paraId="21E37654">
            <w:pPr>
              <w:pStyle w:val="5"/>
              <w:rPr>
                <w:rFonts w:hint="default"/>
              </w:rPr>
            </w:pPr>
            <w:r>
              <w:t>5.默认显示书记员记录的实时笔录内容，可实时同步查看书记员记录笔录的内容，通过法官或书记员端的权限控制，也可以实现自己翻看。</w:t>
            </w:r>
          </w:p>
          <w:p w14:paraId="2424CC1B">
            <w:pPr>
              <w:pStyle w:val="5"/>
              <w:rPr>
                <w:rFonts w:hint="default"/>
              </w:rPr>
            </w:pPr>
            <w:r>
              <w:t>6.当法官认为当事人不应该看到庭审笔录时，可以直接在法官端或者书记员端灵活控制授权当事人查看笔录或者不查看笔录。</w:t>
            </w:r>
          </w:p>
          <w:p w14:paraId="0205C8AF">
            <w:pPr>
              <w:pStyle w:val="5"/>
              <w:rPr>
                <w:rFonts w:hint="default"/>
              </w:rPr>
            </w:pPr>
            <w:r>
              <w:t>7系统应支持对书记员记录的笔录内容进行存疑标记，可以选择笔录内容进行存疑标记。</w:t>
            </w:r>
          </w:p>
        </w:tc>
        <w:tc>
          <w:tcPr>
            <w:tcW w:w="671" w:type="dxa"/>
            <w:tcBorders>
              <w:top w:val="single" w:color="auto" w:sz="4" w:space="0"/>
              <w:left w:val="single" w:color="auto" w:sz="4" w:space="0"/>
              <w:bottom w:val="single" w:color="auto" w:sz="4" w:space="0"/>
              <w:right w:val="single" w:color="auto" w:sz="4" w:space="0"/>
            </w:tcBorders>
            <w:vAlign w:val="center"/>
          </w:tcPr>
          <w:p w14:paraId="7BB3E9EC">
            <w:pPr>
              <w:widowControl/>
              <w:adjustRightInd w:val="0"/>
              <w:snapToGrid w:val="0"/>
              <w:spacing w:line="360" w:lineRule="auto"/>
              <w:jc w:val="center"/>
              <w:rPr>
                <w:rFonts w:ascii="宋体" w:hAnsi="宋体" w:eastAsia="宋体" w:cs="宋体"/>
                <w:bCs/>
                <w:kern w:val="0"/>
                <w:sz w:val="20"/>
                <w:szCs w:val="20"/>
              </w:rPr>
            </w:pPr>
            <w:r>
              <w:rPr>
                <w:rFonts w:hint="eastAsia" w:ascii="宋体" w:hAnsi="宋体" w:eastAsia="宋体" w:cs="仿宋"/>
                <w:kern w:val="0"/>
                <w:sz w:val="20"/>
                <w:szCs w:val="20"/>
                <w:lang w:bidi="ar"/>
              </w:rPr>
              <w:t>48套</w:t>
            </w:r>
          </w:p>
        </w:tc>
      </w:tr>
      <w:tr w14:paraId="2FEEA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417" w:type="dxa"/>
            <w:tcBorders>
              <w:top w:val="single" w:color="auto" w:sz="4" w:space="0"/>
              <w:left w:val="single" w:color="auto" w:sz="4" w:space="0"/>
              <w:bottom w:val="single" w:color="auto" w:sz="4" w:space="0"/>
              <w:right w:val="single" w:color="auto" w:sz="4" w:space="0"/>
            </w:tcBorders>
            <w:vAlign w:val="center"/>
          </w:tcPr>
          <w:p w14:paraId="0F51696F">
            <w:pPr>
              <w:widowControl/>
              <w:adjustRightInd w:val="0"/>
              <w:snapToGrid w:val="0"/>
              <w:spacing w:line="360" w:lineRule="auto"/>
              <w:rPr>
                <w:rFonts w:ascii="宋体" w:hAnsi="宋体" w:eastAsia="宋体"/>
                <w:sz w:val="20"/>
                <w:szCs w:val="20"/>
              </w:rPr>
            </w:pPr>
            <w:r>
              <w:rPr>
                <w:rFonts w:hint="eastAsia" w:ascii="宋体" w:hAnsi="宋体" w:eastAsia="宋体" w:cs="仿宋"/>
                <w:kern w:val="0"/>
                <w:sz w:val="20"/>
                <w:szCs w:val="20"/>
                <w:lang w:bidi="ar"/>
              </w:rPr>
              <w:t>13</w:t>
            </w:r>
          </w:p>
        </w:tc>
        <w:tc>
          <w:tcPr>
            <w:tcW w:w="696" w:type="dxa"/>
            <w:tcBorders>
              <w:top w:val="single" w:color="auto" w:sz="4" w:space="0"/>
              <w:left w:val="single" w:color="auto" w:sz="4" w:space="0"/>
              <w:bottom w:val="single" w:color="auto" w:sz="4" w:space="0"/>
              <w:right w:val="single" w:color="auto" w:sz="4" w:space="0"/>
            </w:tcBorders>
            <w:vAlign w:val="center"/>
          </w:tcPr>
          <w:p w14:paraId="15B670CB">
            <w:pPr>
              <w:widowControl/>
              <w:adjustRightInd w:val="0"/>
              <w:snapToGrid w:val="0"/>
              <w:spacing w:line="360" w:lineRule="auto"/>
              <w:jc w:val="center"/>
              <w:rPr>
                <w:rFonts w:ascii="宋体" w:hAnsi="宋体" w:eastAsia="宋体"/>
                <w:sz w:val="20"/>
                <w:szCs w:val="20"/>
              </w:rPr>
            </w:pPr>
            <w:r>
              <w:rPr>
                <w:rFonts w:hint="eastAsia" w:ascii="宋体" w:hAnsi="宋体" w:eastAsia="宋体" w:cs="仿宋"/>
                <w:kern w:val="0"/>
                <w:sz w:val="20"/>
                <w:szCs w:val="20"/>
                <w:lang w:bidi="ar"/>
              </w:rPr>
              <w:t>文件跨网交互平台</w:t>
            </w:r>
          </w:p>
        </w:tc>
        <w:tc>
          <w:tcPr>
            <w:tcW w:w="6026" w:type="dxa"/>
            <w:tcBorders>
              <w:top w:val="single" w:color="auto" w:sz="4" w:space="0"/>
              <w:left w:val="single" w:color="auto" w:sz="4" w:space="0"/>
              <w:bottom w:val="single" w:color="auto" w:sz="4" w:space="0"/>
              <w:right w:val="single" w:color="auto" w:sz="4" w:space="0"/>
            </w:tcBorders>
            <w:vAlign w:val="center"/>
          </w:tcPr>
          <w:p w14:paraId="7F1E16BA">
            <w:pPr>
              <w:pStyle w:val="5"/>
              <w:rPr>
                <w:rFonts w:hint="default"/>
              </w:rPr>
            </w:pPr>
            <w:r>
              <w:t>1.登录与认证：账号密码校验登录，对登录错误进行有效提示。</w:t>
            </w:r>
          </w:p>
          <w:p w14:paraId="33A2A0F5">
            <w:pPr>
              <w:pStyle w:val="5"/>
              <w:rPr>
                <w:rFonts w:hint="default"/>
              </w:rPr>
            </w:pPr>
            <w:r>
              <w:t>2.数据概览：图表展示个人用户文件类型（文档、音频、视频、图片）的内存占用情况。</w:t>
            </w:r>
          </w:p>
          <w:p w14:paraId="6D057B68">
            <w:pPr>
              <w:pStyle w:val="5"/>
              <w:rPr>
                <w:rFonts w:hint="default"/>
              </w:rPr>
            </w:pPr>
            <w:r>
              <w:t>3.我的接收：以列表形式展示外网发到内网的文件，文件大小、传输状态、支持按传输状态筛选和按文件名搜索</w:t>
            </w:r>
          </w:p>
          <w:p w14:paraId="2ABD183B">
            <w:pPr>
              <w:pStyle w:val="5"/>
              <w:rPr>
                <w:rFonts w:hint="default"/>
              </w:rPr>
            </w:pPr>
            <w:r>
              <w:t>4.我的发送：以列表形式展示内网发到外网文件，文件大小、传输状态、按传输状态筛选和按文件名搜索险审核</w:t>
            </w:r>
          </w:p>
          <w:p w14:paraId="1AA27641">
            <w:pPr>
              <w:pStyle w:val="5"/>
              <w:rPr>
                <w:rFonts w:hint="default"/>
              </w:rPr>
            </w:pPr>
            <w:r>
              <w:t>5.用户管理：</w:t>
            </w:r>
          </w:p>
          <w:p w14:paraId="56874A56">
            <w:pPr>
              <w:pStyle w:val="5"/>
              <w:rPr>
                <w:rFonts w:hint="default"/>
              </w:rPr>
            </w:pPr>
            <w:r>
              <w:t>增加、修改、删除、展示用户功能</w:t>
            </w:r>
          </w:p>
          <w:p w14:paraId="3D837A72">
            <w:pPr>
              <w:pStyle w:val="5"/>
              <w:rPr>
                <w:rFonts w:hint="default"/>
              </w:rPr>
            </w:pPr>
            <w:r>
              <w:t>6.内网数据处理模块：</w:t>
            </w:r>
          </w:p>
          <w:p w14:paraId="398769D5">
            <w:pPr>
              <w:pStyle w:val="5"/>
              <w:rPr>
                <w:rFonts w:hint="default"/>
              </w:rPr>
            </w:pPr>
            <w:r>
              <w:t>6.1数据组包功能：根据用户选择的文件，按照预设规则对数据进行结构化封装（添加数据标识、时间戳、校验信息等），将封装后的数据生成标准文件，通过ZIP 压缩算法打包为单一压缩包，自动将生成的 ZIP 数据包写入指定输出目录，支持组包完成状态返回。</w:t>
            </w:r>
          </w:p>
          <w:p w14:paraId="55537C6D">
            <w:pPr>
              <w:pStyle w:val="5"/>
              <w:rPr>
                <w:rFonts w:hint="default"/>
              </w:rPr>
            </w:pPr>
            <w:r>
              <w:t>6.2数据解包功能：从指定输入目录自动扫描外网传输的待解包 ZIP 数据包，对 ZIP 文件进行合法性校验（格式校验、完整性校验），解压 ZIP 压缩包，提取内部封装的原始数据，按照组包规则解析数据，还原为可识别的标准数据格式，解包后数据输出、解包处理后状态返回。</w:t>
            </w:r>
          </w:p>
        </w:tc>
        <w:tc>
          <w:tcPr>
            <w:tcW w:w="671" w:type="dxa"/>
            <w:tcBorders>
              <w:top w:val="single" w:color="auto" w:sz="4" w:space="0"/>
              <w:left w:val="single" w:color="auto" w:sz="4" w:space="0"/>
              <w:bottom w:val="single" w:color="auto" w:sz="4" w:space="0"/>
              <w:right w:val="single" w:color="auto" w:sz="4" w:space="0"/>
            </w:tcBorders>
            <w:vAlign w:val="center"/>
          </w:tcPr>
          <w:p w14:paraId="39614C13">
            <w:pPr>
              <w:widowControl/>
              <w:adjustRightInd w:val="0"/>
              <w:snapToGrid w:val="0"/>
              <w:spacing w:line="360" w:lineRule="auto"/>
              <w:jc w:val="center"/>
              <w:rPr>
                <w:rFonts w:ascii="宋体" w:hAnsi="宋体" w:eastAsia="宋体" w:cs="宋体"/>
                <w:bCs/>
                <w:kern w:val="0"/>
                <w:sz w:val="20"/>
                <w:szCs w:val="20"/>
              </w:rPr>
            </w:pPr>
            <w:r>
              <w:rPr>
                <w:rFonts w:hint="eastAsia" w:ascii="宋体" w:hAnsi="宋体" w:eastAsia="宋体" w:cs="仿宋"/>
                <w:kern w:val="0"/>
                <w:sz w:val="20"/>
                <w:szCs w:val="20"/>
                <w:lang w:bidi="ar"/>
              </w:rPr>
              <w:t>1套</w:t>
            </w:r>
          </w:p>
        </w:tc>
      </w:tr>
      <w:bookmarkEnd w:id="0"/>
    </w:tbl>
    <w:p w14:paraId="19845705">
      <w:pPr>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7C54953"/>
    <w:rsid w:val="52AB78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Plain Text"/>
    <w:basedOn w:val="1"/>
    <w:qFormat/>
    <w:uiPriority w:val="0"/>
    <w:pPr>
      <w:spacing w:line="324" w:lineRule="auto"/>
    </w:pPr>
    <w:rPr>
      <w:rFonts w:ascii="宋体" w:hAnsi="Courier New" w:eastAsia="宋体" w:cs="Times New Roman"/>
      <w:szCs w:val="21"/>
    </w:rPr>
  </w:style>
  <w:style w:type="paragraph" w:customStyle="1" w:styleId="5">
    <w:name w:val="null3"/>
    <w:hidden/>
    <w:qFormat/>
    <w:uiPriority w:val="0"/>
    <w:rPr>
      <w:rFonts w:hint="eastAsia" w:asciiTheme="minorHAnsi" w:hAnsiTheme="minorHAnsi" w:eastAsiaTheme="minorEastAsia" w:cstheme="minorBidi"/>
      <w:lang w:val="en-US" w:eastAsia="zh-Hans"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2026-07-09T03:27:21Z</dcterms:created>
  <dc:creator>Lenovo</dc:creator>
  <cp:lastModifiedBy>钟声</cp:lastModifiedBy>
  <dcterms:modified xsi:type="dcterms:W3CDTF">2026-07-09T03:28:46Z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eyJoZGlkIjoiOTJmM2Y3YjgzNWU3ZDc3NGZmYWVkNzQyNTc3YTk1YjQiLCJ1c2VySWQiOiI2Nzc2MzQ0MTQifQ==</vt:lpwstr>
  </property>
  <property fmtid="{D5CDD505-2E9C-101B-9397-08002B2CF9AE}" pid="4" name="ICV">
    <vt:lpwstr>7DC480399FB34AF58EA3AB2F08E3CD59_12</vt:lpwstr>
  </property>
</Properties>
</file>