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版本号：YWGL-ZC-2026-0020.1B120260601001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2026年陕西省专家休假考察活动(二次)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YWGL-ZC-2026-0020.1B1</w:t>
      </w:r>
      <w:r>
        <w:br/>
      </w:r>
      <w:r>
        <w:br/>
      </w:r>
      <w:r>
        <w:br/>
      </w:r>
    </w:p>
    <w:p>
      <w:pPr>
        <w:pStyle w:val="null3"/>
        <w:jc w:val="center"/>
        <w:outlineLvl w:val="2"/>
      </w:pPr>
      <w:r>
        <w:rPr>
          <w:rFonts w:ascii="仿宋_GB2312" w:hAnsi="仿宋_GB2312" w:cs="仿宋_GB2312" w:eastAsia="仿宋_GB2312"/>
          <w:sz w:val="28"/>
          <w:b/>
        </w:rPr>
        <w:t>陕西省人力资源和社会保障厅机关</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陕西省人力资源和社会保障厅机关</w:t>
      </w:r>
      <w:r>
        <w:rPr>
          <w:rFonts w:ascii="仿宋_GB2312" w:hAnsi="仿宋_GB2312" w:cs="仿宋_GB2312" w:eastAsia="仿宋_GB2312"/>
        </w:rPr>
        <w:t>委托，拟对</w:t>
      </w:r>
      <w:r>
        <w:rPr>
          <w:rFonts w:ascii="仿宋_GB2312" w:hAnsi="仿宋_GB2312" w:cs="仿宋_GB2312" w:eastAsia="仿宋_GB2312"/>
        </w:rPr>
        <w:t>2026年陕西省专家休假考察活动(二次)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YWGL-ZC-2026-0020.1B1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2026年陕西省专家休假考察活动(二次)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陕西省专家休假考察活动采购项目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采购包1（2026年陕西省专家休假考察活动）：属于专门面向中小企业采购。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1、资质：供应商须具有合格有效的《旅行社业务经营许可证》。供应商需在项目电子化交易系统中按要求上传相应证明文件并进行电子签章。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或其授权委托书：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陕西省人力资源和社会保障厅机关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陕西省西安市新城广场省政府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开户名称：陕西猷为项目管理有限公司</w:t>
            </w:r>
          </w:p>
          <w:p>
            <w:pPr>
              <w:pStyle w:val="null3"/>
            </w:pPr>
            <w:r>
              <w:rPr>
                <w:rFonts w:ascii="仿宋_GB2312" w:hAnsi="仿宋_GB2312" w:cs="仿宋_GB2312" w:eastAsia="仿宋_GB2312"/>
              </w:rPr>
              <w:t>开户银行：陕西秦农农村商业银行股份有限公司钟楼支行</w:t>
            </w:r>
          </w:p>
          <w:p>
            <w:pPr>
              <w:pStyle w:val="null3"/>
            </w:pPr>
            <w:r>
              <w:rPr>
                <w:rFonts w:ascii="仿宋_GB2312" w:hAnsi="仿宋_GB2312" w:cs="仿宋_GB2312" w:eastAsia="仿宋_GB2312"/>
              </w:rPr>
              <w:t>银行账号：2701012201201000054344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陕西省人力资源和社会保障厅机关</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陕西省人力资源和社会保障厅机关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陕西省人力资源和社会保障厅机关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地址：西安市碑林区南二环路79号广丰国际大厦2区8楼810室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本项目为专家休假考察活动服务采购，旨在为陕西省人力资源和社会保障厅组织的专家休假考察活动提供全程服务保障。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专家休假考察项目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标的名称：专家休假考察项目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r>
              <w:rPr>
                <w:rFonts w:ascii="仿宋_GB2312" w:hAnsi="仿宋_GB2312" w:cs="仿宋_GB2312" w:eastAsia="仿宋_GB2312"/>
                <w:sz w:val="21"/>
              </w:rPr>
              <w:t>本项目为专家休假考察活动服务采购，旨在为陕西省人力资源和社会保障厅组织的专家休假考察活动提供全程服务保障。项目分两期实施，具体安排如下：</w:t>
            </w:r>
          </w:p>
          <w:p>
            <w:pPr>
              <w:pStyle w:val="null3"/>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行程安排</w:t>
            </w:r>
          </w:p>
          <w:p>
            <w:pPr>
              <w:pStyle w:val="null3"/>
            </w:pPr>
            <w:r>
              <w:rPr>
                <w:rFonts w:ascii="仿宋_GB2312" w:hAnsi="仿宋_GB2312" w:cs="仿宋_GB2312" w:eastAsia="仿宋_GB2312"/>
                <w:sz w:val="21"/>
              </w:rPr>
              <w:t>1.出行时间</w:t>
            </w:r>
            <w:r>
              <w:rPr>
                <w:rFonts w:ascii="仿宋_GB2312" w:hAnsi="仿宋_GB2312" w:cs="仿宋_GB2312" w:eastAsia="仿宋_GB2312"/>
                <w:sz w:val="21"/>
              </w:rPr>
              <w:t>：</w:t>
            </w:r>
            <w:r>
              <w:rPr>
                <w:rFonts w:ascii="仿宋_GB2312" w:hAnsi="仿宋_GB2312" w:cs="仿宋_GB2312" w:eastAsia="仿宋_GB2312"/>
                <w:sz w:val="21"/>
              </w:rPr>
              <w:t>本项目计划于202</w:t>
            </w:r>
            <w:r>
              <w:rPr>
                <w:rFonts w:ascii="仿宋_GB2312" w:hAnsi="仿宋_GB2312" w:cs="仿宋_GB2312" w:eastAsia="仿宋_GB2312"/>
                <w:sz w:val="21"/>
              </w:rPr>
              <w:t>6</w:t>
            </w:r>
            <w:r>
              <w:rPr>
                <w:rFonts w:ascii="仿宋_GB2312" w:hAnsi="仿宋_GB2312" w:cs="仿宋_GB2312" w:eastAsia="仿宋_GB2312"/>
                <w:sz w:val="21"/>
              </w:rPr>
              <w:t>年6月和8月分两期实施，每期行程时长为6天。具体出行时间以合同签订后双方确认的日期为准。</w:t>
            </w:r>
          </w:p>
          <w:p>
            <w:pPr>
              <w:pStyle w:val="null3"/>
            </w:pPr>
            <w:r>
              <w:rPr>
                <w:rFonts w:ascii="仿宋_GB2312" w:hAnsi="仿宋_GB2312" w:cs="仿宋_GB2312" w:eastAsia="仿宋_GB2312"/>
                <w:sz w:val="21"/>
              </w:rPr>
              <w:t>2.起止地点</w:t>
            </w:r>
            <w:r>
              <w:rPr>
                <w:rFonts w:ascii="仿宋_GB2312" w:hAnsi="仿宋_GB2312" w:cs="仿宋_GB2312" w:eastAsia="仿宋_GB2312"/>
                <w:sz w:val="21"/>
              </w:rPr>
              <w:t>：</w:t>
            </w:r>
            <w:r>
              <w:rPr>
                <w:rFonts w:ascii="仿宋_GB2312" w:hAnsi="仿宋_GB2312" w:cs="仿宋_GB2312" w:eastAsia="仿宋_GB2312"/>
                <w:sz w:val="21"/>
              </w:rPr>
              <w:t>两期活动的起止地点均为陕西省西安市。</w:t>
            </w:r>
          </w:p>
          <w:p>
            <w:pPr>
              <w:pStyle w:val="null3"/>
            </w:pPr>
            <w:r>
              <w:rPr>
                <w:rFonts w:ascii="仿宋_GB2312" w:hAnsi="仿宋_GB2312" w:cs="仿宋_GB2312" w:eastAsia="仿宋_GB2312"/>
                <w:sz w:val="21"/>
              </w:rPr>
              <w:t>3</w:t>
            </w:r>
            <w:r>
              <w:rPr>
                <w:rFonts w:ascii="仿宋_GB2312" w:hAnsi="仿宋_GB2312" w:cs="仿宋_GB2312" w:eastAsia="仿宋_GB2312"/>
                <w:sz w:val="21"/>
              </w:rPr>
              <w:t>.活动地点</w:t>
            </w:r>
            <w:r>
              <w:rPr>
                <w:rFonts w:ascii="仿宋_GB2312" w:hAnsi="仿宋_GB2312" w:cs="仿宋_GB2312" w:eastAsia="仿宋_GB2312"/>
                <w:sz w:val="21"/>
              </w:rPr>
              <w:t>：</w:t>
            </w:r>
            <w:r>
              <w:rPr>
                <w:rFonts w:ascii="仿宋_GB2312" w:hAnsi="仿宋_GB2312" w:cs="仿宋_GB2312" w:eastAsia="仿宋_GB2312"/>
                <w:sz w:val="21"/>
              </w:rPr>
              <w:t>两期活动地点分别为：第一期（6月）：云南省</w:t>
            </w:r>
            <w:r>
              <w:rPr>
                <w:rFonts w:ascii="仿宋_GB2312" w:hAnsi="仿宋_GB2312" w:cs="仿宋_GB2312" w:eastAsia="仿宋_GB2312"/>
                <w:sz w:val="21"/>
              </w:rPr>
              <w:t>；</w:t>
            </w:r>
            <w:r>
              <w:rPr>
                <w:rFonts w:ascii="仿宋_GB2312" w:hAnsi="仿宋_GB2312" w:cs="仿宋_GB2312" w:eastAsia="仿宋_GB2312"/>
                <w:sz w:val="21"/>
              </w:rPr>
              <w:t>第二期（8月）：内蒙古自治区</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参与人数</w:t>
            </w:r>
            <w:r>
              <w:rPr>
                <w:rFonts w:ascii="仿宋_GB2312" w:hAnsi="仿宋_GB2312" w:cs="仿宋_GB2312" w:eastAsia="仿宋_GB2312"/>
                <w:sz w:val="21"/>
              </w:rPr>
              <w:t>：</w:t>
            </w:r>
            <w:r>
              <w:rPr>
                <w:rFonts w:ascii="仿宋_GB2312" w:hAnsi="仿宋_GB2312" w:cs="仿宋_GB2312" w:eastAsia="仿宋_GB2312"/>
                <w:sz w:val="21"/>
              </w:rPr>
              <w:t>每期参与人数约为60人，最终以实际出行人数为准。</w:t>
            </w:r>
          </w:p>
          <w:p>
            <w:pPr>
              <w:pStyle w:val="null3"/>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定制化方案</w:t>
            </w:r>
            <w:r>
              <w:rPr>
                <w:rFonts w:ascii="仿宋_GB2312" w:hAnsi="仿宋_GB2312" w:cs="仿宋_GB2312" w:eastAsia="仿宋_GB2312"/>
                <w:sz w:val="21"/>
              </w:rPr>
              <w:t>：供应商须根</w:t>
            </w:r>
            <w:r>
              <w:rPr>
                <w:rFonts w:ascii="仿宋_GB2312" w:hAnsi="仿宋_GB2312" w:cs="仿宋_GB2312" w:eastAsia="仿宋_GB2312"/>
                <w:sz w:val="21"/>
              </w:rPr>
              <w:t>据专家年龄</w:t>
            </w:r>
            <w:r>
              <w:rPr>
                <w:rFonts w:ascii="仿宋_GB2312" w:hAnsi="仿宋_GB2312" w:cs="仿宋_GB2312" w:eastAsia="仿宋_GB2312"/>
                <w:sz w:val="21"/>
              </w:rPr>
              <w:t>（年龄区间40-66岁）</w:t>
            </w:r>
            <w:r>
              <w:rPr>
                <w:rFonts w:ascii="仿宋_GB2312" w:hAnsi="仿宋_GB2312" w:cs="仿宋_GB2312" w:eastAsia="仿宋_GB2312"/>
                <w:sz w:val="21"/>
              </w:rPr>
              <w:t>、职业特点，严格落实休假考察有关规定，按照采购人指定地点制定相应的行程方案和经费预算方案。</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人员配备：供应商须选派工作经验丰富、综合能力强的工作人员全程做好组织协调、交通、食宿等方面的服务保障工作。</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保险要求：供应商须为全体活动参与人员购买相关保险，并列明具体保额（含旅行社责任险、人身意外伤害保险）。</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文化活动安排：行程应结合当地红色教育资源，安排组织团建活动等集体项目，增进休假考察人员之间的了解和交流，配合带队人员做好政治引领相关工作。</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行程管理：供应商须严格按照行程安排开展活动，未经采购人允许不得临时改变行程或安排与休假考察无关的活动。须做好活动期间的行程记录，及时收集参加人员的意见建议，每日向采购人报告活动开展情况，并根据实际情况和采购人要求及时调整有关安排。</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方案内容：定制化休假考察方案应包含但不限于：行程线路、交通方式、餐饮住宿安排、应急保障措施、其他增值服务及全包式各项费用清单。</w:t>
            </w:r>
          </w:p>
          <w:p>
            <w:pPr>
              <w:pStyle w:val="null3"/>
              <w:jc w:val="both"/>
            </w:pPr>
            <w:r>
              <w:rPr>
                <w:rFonts w:ascii="仿宋_GB2312" w:hAnsi="仿宋_GB2312" w:cs="仿宋_GB2312" w:eastAsia="仿宋_GB2312"/>
                <w:sz w:val="21"/>
              </w:rPr>
              <w:t>（七）费用说明：供应商报价须为全包价，包含行程期间的一切费用，包括但不限于：交通费（含往返大交通及当地交通）、住宿费、餐饮费、保险费、税费及应急保障等相关费用。除合同另有约定外，采购人及休假考察人员无需支付任何额外费用。</w:t>
            </w:r>
          </w:p>
          <w:p>
            <w:pPr>
              <w:pStyle w:val="null3"/>
            </w:pPr>
            <w:r>
              <w:rPr>
                <w:rFonts w:ascii="仿宋_GB2312" w:hAnsi="仿宋_GB2312" w:cs="仿宋_GB2312" w:eastAsia="仿宋_GB2312"/>
                <w:sz w:val="21"/>
              </w:rPr>
              <w:t>三、其他要求</w:t>
            </w:r>
            <w:r>
              <w:rPr>
                <w:rFonts w:ascii="仿宋_GB2312" w:hAnsi="仿宋_GB2312" w:cs="仿宋_GB2312" w:eastAsia="仿宋_GB2312"/>
                <w:sz w:val="21"/>
              </w:rPr>
              <w:t>：</w:t>
            </w:r>
          </w:p>
          <w:p>
            <w:pPr>
              <w:pStyle w:val="null3"/>
            </w:pPr>
            <w:r>
              <w:rPr>
                <w:rFonts w:ascii="仿宋_GB2312" w:hAnsi="仿宋_GB2312" w:cs="仿宋_GB2312" w:eastAsia="仿宋_GB2312"/>
                <w:sz w:val="21"/>
              </w:rPr>
              <w:t>（一）</w:t>
            </w:r>
            <w:r>
              <w:rPr>
                <w:rFonts w:ascii="仿宋_GB2312" w:hAnsi="仿宋_GB2312" w:cs="仿宋_GB2312" w:eastAsia="仿宋_GB2312"/>
                <w:sz w:val="21"/>
              </w:rPr>
              <w:t>供应商须设立专项工作组，明确各工作环节负责人及其工作职责，开展各项统筹协调和服务保障工作，确保当期出行活动安全有序、保质保量且圆满顺利完成。</w:t>
            </w:r>
          </w:p>
          <w:p>
            <w:pPr>
              <w:pStyle w:val="null3"/>
            </w:pPr>
            <w:r>
              <w:rPr>
                <w:rFonts w:ascii="仿宋_GB2312" w:hAnsi="仿宋_GB2312" w:cs="仿宋_GB2312" w:eastAsia="仿宋_GB2312"/>
                <w:sz w:val="21"/>
              </w:rPr>
              <w:t>（二）</w:t>
            </w:r>
            <w:r>
              <w:rPr>
                <w:rFonts w:ascii="仿宋_GB2312" w:hAnsi="仿宋_GB2312" w:cs="仿宋_GB2312" w:eastAsia="仿宋_GB2312"/>
                <w:sz w:val="21"/>
              </w:rPr>
              <w:t>供应商须做好休假考察人员的通知工作，</w:t>
            </w:r>
            <w:r>
              <w:rPr>
                <w:rFonts w:ascii="仿宋_GB2312" w:hAnsi="仿宋_GB2312" w:cs="仿宋_GB2312" w:eastAsia="仿宋_GB2312"/>
                <w:sz w:val="21"/>
              </w:rPr>
              <w:t>当期出行相关事宜确定后，确保</w:t>
            </w:r>
            <w:r>
              <w:rPr>
                <w:rFonts w:ascii="仿宋_GB2312" w:hAnsi="仿宋_GB2312" w:cs="仿宋_GB2312" w:eastAsia="仿宋_GB2312"/>
                <w:sz w:val="21"/>
              </w:rPr>
              <w:t>休假考察</w:t>
            </w:r>
            <w:r>
              <w:rPr>
                <w:rFonts w:ascii="仿宋_GB2312" w:hAnsi="仿宋_GB2312" w:cs="仿宋_GB2312" w:eastAsia="仿宋_GB2312"/>
                <w:sz w:val="21"/>
              </w:rPr>
              <w:t>人员逐一通知到位（时间、地点），并做好通知情况登记工作。</w:t>
            </w:r>
          </w:p>
          <w:p>
            <w:pPr>
              <w:pStyle w:val="null3"/>
            </w:pPr>
            <w:r>
              <w:rPr>
                <w:rFonts w:ascii="仿宋_GB2312" w:hAnsi="仿宋_GB2312" w:cs="仿宋_GB2312" w:eastAsia="仿宋_GB2312"/>
                <w:sz w:val="21"/>
              </w:rPr>
              <w:t>（三）</w:t>
            </w:r>
            <w:r>
              <w:rPr>
                <w:rFonts w:ascii="仿宋_GB2312" w:hAnsi="仿宋_GB2312" w:cs="仿宋_GB2312" w:eastAsia="仿宋_GB2312"/>
                <w:sz w:val="21"/>
              </w:rPr>
              <w:t>活动开展前，供应商需为采购人提供目的地的人文、地理概况等基本背景情况及安全注意事项。</w:t>
            </w:r>
          </w:p>
          <w:p>
            <w:pPr>
              <w:pStyle w:val="null3"/>
            </w:pPr>
            <w:r>
              <w:rPr>
                <w:rFonts w:ascii="仿宋_GB2312" w:hAnsi="仿宋_GB2312" w:cs="仿宋_GB2312" w:eastAsia="仿宋_GB2312"/>
                <w:sz w:val="21"/>
              </w:rPr>
              <w:t>（四）</w:t>
            </w:r>
            <w:r>
              <w:rPr>
                <w:rFonts w:ascii="仿宋_GB2312" w:hAnsi="仿宋_GB2312" w:cs="仿宋_GB2312" w:eastAsia="仿宋_GB2312"/>
                <w:sz w:val="21"/>
              </w:rPr>
              <w:t>供应商须负责每期活动乘用的交通工具，自有或租赁的交通工具须技术状况良好、证照齐全、干净整洁、安全设施配备充足。驾驶人员须持证上岗，严格遵守交通规则，按照双方商定的路线行驶。严禁使用存在安全隐患的交通工具。</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每期出行活动全程禁止安排购物环节。供应商不得指定、推荐或引导参与人员前往旅游产品商店，不得存在介绍、引导购买旅游产品的行为，不得存在隐形消费。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供应商选派工作人员全程做好组织协调、交通、食宿等方面的服务保障工作。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4个月，具体日期以合同签订的时间为准。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提供2025年11月1日至今已缴纳的至少一个月的纳税证明或完税证明（除印花税以外的任意税种），纳税证明或完税证明上应有代收机构或税务机关的公章或业务专用章，依法免税的单位应提供相关证明材料。 3.供应商提供2025年11月1日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具有财务审计资质单位出具的完整的2024年度或者2025年度赋码的财务审计报告（成立时间至响应文件递交截止时间不足一年的可提供成立后任意时段的资产负债表）或响应文件递交截止时间前六个月内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供应商须具有合格有效的《旅行社业务经营许可证》。供应商需在项目电子化交易系统中按要求上传相应证明文件并进行电子签章。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竞争性磋商响应文件按照磋商文件规定要求签署、盖章。</w:t>
            </w:r>
          </w:p>
        </w:tc>
        <w:tc>
          <w:tcPr>
            <w:tcW w:type="dxa" w:w="1661"/>
          </w:tcPr>
          <w:p>
            <w:pPr>
              <w:pStyle w:val="null3"/>
            </w:pPr>
            <w:r>
              <w:rPr>
                <w:rFonts w:ascii="仿宋_GB2312" w:hAnsi="仿宋_GB2312" w:cs="仿宋_GB2312" w:eastAsia="仿宋_GB2312"/>
              </w:rPr>
              <w:t>响应文件封面 分项报价表.docx 陕西省政府采购投标人拒绝政府采购领域商业贿赂承诺书.docx 中小企业声明函 残疾人福利性单位声明函 标的清单 报价表 采购需求偏离表.docx 响应函 资格证明文件.docx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1.响应文件中项目名称、项目编号与本项目一致。 2.响应文件内容须包括但不限于：响应函、报价表、资格证明文件、 采购需求偏离表、服务说明等。</w:t>
            </w:r>
          </w:p>
        </w:tc>
        <w:tc>
          <w:tcPr>
            <w:tcW w:type="dxa" w:w="1661"/>
          </w:tcPr>
          <w:p>
            <w:pPr>
              <w:pStyle w:val="null3"/>
            </w:pPr>
            <w:r>
              <w:rPr>
                <w:rFonts w:ascii="仿宋_GB2312" w:hAnsi="仿宋_GB2312" w:cs="仿宋_GB2312" w:eastAsia="仿宋_GB2312"/>
              </w:rPr>
              <w:t>报价表 响应函 服务方案.docx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应符合采购文件的要求。不得提交有选择性的报价，且不得超过采购文件规定的最高限价。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完全响应采购文件的服务要求，无负偏离。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符合采购文件的要求（响应文件须附保证金交纳凭证）。</w:t>
            </w:r>
          </w:p>
        </w:tc>
        <w:tc>
          <w:tcPr>
            <w:tcW w:type="dxa" w:w="1661"/>
          </w:tcPr>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没有出现法律法规或磋商文件规定的其他无效情形。</w:t>
            </w:r>
          </w:p>
        </w:tc>
        <w:tc>
          <w:tcPr>
            <w:tcW w:type="dxa" w:w="1661"/>
          </w:tcPr>
          <w:p>
            <w:pPr>
              <w:pStyle w:val="null3"/>
            </w:pPr>
            <w:r>
              <w:rPr>
                <w:rFonts w:ascii="仿宋_GB2312" w:hAnsi="仿宋_GB2312" w:cs="仿宋_GB2312" w:eastAsia="仿宋_GB2312"/>
              </w:rPr>
              <w:t>中小企业声明函 报价表 采购需求偏离表.docx 资格证明文件.docx 响应文件封面 分项报价表.docx 其他应说明的事项.docx 陕西省政府采购投标人拒绝政府采购领域商业贿赂承诺书.docx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针对本项目提供项目需求分析。内容包含但不限于：①项目需求分析②服务内容分析。 二、评审标准：满足完整性（方案全面、详细阐述各项要求）、可实施性（切合项目实际、步骤清晰合理）、针对性（紧扣项目实际、内容科学合理）三项要求得6分；每有一个评审内容缺项扣3分，每一项评审内容中每出现一处缺陷扣1分，扣完为止。 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住宿安排方案</w:t>
            </w:r>
          </w:p>
        </w:tc>
        <w:tc>
          <w:tcPr>
            <w:tcW w:type="dxa" w:w="2492"/>
          </w:tcPr>
          <w:p>
            <w:pPr>
              <w:pStyle w:val="null3"/>
            </w:pPr>
            <w:r>
              <w:rPr>
                <w:rFonts w:ascii="仿宋_GB2312" w:hAnsi="仿宋_GB2312" w:cs="仿宋_GB2312" w:eastAsia="仿宋_GB2312"/>
              </w:rPr>
              <w:t>一、评审内容：根据项目采购需求制定住宿安排方案，包含但不限于①酒店的合作情况②住宿档次（星级）③卫生情况④周边交通情况及住宿安全保障。 二、评审标准：满足完整性（方案全面、详细阐述各项要求）、可实施性（切合项目实际、步骤清晰合理）、针对性（紧扣项目实际、内容科学合理）三项要求得12分；每有一个评审内容缺项扣3分，每一项评审内容中每出现一处缺陷扣0.5分，扣完为止。 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餐饮服务保障方案</w:t>
            </w:r>
          </w:p>
        </w:tc>
        <w:tc>
          <w:tcPr>
            <w:tcW w:type="dxa" w:w="2492"/>
          </w:tcPr>
          <w:p>
            <w:pPr>
              <w:pStyle w:val="null3"/>
            </w:pPr>
            <w:r>
              <w:rPr>
                <w:rFonts w:ascii="仿宋_GB2312" w:hAnsi="仿宋_GB2312" w:cs="仿宋_GB2312" w:eastAsia="仿宋_GB2312"/>
              </w:rPr>
              <w:t>一、评审内容：根据项目采购需求制定餐饮安排方案，包含但不限于①餐厅的合作情况及餐饮计划安排②餐饮搭配（须包含清真食品）③用餐环境④食品安全保障。 二、评审标准：满足完整性（方案全面、详细阐述各项要求）、可实施性（切合项目实际、步骤清晰合理）、针对性（紧扣项目实际、内容科学合理）三项要求得12分；每有一个评审内容缺项扣3分，每一项评审内容中每出现一处缺陷扣0.5分，扣完为止。 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交通安排方案</w:t>
            </w:r>
          </w:p>
        </w:tc>
        <w:tc>
          <w:tcPr>
            <w:tcW w:type="dxa" w:w="2492"/>
          </w:tcPr>
          <w:p>
            <w:pPr>
              <w:pStyle w:val="null3"/>
            </w:pPr>
            <w:r>
              <w:rPr>
                <w:rFonts w:ascii="仿宋_GB2312" w:hAnsi="仿宋_GB2312" w:cs="仿宋_GB2312" w:eastAsia="仿宋_GB2312"/>
              </w:rPr>
              <w:t>一、评审内容：根据项目采购需求制定交通安排方案，包含但不限于①交通安排计划、②交通安全措施及保障、③车辆配置情况（交通工具技术状况、证照、安全设施等）。 二、评审标准：满足完整性（方案全面、详细阐述各项要求）、可实施性（切合项目实际、步骤清晰合理）、针对性（紧扣项目实际、内容科学合理）三项要求得9分；每有一个评审内容缺项扣3分，每一项评审内容中每出现一处缺陷扣0.5分，扣完为止。 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行程路线安排方案</w:t>
            </w:r>
          </w:p>
        </w:tc>
        <w:tc>
          <w:tcPr>
            <w:tcW w:type="dxa" w:w="2492"/>
          </w:tcPr>
          <w:p>
            <w:pPr>
              <w:pStyle w:val="null3"/>
            </w:pPr>
            <w:r>
              <w:rPr>
                <w:rFonts w:ascii="仿宋_GB2312" w:hAnsi="仿宋_GB2312" w:cs="仿宋_GB2312" w:eastAsia="仿宋_GB2312"/>
              </w:rPr>
              <w:t>一、评审内容：根据项目采购需求制定行程路线安排方案，包含但不限于①行程路线优化情况②行程安排③导游跟踪服务情况④无购物及推销保障。 二、评审标准：满足完整性（方案全面、详细阐述各项要求）、可实施性（切合项目实际、步骤清晰合理）、针对性（紧扣项目实际、内容科学合理）三项要求得8分；每有一个评审内容缺项扣2分，每一项评审内容中每出现一处缺陷扣0.5分，扣完为止。 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服务质量承诺及保障措施</w:t>
            </w:r>
          </w:p>
        </w:tc>
        <w:tc>
          <w:tcPr>
            <w:tcW w:type="dxa" w:w="2492"/>
          </w:tcPr>
          <w:p>
            <w:pPr>
              <w:pStyle w:val="null3"/>
            </w:pPr>
            <w:r>
              <w:rPr>
                <w:rFonts w:ascii="仿宋_GB2312" w:hAnsi="仿宋_GB2312" w:cs="仿宋_GB2312" w:eastAsia="仿宋_GB2312"/>
              </w:rPr>
              <w:t>一、评审内容： 评审内容：提供服务质量承诺及保障措施，包含但不限于①服务质量承诺及保障措施②全程服务承诺（明确全程陪同、各环节专人负责）③服务热线电话及质量投诉电话、违约责任承诺及违约处罚措施。 二、评审标准：满足完整性（方案全面、详细阐述各项要求）、可实施性（切合项目实际、步骤清晰合理）、针对性（紧扣项目实际、内容科学合理）三项要求得9分；每有一个评审内容缺项扣3分，每一项评审内容中每出现一处缺陷扣0.5分，扣完为止。 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保险服务</w:t>
            </w:r>
          </w:p>
        </w:tc>
        <w:tc>
          <w:tcPr>
            <w:tcW w:type="dxa" w:w="2492"/>
          </w:tcPr>
          <w:p>
            <w:pPr>
              <w:pStyle w:val="null3"/>
            </w:pPr>
            <w:r>
              <w:rPr>
                <w:rFonts w:ascii="仿宋_GB2312" w:hAnsi="仿宋_GB2312" w:cs="仿宋_GB2312" w:eastAsia="仿宋_GB2312"/>
              </w:rPr>
              <w:t>一、评审内容：针对本项目提供保险服务，包含但不限于①保险方案（含险种、保额、条款，须含旅行社责任险、人身意外伤害保险）②保险服务质量保障措施。 二、评审标准：满足完整性（方案全面、详细阐述各项要求）、可实施性（切合项目实际、步骤清晰合理）、针对性（紧扣项目实际、内容科学合理）三项要求得6分；每有一个评审内容缺项扣3分，每一项评审内容中每出现一处缺陷扣0.5分，扣完为止。 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一、评审内容：提供应急预案及措施，包含但不限于①应急组织机构及应急响应流程②分类应急预案及应急响应时限③应急通讯保障及与采购人的联动机制。 二、评审标准：满足完整性（方案全面、详细阐述各项要求）、可实施性（切合项目实际、步骤清晰合理）、针对性（紧扣项目实际、内容科学合理）三项要求得6分；每有一个评审内容缺项扣2分，每一项评审内容中每出现一处缺陷扣0.5分，扣完为止。 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拟派项目团队人员</w:t>
            </w:r>
          </w:p>
        </w:tc>
        <w:tc>
          <w:tcPr>
            <w:tcW w:type="dxa" w:w="2492"/>
          </w:tcPr>
          <w:p>
            <w:pPr>
              <w:pStyle w:val="null3"/>
            </w:pPr>
            <w:r>
              <w:rPr>
                <w:rFonts w:ascii="仿宋_GB2312" w:hAnsi="仿宋_GB2312" w:cs="仿宋_GB2312" w:eastAsia="仿宋_GB2312"/>
              </w:rPr>
              <w:t>一、评审内容：项目负责人资质、服务团队配置、导游等级、驾驶员资质。 二、评审标准： 1.项目负责人：具有3年以上工作经验，得2分（需提供承诺函或服务合同或劳动合同等证明材料）；无相关经验不得分。 2.服务团队：配备专职导游、后勤保障人员，职责分工明确，得4分；每出现一处缺陷扣0.5分，扣完为止。注： 缺陷是指职责分工不明确；内容不完整或缺少关键点；非专门针对本项目或不适用本项目特性、套用其他项目内容；后勤保障范围不清晰；存在逻辑漏洞、科学原理或常识错误；不利于本项目目标的实现；涉及的规范及标准错误；地点区域错误；方案标题与实际内容不相符合；人员数量与团队规模不匹配，不符合现实操作等任意一种情形。 3.导游等级：供应商针对本项目投入一名高级导游员得2分，投入一名中级导游员得1.5分，本项满分2分（同一供应商提供多名导游，按最高级别计分，不重复计算）。 4.驾驶员：提供驾龄10年及以上、年龄55岁以内的驾驶员，得2分（需提供相应人员证书复印件并加盖供应商公章）；不满足不得分。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无有效投诉承诺</w:t>
            </w:r>
          </w:p>
        </w:tc>
        <w:tc>
          <w:tcPr>
            <w:tcW w:type="dxa" w:w="2492"/>
          </w:tcPr>
          <w:p>
            <w:pPr>
              <w:pStyle w:val="null3"/>
            </w:pPr>
            <w:r>
              <w:rPr>
                <w:rFonts w:ascii="仿宋_GB2312" w:hAnsi="仿宋_GB2312" w:cs="仿宋_GB2312" w:eastAsia="仿宋_GB2312"/>
              </w:rPr>
              <w:t>供应商提供《无有效投诉承诺函》（格式自拟），承诺自2021年4月1日至本项目投标截止之日无有效投诉记录（有效投诉定义：经旅游行政管理部门查实并作出处理的投诉），得2分；未提供承诺函不得分（如有虚假承诺，按提供虚假材料处理，取消成交资格并报监管部门追究法律责任）。</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供应商提供有利于项目实施的伴随服务内容，每提供一项科学、合理、针对性强的服务得1分，满分3分。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供应商提供2023年6月1日至今（以合同签订时间为准）类似项目业绩合同，每份得1分，满分5分。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2.采用低价优先法计算，即满足磋商文件要求且报价最低的磋商报价为基准价，其价格分为满分12分。 3.磋商报价得分=（磋商基准价/最后磋商报价）×12分。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