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版本号：JXZB2026-05-1620260526002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修补防护隔离围网工程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JXZB2026-05-16</w:t>
      </w:r>
      <w:r>
        <w:br/>
      </w:r>
      <w:r>
        <w:br/>
      </w:r>
      <w:r>
        <w:br/>
      </w:r>
    </w:p>
    <w:p>
      <w:pPr>
        <w:pStyle w:val="null3"/>
        <w:jc w:val="center"/>
        <w:outlineLvl w:val="2"/>
      </w:pPr>
      <w:r>
        <w:rPr>
          <w:rFonts w:ascii="仿宋_GB2312" w:hAnsi="仿宋_GB2312" w:cs="仿宋_GB2312" w:eastAsia="仿宋_GB2312"/>
          <w:sz w:val="28"/>
          <w:b/>
        </w:rPr>
        <w:t>西安市黑河水源地环境保护管理总站</w:t>
      </w:r>
    </w:p>
    <w:p>
      <w:pPr>
        <w:pStyle w:val="null3"/>
        <w:jc w:val="center"/>
        <w:outlineLvl w:val="2"/>
      </w:pPr>
      <w:r>
        <w:rPr>
          <w:rFonts w:ascii="仿宋_GB2312" w:hAnsi="仿宋_GB2312" w:cs="仿宋_GB2312" w:eastAsia="仿宋_GB2312"/>
          <w:sz w:val="28"/>
          <w:b/>
        </w:rPr>
        <w:t>建信众诚工程咨询有限公司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建信众诚工程咨询有限公司</w:t>
      </w:r>
      <w:r>
        <w:rPr>
          <w:rFonts w:ascii="仿宋_GB2312" w:hAnsi="仿宋_GB2312" w:cs="仿宋_GB2312" w:eastAsia="仿宋_GB2312"/>
        </w:rPr>
        <w:t>（以下简称“代理机构”）受</w:t>
      </w:r>
      <w:r>
        <w:rPr>
          <w:rFonts w:ascii="仿宋_GB2312" w:hAnsi="仿宋_GB2312" w:cs="仿宋_GB2312" w:eastAsia="仿宋_GB2312"/>
        </w:rPr>
        <w:t>西安市黑河水源地环境保护管理总站</w:t>
      </w:r>
      <w:r>
        <w:rPr>
          <w:rFonts w:ascii="仿宋_GB2312" w:hAnsi="仿宋_GB2312" w:cs="仿宋_GB2312" w:eastAsia="仿宋_GB2312"/>
        </w:rPr>
        <w:t>委托，拟对</w:t>
      </w:r>
      <w:r>
        <w:rPr>
          <w:rFonts w:ascii="仿宋_GB2312" w:hAnsi="仿宋_GB2312" w:cs="仿宋_GB2312" w:eastAsia="仿宋_GB2312"/>
        </w:rPr>
        <w:t>修补防护隔离围网工程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JXZB2026-05-16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修补防护隔离围网工程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修补陈河分站至沙梁子分站108 国道沿线被冲毁的810 米防护隔离围网以及围网基础设施，防止游客翻越，以保障人员安全。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采购包1（修补防护隔离围网工程）：属于专门面向中小企业采购。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身份：具有独立承担民事责任的能力。（注：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以上均提供复印件）</w:t>
      </w:r>
    </w:p>
    <w:p>
      <w:pPr>
        <w:pStyle w:val="null3"/>
      </w:pPr>
      <w:r>
        <w:rPr>
          <w:rFonts w:ascii="仿宋_GB2312" w:hAnsi="仿宋_GB2312" w:cs="仿宋_GB2312" w:eastAsia="仿宋_GB2312"/>
        </w:rPr>
        <w:t>2、法定代表人授权书：法定代表人授权书（附法定代表人、被授权人身份证复印件），法定代表人直接参加磋商，须提供法定代表人身份证明；</w:t>
      </w:r>
    </w:p>
    <w:p>
      <w:pPr>
        <w:pStyle w:val="null3"/>
      </w:pPr>
      <w:r>
        <w:rPr>
          <w:rFonts w:ascii="仿宋_GB2312" w:hAnsi="仿宋_GB2312" w:cs="仿宋_GB2312" w:eastAsia="仿宋_GB2312"/>
        </w:rPr>
        <w:t>3、资质证书：供应商具备建筑工程施工总承包三级及以上资质，同时具有合格有效的安全生产许可证；</w:t>
      </w:r>
    </w:p>
    <w:p>
      <w:pPr>
        <w:pStyle w:val="null3"/>
      </w:pPr>
      <w:r>
        <w:rPr>
          <w:rFonts w:ascii="仿宋_GB2312" w:hAnsi="仿宋_GB2312" w:cs="仿宋_GB2312" w:eastAsia="仿宋_GB2312"/>
        </w:rPr>
        <w:t>4、项目经理：拟派项目经理具备建筑工程专业二级及以上注册建造师执业资格且在本单位注册，具有有效的安全生产考核合格证（建安B证），且未担任其他在建工程项目的项目经理（提供无在建承诺书）；</w:t>
      </w:r>
    </w:p>
    <w:p>
      <w:pPr>
        <w:pStyle w:val="null3"/>
      </w:pPr>
      <w:r>
        <w:rPr>
          <w:rFonts w:ascii="仿宋_GB2312" w:hAnsi="仿宋_GB2312" w:cs="仿宋_GB2312" w:eastAsia="仿宋_GB2312"/>
        </w:rPr>
        <w:t>5、财务状况报告：提供具有财务审计资质单位出具的2024年或2025年度财务报告（成立时间至开标时间不足一年的可提供成立后任意时段的资产负债表。供应商是企业的，财务报告是指经会计师事务所审计的上述指定年度整个会计年度财务报表（须提供会计师事务所出具的审计报告复印件）,复印件至少须包括报告正文、资产负债表、现金流量表、利润表、所有者权益变动表、附注和会计师事务所营业执照，报告正文应当有会计师事务所公章和2名注册会计师的签字及盖章。且2022年10月1日后出具的审计报告应当经过注册会计师行业统一监管平台备案赋码。）或开标前六个月内其基本账户银行出具的资信证明或政府采购信用担保机构出具的担保函。（以上三种形式的资料提供任意一种即可）；</w:t>
      </w:r>
    </w:p>
    <w:p>
      <w:pPr>
        <w:pStyle w:val="null3"/>
      </w:pPr>
      <w:r>
        <w:rPr>
          <w:rFonts w:ascii="仿宋_GB2312" w:hAnsi="仿宋_GB2312" w:cs="仿宋_GB2312" w:eastAsia="仿宋_GB2312"/>
        </w:rPr>
        <w:t>6、税收缴纳证明：供应商提供2025年09月至今已缴存的至少1个月的依法缴纳税收的相关凭据。依法免税或无须缴纳税收的供应商，应提供相应证明文件；</w:t>
      </w:r>
    </w:p>
    <w:p>
      <w:pPr>
        <w:pStyle w:val="null3"/>
      </w:pPr>
      <w:r>
        <w:rPr>
          <w:rFonts w:ascii="仿宋_GB2312" w:hAnsi="仿宋_GB2312" w:cs="仿宋_GB2312" w:eastAsia="仿宋_GB2312"/>
        </w:rPr>
        <w:t>7、社会保障资金缴纳证明：供应商提供2025年09月至今已缴存的至少1个月的社会保障资金缴存单据或社保机构开具的社会保险参保缴费情况证明。依法不需要缴纳社会保障资金的供应商应提供相关证明文件；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8、信用信息：供应商不得为“信用中国”网站（www.creditchina.gov.cn）中列入“失信被执行人（中国执行信息公开网https://zxgk.court.gov.cn/shixin/） ”和 “ 重大税收违法失信主体 ” 的供应商 ， 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9、设备和专业技术能力的声明：提供具有履行合同所必需的设备和专业技术能力的承诺；</w:t>
      </w:r>
    </w:p>
    <w:p>
      <w:pPr>
        <w:pStyle w:val="null3"/>
      </w:pPr>
      <w:r>
        <w:rPr>
          <w:rFonts w:ascii="仿宋_GB2312" w:hAnsi="仿宋_GB2312" w:cs="仿宋_GB2312" w:eastAsia="仿宋_GB2312"/>
        </w:rPr>
        <w:t>10、无重大违法记录的书面声明：参加政府采购活动前三年内，在经营活动中没有重大违法记录的书面声明；</w:t>
      </w:r>
    </w:p>
    <w:p>
      <w:pPr>
        <w:pStyle w:val="null3"/>
      </w:pPr>
      <w:r>
        <w:rPr>
          <w:rFonts w:ascii="仿宋_GB2312" w:hAnsi="仿宋_GB2312" w:cs="仿宋_GB2312" w:eastAsia="仿宋_GB2312"/>
        </w:rPr>
        <w:t>11、控股管理关系：单位负责人为同一人或者存在直接控股、管理关系的不同供应商，不得参加同一合同项下的政府采购活动；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12、联合体：本项目不接受联合体磋商；</w:t>
      </w:r>
    </w:p>
    <w:p>
      <w:pPr>
        <w:pStyle w:val="null3"/>
      </w:pPr>
      <w:r>
        <w:rPr>
          <w:rFonts w:ascii="仿宋_GB2312" w:hAnsi="仿宋_GB2312" w:cs="仿宋_GB2312" w:eastAsia="仿宋_GB2312"/>
        </w:rPr>
        <w:t>13、中小企业声明函：本项目专门面向中小企业采购，供应商须提供中小企业声明函；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西安市黑河水源地环境保护管理总站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西安市周至县马召镇武家庄村金盆水库大坝交通桥西</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13709189388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建信众诚工程咨询有限公司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陕西省西安市雁塔区南二环西段208号捷瑞智能大厦东区9楼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雷芳娟、雷春龙，龙素菊，牛立华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18802907639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采购包1：395,600.00元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代理服务费收费标准：1、成交服务费按约定由成交供应商支付。 2、成交供应商应依据成交金额向采购代理机构交纳成交服务费，交费金额参照《招标代理服务收费管理暂行办法》（计价格（2002）1980号）附件规定的收费标准收取，不足伍仟元按伍仟元收取。 3、本项目代理服务费按服务计取。 由成交供应商在领取中标（成交）通知书时向代理机构缴纳代理服务费。招标代理服务费采用现金、电汇或银行转账方式交纳，不得采用投标保证金抵扣。 服务费交纳账户： 开户行：西安银行股份有限公司东二环南段支行； 开户名称：建信众诚工程咨询有限公司； 账号：209011580000085788</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西安市黑河水源地环境保护管理总站</w:t>
      </w:r>
      <w:r>
        <w:rPr>
          <w:rFonts w:ascii="仿宋_GB2312" w:hAnsi="仿宋_GB2312" w:cs="仿宋_GB2312" w:eastAsia="仿宋_GB2312"/>
        </w:rPr>
        <w:t>和</w:t>
      </w:r>
      <w:r>
        <w:rPr>
          <w:rFonts w:ascii="仿宋_GB2312" w:hAnsi="仿宋_GB2312" w:cs="仿宋_GB2312" w:eastAsia="仿宋_GB2312"/>
        </w:rPr>
        <w:t>建信众诚工程咨询有限公司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西安市黑河水源地环境保护管理总站</w:t>
      </w:r>
      <w:r>
        <w:rPr>
          <w:rFonts w:ascii="仿宋_GB2312" w:hAnsi="仿宋_GB2312" w:cs="仿宋_GB2312" w:eastAsia="仿宋_GB2312"/>
        </w:rPr>
        <w:t>负责解释。除上述磋商文件内容，其他内容由</w:t>
      </w:r>
      <w:r>
        <w:rPr>
          <w:rFonts w:ascii="仿宋_GB2312" w:hAnsi="仿宋_GB2312" w:cs="仿宋_GB2312" w:eastAsia="仿宋_GB2312"/>
        </w:rPr>
        <w:t>建信众诚工程咨询有限公司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西安市黑河水源地环境保护管理总站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建信众诚工程咨询有限公司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联系人：雷芳娟、雷春龙</w:t>
      </w:r>
    </w:p>
    <w:p>
      <w:pPr>
        <w:pStyle w:val="null3"/>
      </w:pPr>
      <w:r>
        <w:rPr>
          <w:rFonts w:ascii="仿宋_GB2312" w:hAnsi="仿宋_GB2312" w:cs="仿宋_GB2312" w:eastAsia="仿宋_GB2312"/>
        </w:rPr>
        <w:t>联系电话：18802907639</w:t>
      </w:r>
    </w:p>
    <w:p>
      <w:pPr>
        <w:pStyle w:val="null3"/>
      </w:pPr>
      <w:r>
        <w:rPr>
          <w:rFonts w:ascii="仿宋_GB2312" w:hAnsi="仿宋_GB2312" w:cs="仿宋_GB2312" w:eastAsia="仿宋_GB2312"/>
        </w:rPr>
        <w:t>地址：陕西省西安市雁塔区南二环西段208号捷瑞智能大厦东区9楼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395,600.00</w:t>
      </w:r>
    </w:p>
    <w:p>
      <w:pPr>
        <w:pStyle w:val="null3"/>
      </w:pPr>
      <w:r>
        <w:rPr>
          <w:rFonts w:ascii="仿宋_GB2312" w:hAnsi="仿宋_GB2312" w:cs="仿宋_GB2312" w:eastAsia="仿宋_GB2312"/>
        </w:rPr>
        <w:t>采购包最高限价（元）: 387,471.43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修补防护隔离网</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395,600.00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标的名称：修补防护隔离网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75"/>
              <w:ind w:left="30"/>
              <w:jc w:val="left"/>
            </w:pPr>
            <w:r>
              <w:rPr>
                <w:rFonts w:ascii="仿宋_GB2312" w:hAnsi="仿宋_GB2312" w:cs="仿宋_GB2312" w:eastAsia="仿宋_GB2312"/>
                <w:sz w:val="24"/>
                <w:b/>
                <w:color w:val="000000"/>
              </w:rPr>
              <w:t>项目概况：</w:t>
            </w:r>
          </w:p>
          <w:p>
            <w:pPr>
              <w:pStyle w:val="null3"/>
              <w:spacing w:before="120"/>
              <w:ind w:left="45" w:firstLine="454"/>
              <w:jc w:val="left"/>
            </w:pPr>
            <w:r>
              <w:rPr>
                <w:rFonts w:ascii="仿宋_GB2312" w:hAnsi="仿宋_GB2312" w:cs="仿宋_GB2312" w:eastAsia="仿宋_GB2312"/>
                <w:sz w:val="24"/>
                <w:color w:val="000000"/>
              </w:rPr>
              <w:t>修补陈河分站至沙梁子分站</w:t>
            </w:r>
            <w:r>
              <w:rPr>
                <w:rFonts w:ascii="仿宋_GB2312" w:hAnsi="仿宋_GB2312" w:cs="仿宋_GB2312" w:eastAsia="仿宋_GB2312"/>
                <w:sz w:val="24"/>
                <w:color w:val="000000"/>
              </w:rPr>
              <w:t>108</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国道沿线被冲毁的</w:t>
            </w:r>
            <w:r>
              <w:rPr>
                <w:rFonts w:ascii="仿宋_GB2312" w:hAnsi="仿宋_GB2312" w:cs="仿宋_GB2312" w:eastAsia="仿宋_GB2312"/>
                <w:sz w:val="24"/>
                <w:color w:val="000000"/>
              </w:rPr>
              <w:t>810</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米防</w:t>
            </w:r>
            <w:r>
              <w:rPr>
                <w:rFonts w:ascii="仿宋_GB2312" w:hAnsi="仿宋_GB2312" w:cs="仿宋_GB2312" w:eastAsia="仿宋_GB2312"/>
                <w:sz w:val="24"/>
                <w:color w:val="000000"/>
              </w:rPr>
              <w:t>护隔离围网以及</w:t>
            </w:r>
            <w:r>
              <w:rPr>
                <w:rFonts w:ascii="仿宋_GB2312" w:hAnsi="仿宋_GB2312" w:cs="仿宋_GB2312" w:eastAsia="仿宋_GB2312"/>
                <w:sz w:val="24"/>
                <w:color w:val="000000"/>
              </w:rPr>
              <w:t>围网基础设施，防止游客翻越，以保障人员安全。</w:t>
            </w:r>
          </w:p>
          <w:p>
            <w:pPr>
              <w:pStyle w:val="null3"/>
              <w:spacing w:before="75"/>
              <w:ind w:left="30"/>
              <w:jc w:val="left"/>
            </w:pP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color w:val="000000"/>
              </w:rPr>
              <w:t>工程内容：</w:t>
            </w:r>
          </w:p>
          <w:p>
            <w:pPr>
              <w:pStyle w:val="null3"/>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 xml:space="preserve"> 108 国道防护隔离围网修补工程</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spacing w:before="120"/>
              <w:jc w:val="left"/>
            </w:pPr>
            <w:r>
              <w:rPr>
                <w:rFonts w:ascii="仿宋_GB2312" w:hAnsi="仿宋_GB2312" w:cs="仿宋_GB2312" w:eastAsia="仿宋_GB2312"/>
                <w:sz w:val="24"/>
                <w:color w:val="000000"/>
              </w:rPr>
              <w:t>（一）</w:t>
            </w:r>
            <w:r>
              <w:rPr>
                <w:rFonts w:ascii="仿宋_GB2312" w:hAnsi="仿宋_GB2312" w:cs="仿宋_GB2312" w:eastAsia="仿宋_GB2312"/>
                <w:sz w:val="24"/>
                <w:color w:val="000000"/>
              </w:rPr>
              <w:t>工程地点：采购人指定地点</w:t>
            </w:r>
          </w:p>
          <w:p>
            <w:pPr>
              <w:pStyle w:val="null3"/>
              <w:spacing w:before="180"/>
              <w:jc w:val="left"/>
            </w:pPr>
            <w:r>
              <w:rPr>
                <w:rFonts w:ascii="仿宋_GB2312" w:hAnsi="仿宋_GB2312" w:cs="仿宋_GB2312" w:eastAsia="仿宋_GB2312"/>
                <w:sz w:val="24"/>
                <w:color w:val="000000"/>
              </w:rPr>
              <w:t>（二）计划工期：</w:t>
            </w:r>
            <w:r>
              <w:rPr>
                <w:rFonts w:ascii="仿宋_GB2312" w:hAnsi="仿宋_GB2312" w:cs="仿宋_GB2312" w:eastAsia="仿宋_GB2312"/>
                <w:sz w:val="24"/>
                <w:color w:val="000000"/>
              </w:rPr>
              <w:t>自进场之日起</w:t>
            </w:r>
            <w:r>
              <w:rPr>
                <w:rFonts w:ascii="仿宋_GB2312" w:hAnsi="仿宋_GB2312" w:cs="仿宋_GB2312" w:eastAsia="仿宋_GB2312"/>
                <w:sz w:val="24"/>
                <w:color w:val="000000"/>
              </w:rPr>
              <w:t>60</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个日历日内竣工。</w:t>
            </w:r>
          </w:p>
          <w:p>
            <w:pPr>
              <w:pStyle w:val="null3"/>
              <w:spacing w:before="180"/>
              <w:jc w:val="left"/>
            </w:pPr>
            <w:r>
              <w:rPr>
                <w:rFonts w:ascii="仿宋_GB2312" w:hAnsi="仿宋_GB2312" w:cs="仿宋_GB2312" w:eastAsia="仿宋_GB2312"/>
                <w:sz w:val="24"/>
                <w:color w:val="000000"/>
              </w:rPr>
              <w:t>（三）</w:t>
            </w:r>
            <w:r>
              <w:rPr>
                <w:rFonts w:ascii="仿宋_GB2312" w:hAnsi="仿宋_GB2312" w:cs="仿宋_GB2312" w:eastAsia="仿宋_GB2312"/>
                <w:sz w:val="24"/>
                <w:color w:val="000000"/>
              </w:rPr>
              <w:t>缺陷责任期：</w:t>
            </w:r>
            <w:r>
              <w:rPr>
                <w:rFonts w:ascii="仿宋_GB2312" w:hAnsi="仿宋_GB2312" w:cs="仿宋_GB2312" w:eastAsia="仿宋_GB2312"/>
                <w:sz w:val="24"/>
                <w:color w:val="000000"/>
              </w:rPr>
              <w:t>24个月</w:t>
            </w:r>
            <w:r>
              <w:rPr>
                <w:rFonts w:ascii="仿宋_GB2312" w:hAnsi="仿宋_GB2312" w:cs="仿宋_GB2312" w:eastAsia="仿宋_GB2312"/>
                <w:sz w:val="24"/>
                <w:color w:val="000000"/>
              </w:rPr>
              <w:t>。</w:t>
            </w:r>
          </w:p>
          <w:p>
            <w:pPr>
              <w:pStyle w:val="null3"/>
              <w:spacing w:before="180"/>
              <w:jc w:val="left"/>
            </w:pPr>
            <w:r>
              <w:rPr>
                <w:rFonts w:ascii="仿宋_GB2312" w:hAnsi="仿宋_GB2312" w:cs="仿宋_GB2312" w:eastAsia="仿宋_GB2312"/>
                <w:sz w:val="24"/>
                <w:color w:val="000000"/>
              </w:rPr>
              <w:t>（四）质量保修期：</w:t>
            </w:r>
            <w:r>
              <w:rPr>
                <w:rFonts w:ascii="仿宋_GB2312" w:hAnsi="仿宋_GB2312" w:cs="仿宋_GB2312" w:eastAsia="仿宋_GB2312"/>
                <w:sz w:val="24"/>
                <w:color w:val="000000"/>
              </w:rPr>
              <w:t>2</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年。</w:t>
            </w:r>
          </w:p>
          <w:p>
            <w:pPr>
              <w:pStyle w:val="null3"/>
              <w:spacing w:before="180"/>
              <w:jc w:val="left"/>
            </w:pPr>
            <w:r>
              <w:rPr>
                <w:rFonts w:ascii="仿宋_GB2312" w:hAnsi="仿宋_GB2312" w:cs="仿宋_GB2312" w:eastAsia="仿宋_GB2312"/>
                <w:sz w:val="24"/>
                <w:color w:val="000000"/>
              </w:rPr>
              <w:t>（五）</w:t>
            </w:r>
            <w:r>
              <w:rPr>
                <w:rFonts w:ascii="仿宋_GB2312" w:hAnsi="仿宋_GB2312" w:cs="仿宋_GB2312" w:eastAsia="仿宋_GB2312"/>
                <w:sz w:val="24"/>
                <w:color w:val="000000"/>
              </w:rPr>
              <w:t>质量标准：</w:t>
            </w:r>
            <w:r>
              <w:rPr>
                <w:rFonts w:ascii="仿宋_GB2312" w:hAnsi="仿宋_GB2312" w:cs="仿宋_GB2312" w:eastAsia="仿宋_GB2312"/>
                <w:sz w:val="24"/>
                <w:color w:val="000000"/>
              </w:rPr>
              <w:t>符合国家现行有关施工质量验收规范</w:t>
            </w:r>
            <w:r>
              <w:rPr>
                <w:rFonts w:ascii="仿宋_GB2312" w:hAnsi="仿宋_GB2312" w:cs="仿宋_GB2312" w:eastAsia="仿宋_GB2312"/>
                <w:sz w:val="24"/>
                <w:color w:val="000000"/>
              </w:rPr>
              <w:t>“合格</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”要求。</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spacing w:before="120"/>
              <w:ind w:left="510"/>
            </w:pPr>
            <w:r>
              <w:rPr>
                <w:rFonts w:ascii="仿宋_GB2312" w:hAnsi="仿宋_GB2312" w:cs="仿宋_GB2312" w:eastAsia="仿宋_GB2312"/>
                <w:sz w:val="24"/>
                <w:color w:val="000000"/>
              </w:rPr>
              <w:t>计价依据：</w:t>
            </w:r>
          </w:p>
          <w:p>
            <w:pPr>
              <w:pStyle w:val="null3"/>
              <w:spacing w:before="120"/>
              <w:ind w:firstLine="468"/>
              <w:jc w:val="left"/>
            </w:pPr>
            <w:r>
              <w:rPr>
                <w:rFonts w:ascii="仿宋_GB2312" w:hAnsi="仿宋_GB2312" w:cs="仿宋_GB2312" w:eastAsia="仿宋_GB2312"/>
                <w:sz w:val="24"/>
                <w:color w:val="000000"/>
              </w:rPr>
              <w:t>根据图纸、现场踏勘情况、陕西省</w:t>
            </w:r>
            <w:r>
              <w:rPr>
                <w:rFonts w:ascii="仿宋_GB2312" w:hAnsi="仿宋_GB2312" w:cs="仿宋_GB2312" w:eastAsia="仿宋_GB2312"/>
                <w:sz w:val="24"/>
                <w:color w:val="000000"/>
              </w:rPr>
              <w:t>2025计价标准、2025年陕西省建设工程工</w:t>
            </w:r>
            <w:r>
              <w:rPr>
                <w:rFonts w:ascii="仿宋_GB2312" w:hAnsi="仿宋_GB2312" w:cs="仿宋_GB2312" w:eastAsia="仿宋_GB2312"/>
                <w:sz w:val="24"/>
                <w:color w:val="000000"/>
              </w:rPr>
              <w:t>程量清单计价标准及计算标准</w:t>
            </w:r>
            <w:r>
              <w:rPr>
                <w:rFonts w:ascii="仿宋_GB2312" w:hAnsi="仿宋_GB2312" w:cs="仿宋_GB2312" w:eastAsia="仿宋_GB2312"/>
                <w:sz w:val="24"/>
                <w:color w:val="000000"/>
              </w:rPr>
              <w:t>、</w:t>
            </w:r>
            <w:r>
              <w:rPr>
                <w:rFonts w:ascii="仿宋_GB2312" w:hAnsi="仿宋_GB2312" w:cs="仿宋_GB2312" w:eastAsia="仿宋_GB2312"/>
                <w:sz w:val="24"/>
                <w:color w:val="000000"/>
              </w:rPr>
              <w:t>2025年陕西省房屋建筑与装饰工程消耗量定额</w:t>
            </w:r>
            <w:r>
              <w:rPr>
                <w:rFonts w:ascii="仿宋_GB2312" w:hAnsi="仿宋_GB2312" w:cs="仿宋_GB2312" w:eastAsia="仿宋_GB2312"/>
                <w:sz w:val="24"/>
                <w:color w:val="000000"/>
              </w:rPr>
              <w:t>2025年陕西省房屋建筑与装饰工程基价表及其陕西省建设工程费用规则；2026年</w:t>
            </w:r>
            <w:r>
              <w:rPr>
                <w:rFonts w:ascii="仿宋_GB2312" w:hAnsi="仿宋_GB2312" w:cs="仿宋_GB2312" w:eastAsia="仿宋_GB2312"/>
                <w:sz w:val="24"/>
                <w:color w:val="000000"/>
              </w:rPr>
              <w:t>最新</w:t>
            </w:r>
            <w:r>
              <w:rPr>
                <w:rFonts w:ascii="仿宋_GB2312" w:hAnsi="仿宋_GB2312" w:cs="仿宋_GB2312" w:eastAsia="仿宋_GB2312"/>
                <w:sz w:val="24"/>
                <w:color w:val="000000"/>
              </w:rPr>
              <w:t>4月份信息价格</w:t>
            </w:r>
            <w:r>
              <w:rPr>
                <w:rFonts w:ascii="仿宋_GB2312" w:hAnsi="仿宋_GB2312" w:cs="仿宋_GB2312" w:eastAsia="仿宋_GB2312"/>
                <w:sz w:val="24"/>
                <w:color w:val="000000"/>
              </w:rPr>
              <w:t>。</w:t>
            </w:r>
          </w:p>
          <w:p>
            <w:pPr>
              <w:pStyle w:val="null3"/>
              <w:spacing w:before="120"/>
              <w:ind w:firstLine="468"/>
              <w:jc w:val="left"/>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 ”要求。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符合国家及行业相关标准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承包人不得因甲方资金暂时不到位而影响工期。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主体身份</w:t>
            </w:r>
          </w:p>
        </w:tc>
        <w:tc>
          <w:tcPr>
            <w:tcW w:type="dxa" w:w="3322"/>
          </w:tcPr>
          <w:p>
            <w:pPr>
              <w:pStyle w:val="null3"/>
            </w:pPr>
            <w:r>
              <w:rPr>
                <w:rFonts w:ascii="仿宋_GB2312" w:hAnsi="仿宋_GB2312" w:cs="仿宋_GB2312" w:eastAsia="仿宋_GB2312"/>
              </w:rPr>
              <w:t>具有独立承担民事责任的能力。（注：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以上均提供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法定代表人授权书（附法定代表人、被授权人身份证复印件），法定代表人直接参加磋商，须提供法定代表人身份证明；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供应商具备建筑工程施工总承包三级及以上资质，同时具有合格有效的安全生产许可证；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拟派项目经理具备建筑工程专业二级及以上注册建造师执业资格且在本单位注册，具有有效的安全生产考核合格证（建安B证），且未担任其他在建工程项目的项目经理（提供无在建承诺书）；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2024年或2025年度财务报告（成立时间至开标时间不足一年的可提供成立后任意时段的资产负债表。供应商是企业的，财务报告是指经会计师事务所审计的上述指定年度整个会计年度财务报表（须提供会计师事务所出具的审计报告复印件）,复印件至少须包括报告正文、资产负债表、现金流量表、利润表、所有者权益变动表、附注和会计师事务所营业执照，报告正文应当有会计师事务所公章和2名注册会计师的签字及盖章。且2022年10月1日后出具的审计报告应当经过注册会计师行业统一监管平台备案赋码。）或开标前六个月内其基本账户银行出具的资信证明或政府采购信用担保机构出具的担保函。（以上三种形式的资料提供任意一种即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供应商提供2025年09月至今已缴存的至少1个月的依法缴纳税收的相关凭据。依法免税或无须缴纳税收的供应商，应提供相应证明文件；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供应商提供2025年09月至今已缴存的至少1个月的社会保障资金缴存单据或社保机构开具的社会保险参保缴费情况证明。依法不需要缴纳社会保障资金的供应商应提供相关证明文件；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供应商不得为“信用中国”网站（www.creditchina.gov.cn）中列入“失信被执行人（中国执行信息公开网https://zxgk.court.gov.cn/shixin/） ”和 “ 重大税收违法失信主体 ” 的供应商 ， 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设备和专业技术能力的声明</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本项目专门面向中小企业采购，供应商须提供中小企业声明函；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（1）响应文件组成明显不符合采购文件的规定要求，影响磋商小组评判的； （2）响应文件的语言、计量单位、知识产权、响应有效期等不符合采购文件的规定，影响磋商小组评判的； (3）磋商小组经过磋商后，供应商响应文件中技术、服务标准明显不符合磋商文件实质性要求的，或者磋商过程中，磋商小组发现或者知晓供应商存在违法、违纪行为的； （4）属于竞争性磋商文件中无效响应情形的；（5）未标价的工程量清单。</w:t>
            </w:r>
          </w:p>
        </w:tc>
        <w:tc>
          <w:tcPr>
            <w:tcW w:type="dxa" w:w="3322"/>
          </w:tcPr>
          <w:p>
            <w:pPr>
              <w:pStyle w:val="null3"/>
            </w:pPr>
            <w:r>
              <w:rPr>
                <w:rFonts w:ascii="仿宋_GB2312" w:hAnsi="仿宋_GB2312" w:cs="仿宋_GB2312" w:eastAsia="仿宋_GB2312"/>
              </w:rPr>
              <w:t>（1）响应文件组成明显不符合采购文件的规定要求，影响磋商小组评判的；（2）响应文件的语言、计量单位、知识产权、响应有效期等不符合采购文件的规定，影响磋商小组评判的； (3）磋商小组经过磋商后，供应商响应文件中技术、服务标准明显不符合磋商文件实质性要求的，或者磋商过程中，磋商小组发现或者知晓供应商存在违法、违纪行为的；（4）属于竞争性磋商文件中无效响应情形的；（5）未标价的工程量清单。</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响应文件封面 供应商应提交的相关资格证明材料.docx 项目管理机构组成表 残疾人福利性单位声明函 报价函 标的清单 供应商类似项目业绩一览表 响应函 主要人员简历表 陕西省政府采购供应商拒绝政府采购领域商业贿赂承诺书.docx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根据供应商提供的本项目施工方案①施工工艺②施工方法③技术措施进行综合打分，完全响应得15分 ；方案中每有一项内容缺失扣5分，方案内容要素中每存在一处缺陷扣1分，该分项分值扣完为止。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机械配置方案</w:t>
            </w:r>
          </w:p>
        </w:tc>
        <w:tc>
          <w:tcPr>
            <w:tcW w:type="dxa" w:w="2492"/>
          </w:tcPr>
          <w:p>
            <w:pPr>
              <w:pStyle w:val="null3"/>
            </w:pPr>
            <w:r>
              <w:rPr>
                <w:rFonts w:ascii="仿宋_GB2312" w:hAnsi="仿宋_GB2312" w:cs="仿宋_GB2312" w:eastAsia="仿宋_GB2312"/>
              </w:rPr>
              <w:t>根据供应商提供的 机械配置方案①施工所需机械设备清单②投入设备配备情况③劳保用品配置措施进行综合打分，完全响应得6分 ；方案中每有一项内容缺失扣2分，方案内容要素中每存在一处缺陷扣0.5分，该分项分值扣完为止。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供应商提供针对本项目的人员配备方案，包含①项目成员配备科学规范及劳动力保障措施 ②人员组成结构及人员的服务技术能力③配备人员资质经验合理性综合评审，完全响应得6分；方案中每有一项内容缺失扣2分，方案内容要素中每存在一处缺陷扣0.5分，该分项分值扣完为止。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质量管理方案</w:t>
            </w:r>
          </w:p>
        </w:tc>
        <w:tc>
          <w:tcPr>
            <w:tcW w:type="dxa" w:w="2492"/>
          </w:tcPr>
          <w:p>
            <w:pPr>
              <w:pStyle w:val="null3"/>
            </w:pPr>
            <w:r>
              <w:rPr>
                <w:rFonts w:ascii="仿宋_GB2312" w:hAnsi="仿宋_GB2312" w:cs="仿宋_GB2312" w:eastAsia="仿宋_GB2312"/>
              </w:rPr>
              <w:t>供应商提供针对本项目的质量管理方案包含：①质量管理体系②质量保证措施，完全响应得6分 ；方案中每有一项内容缺失扣3分，方案内容要素中每存在一处缺陷扣0.5分，该分项分值扣完为止。 注：缺陷是指：存在项目名称错误、地点区域错误、内容与本项目需求无关、方案内容矛盾或表述前后不一致、仅有框架或标题、适用的标准（方法）错误、明显复制其他项目内容等任意一种情形。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安全管理体系与措施</w:t>
            </w:r>
          </w:p>
        </w:tc>
        <w:tc>
          <w:tcPr>
            <w:tcW w:type="dxa" w:w="2492"/>
          </w:tcPr>
          <w:p>
            <w:pPr>
              <w:pStyle w:val="null3"/>
            </w:pPr>
            <w:r>
              <w:rPr>
                <w:rFonts w:ascii="仿宋_GB2312" w:hAnsi="仿宋_GB2312" w:cs="仿宋_GB2312" w:eastAsia="仿宋_GB2312"/>
              </w:rPr>
              <w:t>根据供应商提供的①安全管理体系与措施②安全文明施工措施③安全教育及培训计划④安全防护措施等进行综合评审：完全响应得6分 ；方案中每有一项内容缺失扣1.5分，方案内容要素中每存在一处缺陷扣0.5分，该分项分值扣完为止。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工程进度计划与措施</w:t>
            </w:r>
          </w:p>
        </w:tc>
        <w:tc>
          <w:tcPr>
            <w:tcW w:type="dxa" w:w="2492"/>
          </w:tcPr>
          <w:p>
            <w:pPr>
              <w:pStyle w:val="null3"/>
            </w:pPr>
            <w:r>
              <w:rPr>
                <w:rFonts w:ascii="仿宋_GB2312" w:hAnsi="仿宋_GB2312" w:cs="仿宋_GB2312" w:eastAsia="仿宋_GB2312"/>
              </w:rPr>
              <w:t>供应商提供针对本项目的工期及进度安排计划包含：①保证项目工期实施措施②施工进度表或施工网络节点表措施③出现特殊情况的应急预案进行综合评审：完全响应得9分；方案中每有一项内容缺失扣3分，方案内容要素中每存在一处缺陷扣0.5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环境保护管理体系与措施</w:t>
            </w:r>
          </w:p>
        </w:tc>
        <w:tc>
          <w:tcPr>
            <w:tcW w:type="dxa" w:w="2492"/>
          </w:tcPr>
          <w:p>
            <w:pPr>
              <w:pStyle w:val="null3"/>
            </w:pPr>
            <w:r>
              <w:rPr>
                <w:rFonts w:ascii="仿宋_GB2312" w:hAnsi="仿宋_GB2312" w:cs="仿宋_GB2312" w:eastAsia="仿宋_GB2312"/>
              </w:rPr>
              <w:t>供应商提供针对本项目的环保方案包含：①环境保护管理体系与措施②污染物处理及排放符合国家及地方环境保护标准响应措施；③现场扬尘预防措施进行综合评审：完全响应得6分；方案中每有一项内容缺失扣2分，方案内容要素中每存在一处缺陷扣0.5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对供应商提供的售后服务方案，包括①承诺维修响应时间②售后人员配置③工程质保承诺方案等进行综合评定：完全响应得9分 ；方案中每有一项内容缺失扣3分，方案内容要素中每存在一处缺陷扣0.5分，该分项分值扣完为止。 注：缺陷是指：存在项目名称错误、地点区域错误、内容与本项目需求无关、方案内容矛盾或表述前后不一致、仅有框架或标题、适用的标准（方法）错误、明显复制其他项目内容等任意一种情形。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根据供应商2023年01月01日至磋商响应截止时间同类业绩，每提供一份有效合同得1分，最高得7分。注：需提供合同复印件及发票，以合同签订时间为准。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最终最低有效报价得30分。以本次最终最低有效报价为基准价，报价得分=(磋商基准价÷最终有效磋商报价)×价格权值×100。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详见附件：施工工程类合同模板(1).docx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