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BCEF5">
      <w:pPr>
        <w:pStyle w:val="2"/>
        <w:spacing w:before="76" w:line="222" w:lineRule="auto"/>
        <w:jc w:val="center"/>
        <w:outlineLvl w:val="0"/>
        <w:rPr>
          <w:rFonts w:ascii="仿宋_GB2312" w:hAnsi="仿宋_GB2312" w:eastAsia="仿宋_GB2312" w:cs="仿宋_GB2312"/>
          <w:color w:val="auto"/>
          <w:sz w:val="44"/>
          <w:szCs w:val="44"/>
          <w:highlight w:val="none"/>
        </w:rPr>
      </w:pPr>
      <w:r>
        <w:rPr>
          <w:rFonts w:hint="eastAsia" w:ascii="仿宋_GB2312" w:hAnsi="仿宋_GB2312" w:eastAsia="仿宋_GB2312" w:cs="仿宋_GB2312"/>
          <w:b/>
          <w:bCs/>
          <w:color w:val="auto"/>
          <w:sz w:val="44"/>
          <w:szCs w:val="44"/>
          <w:highlight w:val="none"/>
        </w:rPr>
        <w:t>开标一览表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9"/>
        <w:gridCol w:w="5870"/>
      </w:tblGrid>
      <w:tr w14:paraId="7D63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3049" w:type="dxa"/>
            <w:noWrap w:val="0"/>
            <w:vAlign w:val="center"/>
          </w:tcPr>
          <w:p w14:paraId="5E7EF23D">
            <w:pPr>
              <w:jc w:val="center"/>
              <w:rPr>
                <w:rFonts w:hint="eastAsia" w:ascii="仿宋_GB2312" w:eastAsia="仿宋_GB2312"/>
                <w:sz w:val="24"/>
                <w:szCs w:val="24"/>
              </w:rPr>
            </w:pPr>
            <w:r>
              <w:rPr>
                <w:rFonts w:hint="eastAsia" w:ascii="仿宋_GB2312" w:eastAsia="仿宋_GB2312"/>
                <w:sz w:val="24"/>
                <w:szCs w:val="24"/>
              </w:rPr>
              <w:t>项目名称</w:t>
            </w:r>
          </w:p>
        </w:tc>
        <w:tc>
          <w:tcPr>
            <w:tcW w:w="5870" w:type="dxa"/>
            <w:noWrap w:val="0"/>
            <w:vAlign w:val="center"/>
          </w:tcPr>
          <w:p w14:paraId="7ECC4B02">
            <w:pPr>
              <w:jc w:val="center"/>
              <w:rPr>
                <w:rFonts w:ascii="仿宋_GB2312" w:eastAsia="仿宋_GB2312"/>
                <w:sz w:val="24"/>
                <w:szCs w:val="24"/>
              </w:rPr>
            </w:pPr>
            <w:r>
              <w:rPr>
                <w:rFonts w:hint="eastAsia" w:ascii="仿宋_GB2312" w:eastAsia="仿宋_GB2312"/>
                <w:sz w:val="24"/>
                <w:szCs w:val="24"/>
                <w:lang w:eastAsia="zh-CN"/>
              </w:rPr>
              <w:t>新生儿纸尿裤、一次性奶瓶、湿巾和护臀霜</w:t>
            </w:r>
            <w:r>
              <w:rPr>
                <w:rFonts w:hint="eastAsia" w:ascii="仿宋_GB2312" w:eastAsia="仿宋_GB2312"/>
                <w:sz w:val="24"/>
                <w:szCs w:val="24"/>
              </w:rPr>
              <w:t>采购项目</w:t>
            </w:r>
          </w:p>
        </w:tc>
      </w:tr>
      <w:tr w14:paraId="3E91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3049" w:type="dxa"/>
            <w:noWrap w:val="0"/>
            <w:vAlign w:val="center"/>
          </w:tcPr>
          <w:p w14:paraId="5ECB1DE3">
            <w:pPr>
              <w:jc w:val="center"/>
              <w:rPr>
                <w:rFonts w:hint="eastAsia" w:ascii="仿宋_GB2312" w:eastAsia="仿宋_GB2312"/>
                <w:sz w:val="24"/>
                <w:szCs w:val="24"/>
              </w:rPr>
            </w:pPr>
            <w:r>
              <w:rPr>
                <w:rFonts w:hint="eastAsia" w:ascii="仿宋_GB2312" w:eastAsia="仿宋_GB2312"/>
                <w:sz w:val="24"/>
                <w:szCs w:val="24"/>
              </w:rPr>
              <w:t>项目编号</w:t>
            </w:r>
          </w:p>
        </w:tc>
        <w:tc>
          <w:tcPr>
            <w:tcW w:w="5870" w:type="dxa"/>
            <w:noWrap w:val="0"/>
            <w:vAlign w:val="center"/>
          </w:tcPr>
          <w:p w14:paraId="6596BFD8">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SXHC2026-058</w:t>
            </w:r>
          </w:p>
        </w:tc>
      </w:tr>
      <w:tr w14:paraId="449B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3049" w:type="dxa"/>
            <w:noWrap w:val="0"/>
            <w:vAlign w:val="center"/>
          </w:tcPr>
          <w:p w14:paraId="627B7492">
            <w:pPr>
              <w:widowControl/>
              <w:jc w:val="center"/>
              <w:rPr>
                <w:rFonts w:hint="default" w:ascii="仿宋_GB2312" w:eastAsia="仿宋_GB2312"/>
                <w:kern w:val="0"/>
                <w:sz w:val="24"/>
                <w:szCs w:val="24"/>
                <w:lang w:val="en-US" w:eastAsia="zh-CN" w:bidi="ar-SA"/>
              </w:rPr>
            </w:pPr>
            <w:r>
              <w:rPr>
                <w:rFonts w:hint="eastAsia" w:ascii="仿宋_GB2312" w:hAnsi="仿宋_GB2312" w:eastAsia="仿宋_GB2312" w:cs="仿宋_GB2312"/>
                <w:sz w:val="24"/>
                <w:szCs w:val="24"/>
                <w:shd w:val="clear" w:color="auto" w:fill="FFFFFF"/>
                <w:lang w:val="en-US" w:eastAsia="zh-CN"/>
              </w:rPr>
              <w:t>投标报价</w:t>
            </w:r>
          </w:p>
        </w:tc>
        <w:tc>
          <w:tcPr>
            <w:tcW w:w="5870" w:type="dxa"/>
            <w:noWrap w:val="0"/>
            <w:vAlign w:val="center"/>
          </w:tcPr>
          <w:p w14:paraId="4B0D28F6">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sz w:val="24"/>
                <w:szCs w:val="24"/>
              </w:rPr>
            </w:pPr>
            <w:r>
              <w:rPr>
                <w:rFonts w:hint="eastAsia" w:ascii="仿宋_GB2312" w:hAnsi="仿宋_GB2312" w:eastAsia="仿宋_GB2312" w:cs="仿宋_GB2312"/>
                <w:sz w:val="24"/>
                <w:szCs w:val="24"/>
                <w:shd w:val="clear" w:color="auto" w:fill="FFFFFF"/>
              </w:rPr>
              <w:t>人民币（小写）：</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u w:val="single"/>
                <w:shd w:val="clear" w:color="auto" w:fill="FFFFFF"/>
                <w:lang w:val="en-US" w:eastAsia="zh-CN"/>
              </w:rPr>
              <w:t xml:space="preserve">  </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元</w:t>
            </w:r>
          </w:p>
          <w:p w14:paraId="5B03F4B4">
            <w:pPr>
              <w:keepNext w:val="0"/>
              <w:keepLines w:val="0"/>
              <w:pageBreakBefore w:val="0"/>
              <w:widowControl/>
              <w:kinsoku/>
              <w:wordWrap/>
              <w:overflowPunct/>
              <w:topLinePunct w:val="0"/>
              <w:autoSpaceDE/>
              <w:autoSpaceDN/>
              <w:bidi w:val="0"/>
              <w:snapToGrid w:val="0"/>
              <w:spacing w:line="240" w:lineRule="auto"/>
              <w:jc w:val="left"/>
              <w:textAlignment w:val="auto"/>
              <w:rPr>
                <w:rFonts w:hint="eastAsia" w:ascii="仿宋_GB2312" w:hAnsi="仿宋_GB2312" w:eastAsia="仿宋_GB2312" w:cs="仿宋_GB2312"/>
                <w:kern w:val="2"/>
                <w:sz w:val="24"/>
                <w:szCs w:val="24"/>
                <w:shd w:val="clear" w:color="auto" w:fill="FFFFFF"/>
                <w:lang w:val="en-US" w:eastAsia="zh-CN" w:bidi="ar-SA"/>
              </w:rPr>
            </w:pPr>
            <w:r>
              <w:rPr>
                <w:rFonts w:hint="eastAsia" w:ascii="仿宋_GB2312" w:hAnsi="仿宋_GB2312" w:eastAsia="仿宋_GB2312" w:cs="仿宋_GB2312"/>
                <w:sz w:val="24"/>
                <w:szCs w:val="24"/>
                <w:shd w:val="clear" w:color="auto" w:fill="FFFFFF"/>
              </w:rPr>
              <w:t>人民币（大写）：</w:t>
            </w:r>
            <w:r>
              <w:rPr>
                <w:rFonts w:hint="eastAsia" w:ascii="仿宋_GB2312" w:hAnsi="仿宋_GB2312" w:eastAsia="仿宋_GB2312" w:cs="仿宋_GB2312"/>
                <w:sz w:val="24"/>
                <w:szCs w:val="24"/>
                <w:u w:val="single"/>
                <w:shd w:val="clear" w:color="auto" w:fill="FFFFFF"/>
              </w:rPr>
              <w:t xml:space="preserve">         </w:t>
            </w:r>
            <w:r>
              <w:rPr>
                <w:rFonts w:hint="eastAsia" w:ascii="仿宋_GB2312" w:hAnsi="仿宋_GB2312" w:eastAsia="仿宋_GB2312" w:cs="仿宋_GB2312"/>
                <w:sz w:val="24"/>
                <w:szCs w:val="24"/>
                <w:shd w:val="clear" w:color="auto" w:fill="FFFFFF"/>
              </w:rPr>
              <w:t>元</w:t>
            </w:r>
          </w:p>
        </w:tc>
      </w:tr>
      <w:tr w14:paraId="59E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3049" w:type="dxa"/>
            <w:noWrap w:val="0"/>
            <w:vAlign w:val="center"/>
          </w:tcPr>
          <w:p w14:paraId="353F1921">
            <w:pPr>
              <w:widowControl/>
              <w:jc w:val="center"/>
              <w:rPr>
                <w:rFonts w:hint="default" w:ascii="仿宋_GB2312" w:eastAsia="仿宋_GB2312"/>
                <w:kern w:val="0"/>
                <w:sz w:val="24"/>
                <w:szCs w:val="24"/>
                <w:lang w:val="en-US" w:eastAsia="zh-CN"/>
              </w:rPr>
            </w:pPr>
            <w:r>
              <w:rPr>
                <w:rFonts w:hint="eastAsia" w:ascii="仿宋_GB2312" w:eastAsia="仿宋_GB2312"/>
                <w:kern w:val="0"/>
                <w:sz w:val="24"/>
                <w:szCs w:val="24"/>
                <w:lang w:val="en-US" w:eastAsia="zh-CN"/>
              </w:rPr>
              <w:t>采购本国产品的支持政策</w:t>
            </w:r>
          </w:p>
        </w:tc>
        <w:tc>
          <w:tcPr>
            <w:tcW w:w="5870" w:type="dxa"/>
            <w:noWrap w:val="0"/>
            <w:vAlign w:val="center"/>
          </w:tcPr>
          <w:p w14:paraId="3694D682">
            <w:pPr>
              <w:widowControl/>
              <w:jc w:val="left"/>
              <w:rPr>
                <w:rFonts w:hint="default" w:ascii="仿宋_GB2312" w:eastAsia="仿宋_GB2312"/>
                <w:kern w:val="0"/>
                <w:sz w:val="24"/>
                <w:szCs w:val="24"/>
                <w:u w:val="single"/>
                <w:lang w:val="en-US" w:eastAsia="zh-CN" w:bidi="ar-SA"/>
              </w:rPr>
            </w:pPr>
            <w:r>
              <w:rPr>
                <w:rFonts w:hint="eastAsia" w:ascii="仿宋_GB2312" w:eastAsia="仿宋_GB2312"/>
                <w:kern w:val="0"/>
                <w:sz w:val="24"/>
                <w:szCs w:val="24"/>
                <w:lang w:val="en-US" w:eastAsia="zh-CN" w:bidi="ar-SA"/>
              </w:rPr>
              <w:t xml:space="preserve">    投标人为本采购项目提供的符合本国产品标准的产品成本之和占该投标人提供的全部产品成本之和的比例为</w:t>
            </w:r>
            <w:r>
              <w:rPr>
                <w:rFonts w:hint="eastAsia" w:ascii="仿宋_GB2312" w:eastAsia="仿宋_GB2312"/>
                <w:kern w:val="0"/>
                <w:sz w:val="24"/>
                <w:szCs w:val="24"/>
                <w:u w:val="single"/>
                <w:lang w:val="en-US" w:eastAsia="zh-CN" w:bidi="ar-SA"/>
              </w:rPr>
              <w:t xml:space="preserve">     </w:t>
            </w:r>
            <w:r>
              <w:rPr>
                <w:rFonts w:hint="eastAsia" w:ascii="仿宋_GB2312" w:eastAsia="仿宋_GB2312"/>
                <w:kern w:val="0"/>
                <w:sz w:val="24"/>
                <w:szCs w:val="24"/>
                <w:u w:val="none"/>
                <w:lang w:val="en-US" w:eastAsia="zh-CN" w:bidi="ar-SA"/>
              </w:rPr>
              <w:t>%</w:t>
            </w:r>
          </w:p>
        </w:tc>
      </w:tr>
      <w:tr w14:paraId="3E8E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3049" w:type="dxa"/>
            <w:noWrap w:val="0"/>
            <w:vAlign w:val="center"/>
          </w:tcPr>
          <w:p w14:paraId="408AE91A">
            <w:pPr>
              <w:widowControl/>
              <w:jc w:val="center"/>
              <w:rPr>
                <w:rFonts w:hint="eastAsia" w:ascii="仿宋_GB2312" w:hAnsi="Times New Roman" w:eastAsia="仿宋_GB2312" w:cs="Times New Roman"/>
                <w:kern w:val="0"/>
                <w:sz w:val="24"/>
                <w:szCs w:val="24"/>
                <w:lang w:val="en-US" w:eastAsia="zh-CN"/>
              </w:rPr>
            </w:pPr>
            <w:r>
              <w:rPr>
                <w:rFonts w:hint="eastAsia" w:ascii="仿宋_GB2312" w:eastAsia="仿宋_GB2312"/>
                <w:kern w:val="0"/>
                <w:sz w:val="24"/>
                <w:szCs w:val="24"/>
              </w:rPr>
              <w:t>交货期</w:t>
            </w:r>
          </w:p>
        </w:tc>
        <w:tc>
          <w:tcPr>
            <w:tcW w:w="5870" w:type="dxa"/>
            <w:noWrap w:val="0"/>
            <w:vAlign w:val="center"/>
          </w:tcPr>
          <w:p w14:paraId="7D92C34F">
            <w:pPr>
              <w:widowControl/>
              <w:jc w:val="center"/>
              <w:rPr>
                <w:rFonts w:hint="default" w:ascii="仿宋_GB2312" w:hAnsi="仿宋_GB2312" w:eastAsia="仿宋_GB2312" w:cs="仿宋_GB2312"/>
                <w:sz w:val="24"/>
                <w:szCs w:val="24"/>
                <w:highlight w:val="none"/>
              </w:rPr>
            </w:pPr>
            <w:r>
              <w:rPr>
                <w:rFonts w:hint="default" w:ascii="仿宋_GB2312" w:hAnsi="仿宋_GB2312" w:eastAsia="仿宋_GB2312" w:cs="仿宋_GB2312"/>
                <w:sz w:val="24"/>
                <w:szCs w:val="24"/>
                <w:highlight w:val="none"/>
              </w:rPr>
              <w:t>按需求送货上门，</w:t>
            </w:r>
          </w:p>
          <w:p w14:paraId="169E8A99">
            <w:pPr>
              <w:widowControl/>
              <w:jc w:val="center"/>
              <w:rPr>
                <w:rFonts w:hint="eastAsia" w:ascii="仿宋_GB2312" w:eastAsia="仿宋_GB2312"/>
                <w:kern w:val="0"/>
                <w:sz w:val="24"/>
                <w:szCs w:val="24"/>
                <w:lang w:val="en-US" w:eastAsia="zh-CN" w:bidi="ar-SA"/>
              </w:rPr>
            </w:pPr>
            <w:r>
              <w:rPr>
                <w:rFonts w:hint="eastAsia" w:ascii="仿宋_GB2312" w:hAnsi="仿宋_GB2312" w:eastAsia="仿宋_GB2312" w:cs="仿宋_GB2312"/>
                <w:sz w:val="24"/>
                <w:szCs w:val="24"/>
                <w:highlight w:val="none"/>
                <w:lang w:val="en-US" w:eastAsia="zh-CN"/>
              </w:rPr>
              <w:t>投标人</w:t>
            </w:r>
            <w:r>
              <w:rPr>
                <w:rFonts w:hint="default" w:ascii="仿宋_GB2312" w:hAnsi="仿宋_GB2312" w:eastAsia="仿宋_GB2312" w:cs="仿宋_GB2312"/>
                <w:sz w:val="24"/>
                <w:szCs w:val="24"/>
                <w:highlight w:val="none"/>
              </w:rPr>
              <w:t>接到</w:t>
            </w:r>
            <w:r>
              <w:rPr>
                <w:rFonts w:hint="eastAsia" w:ascii="仿宋_GB2312" w:hAnsi="仿宋_GB2312" w:eastAsia="仿宋_GB2312" w:cs="仿宋_GB2312"/>
                <w:sz w:val="24"/>
                <w:szCs w:val="24"/>
                <w:highlight w:val="none"/>
                <w:lang w:val="en-US" w:eastAsia="zh-CN"/>
              </w:rPr>
              <w:t>采购人</w:t>
            </w:r>
            <w:r>
              <w:rPr>
                <w:rFonts w:hint="default" w:ascii="仿宋_GB2312" w:hAnsi="仿宋_GB2312" w:eastAsia="仿宋_GB2312" w:cs="仿宋_GB2312"/>
                <w:sz w:val="24"/>
                <w:szCs w:val="24"/>
                <w:highlight w:val="none"/>
              </w:rPr>
              <w:t>送货要求后不超过</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lang w:val="en-US" w:eastAsia="zh-CN"/>
              </w:rPr>
              <w:t>小时</w:t>
            </w:r>
            <w:r>
              <w:rPr>
                <w:rFonts w:hint="default" w:ascii="仿宋_GB2312" w:hAnsi="仿宋_GB2312" w:eastAsia="仿宋_GB2312" w:cs="仿宋_GB2312"/>
                <w:sz w:val="24"/>
                <w:szCs w:val="24"/>
                <w:highlight w:val="none"/>
              </w:rPr>
              <w:t>送达。</w:t>
            </w:r>
          </w:p>
        </w:tc>
      </w:tr>
      <w:tr w14:paraId="0910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3049" w:type="dxa"/>
            <w:noWrap w:val="0"/>
            <w:vAlign w:val="center"/>
          </w:tcPr>
          <w:p w14:paraId="7474810A">
            <w:pPr>
              <w:widowControl/>
              <w:jc w:val="center"/>
              <w:rPr>
                <w:rFonts w:hint="eastAsia" w:ascii="仿宋_GB2312" w:eastAsia="仿宋_GB2312"/>
                <w:kern w:val="0"/>
                <w:sz w:val="24"/>
                <w:szCs w:val="24"/>
                <w:lang w:val="en-US" w:eastAsia="zh-CN" w:bidi="ar-SA"/>
              </w:rPr>
            </w:pPr>
            <w:r>
              <w:rPr>
                <w:rFonts w:hint="eastAsia" w:ascii="仿宋_GB2312" w:eastAsia="仿宋_GB2312"/>
                <w:kern w:val="0"/>
                <w:sz w:val="24"/>
                <w:szCs w:val="24"/>
              </w:rPr>
              <w:t>质保期</w:t>
            </w:r>
          </w:p>
        </w:tc>
        <w:tc>
          <w:tcPr>
            <w:tcW w:w="5870" w:type="dxa"/>
            <w:noWrap w:val="0"/>
            <w:vAlign w:val="center"/>
          </w:tcPr>
          <w:p w14:paraId="54DAB8B6">
            <w:pPr>
              <w:widowControl/>
              <w:jc w:val="center"/>
              <w:rPr>
                <w:rFonts w:hint="eastAsia" w:ascii="仿宋_GB2312" w:eastAsia="仿宋_GB2312"/>
                <w:kern w:val="0"/>
                <w:sz w:val="24"/>
                <w:szCs w:val="24"/>
                <w:lang w:val="en-US" w:eastAsia="zh-CN" w:bidi="ar-SA"/>
              </w:rPr>
            </w:pPr>
          </w:p>
        </w:tc>
      </w:tr>
      <w:tr w14:paraId="3195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8919" w:type="dxa"/>
            <w:gridSpan w:val="2"/>
            <w:noWrap w:val="0"/>
            <w:vAlign w:val="center"/>
          </w:tcPr>
          <w:p w14:paraId="2E8FCBD9">
            <w:pPr>
              <w:widowControl/>
              <w:rPr>
                <w:rFonts w:hint="eastAsia" w:ascii="仿宋_GB2312" w:eastAsia="仿宋_GB2312"/>
                <w:bCs/>
                <w:kern w:val="0"/>
                <w:sz w:val="24"/>
                <w:szCs w:val="24"/>
                <w:highlight w:val="none"/>
              </w:rPr>
            </w:pPr>
            <w:r>
              <w:rPr>
                <w:rFonts w:hint="eastAsia" w:ascii="仿宋_GB2312" w:hAnsi="宋体" w:eastAsia="仿宋_GB2312"/>
                <w:sz w:val="24"/>
                <w:szCs w:val="24"/>
                <w:highlight w:val="none"/>
              </w:rPr>
              <w:t>说明</w:t>
            </w:r>
            <w:r>
              <w:rPr>
                <w:rFonts w:hint="eastAsia" w:ascii="仿宋_GB2312" w:eastAsia="仿宋_GB2312"/>
                <w:bCs/>
                <w:kern w:val="0"/>
                <w:sz w:val="24"/>
                <w:szCs w:val="24"/>
                <w:highlight w:val="none"/>
              </w:rPr>
              <w:t>：</w:t>
            </w:r>
          </w:p>
          <w:p w14:paraId="5813C6C6">
            <w:pPr>
              <w:keepNext w:val="0"/>
              <w:keepLines w:val="0"/>
              <w:pageBreakBefore w:val="0"/>
              <w:widowControl/>
              <w:kinsoku/>
              <w:wordWrap/>
              <w:overflowPunct/>
              <w:topLinePunct w:val="0"/>
              <w:bidi w:val="0"/>
              <w:adjustRightInd w:val="0"/>
              <w:snapToGrid w:val="0"/>
              <w:spacing w:line="240" w:lineRule="auto"/>
              <w:ind w:firstLine="480" w:firstLineChars="200"/>
              <w:textAlignment w:val="auto"/>
              <w:rPr>
                <w:rFonts w:hint="eastAsia" w:ascii="仿宋_GB2312" w:eastAsia="仿宋_GB2312"/>
                <w:bCs/>
                <w:kern w:val="0"/>
                <w:sz w:val="24"/>
                <w:szCs w:val="24"/>
                <w:highlight w:val="none"/>
              </w:rPr>
            </w:pPr>
            <w:r>
              <w:rPr>
                <w:rFonts w:hint="eastAsia" w:ascii="仿宋_GB2312" w:eastAsia="仿宋_GB2312"/>
                <w:bCs/>
                <w:kern w:val="0"/>
                <w:sz w:val="24"/>
                <w:szCs w:val="24"/>
                <w:highlight w:val="none"/>
              </w:rPr>
              <w:t>1、</w:t>
            </w:r>
            <w:r>
              <w:rPr>
                <w:rFonts w:hint="eastAsia" w:ascii="仿宋_GB2312" w:eastAsia="仿宋_GB2312"/>
                <w:bCs/>
                <w:kern w:val="0"/>
                <w:sz w:val="24"/>
                <w:szCs w:val="24"/>
                <w:highlight w:val="none"/>
                <w:lang w:eastAsia="zh-CN"/>
              </w:rPr>
              <w:t>本项目采用综合单价报价，本表中</w:t>
            </w:r>
            <w:r>
              <w:rPr>
                <w:rFonts w:hint="eastAsia" w:ascii="仿宋_GB2312" w:hAnsi="宋体" w:eastAsia="仿宋_GB2312"/>
                <w:sz w:val="24"/>
                <w:szCs w:val="24"/>
                <w:highlight w:val="none"/>
                <w:lang w:val="en-US" w:eastAsia="zh-CN"/>
              </w:rPr>
              <w:t>投标报价=分项报价表中各包对应单价合计金额。</w:t>
            </w:r>
          </w:p>
          <w:p w14:paraId="4C430695">
            <w:pPr>
              <w:keepNext w:val="0"/>
              <w:keepLines w:val="0"/>
              <w:pageBreakBefore w:val="0"/>
              <w:widowControl/>
              <w:kinsoku/>
              <w:wordWrap/>
              <w:overflowPunct/>
              <w:topLinePunct w:val="0"/>
              <w:bidi w:val="0"/>
              <w:adjustRightInd w:val="0"/>
              <w:snapToGrid w:val="0"/>
              <w:spacing w:line="240" w:lineRule="auto"/>
              <w:ind w:firstLine="480" w:firstLineChars="200"/>
              <w:textAlignment w:val="auto"/>
              <w:rPr>
                <w:rFonts w:hint="default" w:ascii="仿宋_GB2312" w:eastAsia="仿宋_GB2312"/>
                <w:bCs/>
                <w:kern w:val="0"/>
                <w:sz w:val="24"/>
                <w:szCs w:val="24"/>
                <w:highlight w:val="none"/>
                <w:lang w:val="en-US" w:eastAsia="zh-CN" w:bidi="ar-SA"/>
              </w:rPr>
            </w:pPr>
            <w:r>
              <w:rPr>
                <w:rFonts w:hint="eastAsia" w:ascii="仿宋_GB2312" w:hAnsi="宋体" w:eastAsia="仿宋_GB2312"/>
                <w:sz w:val="24"/>
                <w:szCs w:val="24"/>
                <w:highlight w:val="none"/>
              </w:rPr>
              <w:t>2、</w:t>
            </w:r>
            <w:r>
              <w:rPr>
                <w:rFonts w:hint="eastAsia" w:ascii="仿宋_GB2312" w:hAnsi="宋体" w:eastAsia="仿宋_GB2312"/>
                <w:sz w:val="24"/>
                <w:szCs w:val="24"/>
                <w:highlight w:val="none"/>
                <w:lang w:eastAsia="zh-CN"/>
              </w:rPr>
              <w:t>投标</w:t>
            </w:r>
            <w:r>
              <w:rPr>
                <w:rFonts w:hint="eastAsia" w:ascii="仿宋_GB2312" w:eastAsia="仿宋_GB2312"/>
                <w:bCs/>
                <w:kern w:val="0"/>
                <w:sz w:val="24"/>
                <w:szCs w:val="24"/>
                <w:highlight w:val="none"/>
              </w:rPr>
              <w:t>报价以元为单位，大小写不一致时，以大写为准。</w:t>
            </w:r>
            <w:r>
              <w:rPr>
                <w:rFonts w:hint="eastAsia" w:ascii="仿宋_GB2312" w:hAnsi="宋体" w:eastAsia="仿宋_GB2312"/>
                <w:sz w:val="24"/>
                <w:szCs w:val="24"/>
                <w:highlight w:val="none"/>
              </w:rPr>
              <w:br w:type="textWrapping"/>
            </w:r>
            <w:r>
              <w:rPr>
                <w:rFonts w:hint="eastAsia" w:ascii="仿宋_GB2312" w:hAnsi="宋体" w:eastAsia="仿宋_GB2312"/>
                <w:sz w:val="24"/>
                <w:szCs w:val="24"/>
                <w:highlight w:val="none"/>
                <w:lang w:val="en-US" w:eastAsia="zh-CN"/>
              </w:rPr>
              <w:t xml:space="preserve">    3、</w:t>
            </w:r>
            <w:r>
              <w:rPr>
                <w:rFonts w:hint="eastAsia" w:ascii="仿宋_GB2312" w:hAnsi="宋体" w:eastAsia="仿宋_GB2312"/>
                <w:sz w:val="24"/>
                <w:szCs w:val="24"/>
                <w:highlight w:val="none"/>
              </w:rPr>
              <w:t>除可填报项目外对本开标一览表（唱标报告）的任何修改将被视为非实质性响应投标从而导致该投标被拒绝。</w:t>
            </w:r>
          </w:p>
        </w:tc>
      </w:tr>
    </w:tbl>
    <w:p w14:paraId="3FAB9C72">
      <w:pPr>
        <w:spacing w:line="56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w:t>
      </w:r>
    </w:p>
    <w:p w14:paraId="751A342E">
      <w:pPr>
        <w:pStyle w:val="9"/>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“大写”栏</w:t>
      </w:r>
      <w:r>
        <w:rPr>
          <w:rFonts w:hint="eastAsia" w:ascii="仿宋_GB2312" w:hAnsi="仿宋_GB2312" w:eastAsia="仿宋_GB2312" w:cs="仿宋_GB2312"/>
          <w:sz w:val="24"/>
          <w:szCs w:val="24"/>
          <w:highlight w:val="none"/>
          <w:lang w:eastAsia="zh-CN"/>
        </w:rPr>
        <w:t>应</w:t>
      </w:r>
      <w:r>
        <w:rPr>
          <w:rFonts w:hint="eastAsia" w:ascii="仿宋_GB2312" w:hAnsi="仿宋_GB2312" w:eastAsia="仿宋_GB2312" w:cs="仿宋_GB2312"/>
          <w:sz w:val="24"/>
          <w:szCs w:val="24"/>
          <w:highlight w:val="none"/>
        </w:rPr>
        <w:t>按银行大写金额样式进行填写。样式参考：壹、贰、叁、肆、伍、陆、柒、捌、玖、拾、佰、仟、万、亿、元（圆）、角、分、零、整（正）。</w:t>
      </w:r>
    </w:p>
    <w:p w14:paraId="44096F0B">
      <w:pPr>
        <w:pStyle w:val="9"/>
        <w:spacing w:line="360" w:lineRule="auto"/>
        <w:ind w:firstLine="480" w:firstLineChars="200"/>
        <w:rPr>
          <w:rFonts w:hint="default" w:ascii="仿宋" w:hAnsi="仿宋" w:eastAsia="仿宋" w:cs="仿宋"/>
          <w:sz w:val="24"/>
          <w:szCs w:val="24"/>
          <w:highlight w:val="none"/>
        </w:rPr>
      </w:pPr>
    </w:p>
    <w:p w14:paraId="564D89D9">
      <w:pPr>
        <w:spacing w:line="360" w:lineRule="auto"/>
        <w:ind w:firstLine="3120" w:firstLineChars="1300"/>
        <w:rPr>
          <w:rFonts w:hint="eastAsia" w:ascii="仿宋_GB2312" w:eastAsia="仿宋_GB2312"/>
          <w:sz w:val="24"/>
          <w:szCs w:val="24"/>
        </w:rPr>
      </w:pPr>
      <w:r>
        <w:rPr>
          <w:rFonts w:hint="eastAsia" w:ascii="仿宋_GB2312" w:eastAsia="仿宋_GB2312"/>
          <w:sz w:val="24"/>
          <w:szCs w:val="24"/>
        </w:rPr>
        <w:t>投标人名称（盖章）：</w:t>
      </w:r>
      <w:r>
        <w:rPr>
          <w:rFonts w:hint="eastAsia" w:ascii="仿宋_GB2312" w:eastAsia="仿宋_GB2312"/>
          <w:sz w:val="24"/>
          <w:szCs w:val="24"/>
          <w:u w:val="single"/>
        </w:rPr>
        <w:t xml:space="preserve">                   </w:t>
      </w:r>
      <w:r>
        <w:rPr>
          <w:rFonts w:hint="eastAsia" w:ascii="仿宋_GB2312" w:eastAsia="仿宋_GB2312"/>
          <w:sz w:val="24"/>
          <w:szCs w:val="24"/>
          <w:u w:val="single"/>
          <w:lang w:val="en-US" w:eastAsia="zh-CN"/>
        </w:rPr>
        <w:t xml:space="preserve">  </w:t>
      </w:r>
      <w:r>
        <w:rPr>
          <w:rFonts w:hint="eastAsia" w:ascii="仿宋_GB2312" w:eastAsia="仿宋_GB2312"/>
          <w:sz w:val="24"/>
          <w:szCs w:val="24"/>
          <w:u w:val="single"/>
        </w:rPr>
        <w:t xml:space="preserve">      </w:t>
      </w:r>
    </w:p>
    <w:p w14:paraId="41E8D22F">
      <w:pPr>
        <w:spacing w:line="360" w:lineRule="auto"/>
        <w:ind w:firstLine="3120" w:firstLineChars="1300"/>
        <w:rPr>
          <w:rFonts w:hint="eastAsia" w:ascii="仿宋_GB2312" w:eastAsia="仿宋_GB2312"/>
          <w:sz w:val="24"/>
          <w:szCs w:val="24"/>
          <w:u w:val="single"/>
        </w:rPr>
      </w:pPr>
      <w:r>
        <w:rPr>
          <w:rFonts w:hint="eastAsia" w:ascii="仿宋_GB2312" w:eastAsia="仿宋_GB2312"/>
          <w:sz w:val="24"/>
          <w:szCs w:val="24"/>
          <w:lang w:eastAsia="zh-CN"/>
        </w:rPr>
        <w:t>法定代表人或授权代表（签字或盖章）</w:t>
      </w:r>
      <w:r>
        <w:rPr>
          <w:rFonts w:hint="eastAsia" w:ascii="仿宋_GB2312" w:eastAsia="仿宋_GB2312"/>
          <w:sz w:val="24"/>
          <w:szCs w:val="24"/>
        </w:rPr>
        <w:t>：</w:t>
      </w:r>
      <w:r>
        <w:rPr>
          <w:rFonts w:hint="eastAsia" w:ascii="仿宋_GB2312" w:eastAsia="仿宋_GB2312"/>
          <w:sz w:val="24"/>
          <w:szCs w:val="24"/>
          <w:u w:val="single"/>
        </w:rPr>
        <w:t xml:space="preserve">           </w:t>
      </w:r>
    </w:p>
    <w:p w14:paraId="13D7AEB4">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360" w:lineRule="auto"/>
        <w:ind w:firstLine="3120" w:firstLineChars="1300"/>
        <w:jc w:val="both"/>
        <w:textAlignment w:val="auto"/>
        <w:rPr>
          <w:rFonts w:hint="eastAsia" w:ascii="仿宋_GB2312" w:hAnsi="仿宋_GB2312" w:eastAsia="仿宋_GB2312" w:cs="仿宋_GB2312"/>
          <w:sz w:val="24"/>
          <w:szCs w:val="24"/>
          <w:lang w:val="en-US"/>
        </w:rPr>
      </w:pPr>
      <w:bookmarkStart w:id="0" w:name="_GoBack"/>
      <w:bookmarkEnd w:id="0"/>
      <w:r>
        <w:rPr>
          <w:rFonts w:hint="eastAsia" w:ascii="仿宋_GB2312" w:eastAsia="仿宋_GB2312"/>
          <w:sz w:val="24"/>
          <w:szCs w:val="24"/>
        </w:rPr>
        <w:t>日    期：</w:t>
      </w:r>
      <w:r>
        <w:rPr>
          <w:rFonts w:hint="eastAsia" w:ascii="仿宋_GB2312" w:eastAsia="仿宋_GB2312"/>
          <w:sz w:val="24"/>
          <w:szCs w:val="24"/>
          <w:u w:val="single"/>
        </w:rPr>
        <w:t xml:space="preserve">                         </w:t>
      </w:r>
      <w:r>
        <w:rPr>
          <w:rFonts w:hint="eastAsia" w:ascii="仿宋_GB2312" w:eastAsia="仿宋_GB2312"/>
          <w:sz w:val="24"/>
          <w:szCs w:val="24"/>
          <w:u w:val="single"/>
          <w:lang w:val="en-US" w:eastAsia="zh-CN"/>
        </w:rPr>
        <w:t xml:space="preserve">     </w:t>
      </w:r>
      <w:r>
        <w:rPr>
          <w:rFonts w:hint="eastAsia" w:ascii="仿宋_GB2312" w:eastAsia="仿宋_GB2312"/>
          <w:sz w:val="24"/>
          <w:szCs w:val="24"/>
          <w:u w:val="single"/>
        </w:rPr>
        <w:t xml:space="preserve">     </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86401">
    <w:pPr>
      <w:pStyle w:val="4"/>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319E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319E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A56B">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AB2102F"/>
    <w:rsid w:val="0BB7042D"/>
    <w:rsid w:val="0D176ADD"/>
    <w:rsid w:val="0DBC505E"/>
    <w:rsid w:val="19186C21"/>
    <w:rsid w:val="1F666D3B"/>
    <w:rsid w:val="1FB07F9A"/>
    <w:rsid w:val="26A24C26"/>
    <w:rsid w:val="26B71734"/>
    <w:rsid w:val="2ACB46DB"/>
    <w:rsid w:val="2B3E4738"/>
    <w:rsid w:val="2C256611"/>
    <w:rsid w:val="2E037B4A"/>
    <w:rsid w:val="308B4B6C"/>
    <w:rsid w:val="320106B9"/>
    <w:rsid w:val="3EBE0370"/>
    <w:rsid w:val="3EF94F1B"/>
    <w:rsid w:val="3F3E3276"/>
    <w:rsid w:val="4B2E0642"/>
    <w:rsid w:val="52CD31A1"/>
    <w:rsid w:val="5A414ADA"/>
    <w:rsid w:val="5C0E6052"/>
    <w:rsid w:val="5DD369EC"/>
    <w:rsid w:val="5F657BB2"/>
    <w:rsid w:val="660A0F78"/>
    <w:rsid w:val="6E1C5C80"/>
    <w:rsid w:val="76297219"/>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Plain Text"/>
    <w:basedOn w:val="1"/>
    <w:qFormat/>
    <w:uiPriority w:val="99"/>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01"/>
    <w:basedOn w:val="7"/>
    <w:qFormat/>
    <w:uiPriority w:val="0"/>
    <w:rPr>
      <w:rFonts w:hint="eastAsia" w:ascii="宋体" w:hAnsi="宋体" w:eastAsia="宋体" w:cs="宋体"/>
      <w:color w:val="000000"/>
      <w:sz w:val="22"/>
      <w:szCs w:val="22"/>
      <w:u w:val="none"/>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292</Words>
  <Characters>295</Characters>
  <Lines>0</Lines>
  <Paragraphs>0</Paragraphs>
  <TotalTime>0</TotalTime>
  <ScaleCrop>false</ScaleCrop>
  <LinksUpToDate>false</LinksUpToDate>
  <CharactersWithSpaces>395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2026-04-30T09:04:25Z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FA9F6C406F2648538A0D983B8D769727_13</vt:lpwstr>
  </property>
  <property fmtid="{D5CDD505-2E9C-101B-9397-08002B2CF9AE}" pid="4" name="KSOTemplateDocerSaveRecord">
    <vt:lpwstr>eyJoZGlkIjoiZWMxNWU5MTM1NDJhMzM3NzZlNjAyMmRiMjcyMmY4OWYiLCJ1c2VySWQiOiI5MzY1NjA0ODAifQ==</vt:lpwstr>
  </property>
</Properties>
</file>