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版本号：SXWZ2026ZB-XAQX-10020260605001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小型无人机人影作业能力建设运行维护采购项目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SXWZ2026ZB-XAQX-100</w:t>
      </w:r>
      <w:r>
        <w:br/>
      </w:r>
      <w:r>
        <w:br/>
      </w:r>
      <w:r>
        <w:br/>
      </w:r>
    </w:p>
    <w:p>
      <w:pPr>
        <w:pStyle w:val="null3"/>
        <w:jc w:val="center"/>
        <w:outlineLvl w:val="2"/>
      </w:pPr>
      <w:r>
        <w:rPr>
          <w:rFonts w:ascii="仿宋_GB2312" w:hAnsi="仿宋_GB2312" w:cs="仿宋_GB2312" w:eastAsia="仿宋_GB2312"/>
          <w:sz w:val="28"/>
          <w:b/>
        </w:rPr>
        <w:t>西安市气象局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西安市气象局</w:t>
      </w:r>
      <w:r>
        <w:rPr>
          <w:rFonts w:ascii="仿宋_GB2312" w:hAnsi="仿宋_GB2312" w:cs="仿宋_GB2312" w:eastAsia="仿宋_GB2312"/>
        </w:rPr>
        <w:t>委托，拟对</w:t>
      </w:r>
      <w:r>
        <w:rPr>
          <w:rFonts w:ascii="仿宋_GB2312" w:hAnsi="仿宋_GB2312" w:cs="仿宋_GB2312" w:eastAsia="仿宋_GB2312"/>
        </w:rPr>
        <w:t>小型无人机人影作业能力建设运行维护采购项目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SXWZ2026ZB-XAQX-100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小型无人机人影作业能力建设运行维护采购项目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西安市气象局小型无人机人影作业能力建设运行维护采购项目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采购包1（小型无人机人影作业能力建设运行维护）：属于专门面向中小企业采购。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1、投标主体：提供合格有效的法人或其他组织的营业执照等证明文件，自然人参与的提供其身份证。</w:t>
      </w:r>
    </w:p>
    <w:p>
      <w:pPr>
        <w:pStyle w:val="null3"/>
      </w:pPr>
      <w:r>
        <w:rPr>
          <w:rFonts w:ascii="仿宋_GB2312" w:hAnsi="仿宋_GB2312" w:cs="仿宋_GB2312" w:eastAsia="仿宋_GB2312"/>
        </w:rPr>
        <w:t>2、法定代表人授权委托书：法定代表人参加磋商的提供法定代表人身份证明及身份证，委托代理人参加磋商的提供法定代表人授权委托书及法定代表人、委托代理人身份证，自然人参加磋商的只需提供身份证。</w:t>
      </w:r>
    </w:p>
    <w:p>
      <w:pPr>
        <w:pStyle w:val="null3"/>
      </w:pPr>
      <w:r>
        <w:rPr>
          <w:rFonts w:ascii="仿宋_GB2312" w:hAnsi="仿宋_GB2312" w:cs="仿宋_GB2312" w:eastAsia="仿宋_GB2312"/>
        </w:rPr>
        <w:t>3、社会保障资金缴纳证明：提供响应文件提交截止时间前一年内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4、税收缴纳证明：提供响应文件提交截止时间前一年内已缴纳的至少一个月的纳税证明或完税证明；依法免税的单位应提供相关证明材料。（以税收所属时期为准）</w:t>
      </w:r>
    </w:p>
    <w:p>
      <w:pPr>
        <w:pStyle w:val="null3"/>
      </w:pPr>
      <w:r>
        <w:rPr>
          <w:rFonts w:ascii="仿宋_GB2312" w:hAnsi="仿宋_GB2312" w:cs="仿宋_GB2312" w:eastAsia="仿宋_GB2312"/>
        </w:rPr>
        <w:t>5、财务状况证明：提供经审计的2024年度或2025年度的财务审计报告复印件（财务报告是指经会计师事务所审计的上述指定年度整个会计年度财务报表,复印件至少须包括报告正文、资产负债表、利润表、现金流量表、所有者权益变动表及附注和会计师事务所营业执照，报告正文应当有会计师事务所公章和2名注册会计师的签字及盖章。且审计报告应当经过注册会计师行业统一监管平台备案赋码），或在响应文件提交截止时间前六个月内其基本开户银行出具的资信证明和基本户证明材料(若供应商成立时间不足六个月，需提供成立至响应文件提交截至时间前的财务状况证明材料，或成立至响应文件提交截至时间前的基本开户银行出具的资信证明和基本户证明材料)。</w:t>
      </w:r>
    </w:p>
    <w:p>
      <w:pPr>
        <w:pStyle w:val="null3"/>
      </w:pPr>
      <w:r>
        <w:rPr>
          <w:rFonts w:ascii="仿宋_GB2312" w:hAnsi="仿宋_GB2312" w:cs="仿宋_GB2312" w:eastAsia="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7、非联合体声明：本项目不接受联合体磋商，供应商应提供非联合体声明函。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西安市气象局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西安市未央区未央路102-1号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029-86251034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采购包1：1,742,500.00元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说明：缴纳时间：中标（成交）通知书发出后、签订合同前提交完毕。 履约保证金在项目验收后，经采购人确认供应商履行了合同约定的义务，无违约情形，一次性予以无息退还。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代理服务费收费标准：本采购项目中标价为基数，参照国家计委关于印发《招标代理服务收费管理暂行办法》的通知（计价格[2002]1980号）和发改办价格[2003]857号规定收取，向采购代理机构一次付清代理服务费。 中标单位按以下账户缴纳服务费（对公转账）： 户名:陕西万泽招标有限公司 账号:2110 1158 0000 0154 89 开户行:西安银行朝阳门支行 转账备注：气象局-100-服务费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西安市气象局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西安市气象局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西安市气象局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联系电话：029-88319689-8003</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（一）项目建设背景 现阶段区域生态修复工作存在诸多短板，针对森林增湿、江河径流调控、湖库蓄水保水、地下水涵养补给等各类生态修复用水需求，目前特殊区域人工影响天气精准作业能力、作业整体布局仍有待优化升级。同时在季节性干旱、森林草原火灾处置等自然灾害突发事件应急工作中，局部人工增雨、天气干预作业能力不足；且在国家重大活动气象保障工作中，现有有人机人影作业模式存在局限性，现场应急保障能力有所欠缺。 依托无人机开展人工增雨人影作业，可搭载专用催化设备，适配复杂特殊作业区域，能够有效弥补有人机作业盲区与作业短板，提升生态修复型人工影响天气作业效率与覆盖范围，是完善区域人影作业体系、强化生态保护与应急气象保障能力的重要手段。为保障无人机人影作业系统常态化、规范化运行，夯实生态修复、防灾减灾、重大活动气象保障基础，现启动本次小型无人机人影作业能力建设年度运行维护采购工作。 （二）项目实施目标 通过采购第三方专业化运维及飞行配套服务，实现小型无人机人影作业系统全年稳定运行，完成年度既定无人机人工增雨探测、催化作业任务；完善设备运维、空域申报、人员保障、安全保险一体化服务体系；组建专业飞行作业团队，全天候响应采购人飞行作业需求，全面提升区域生态修复型人工影响天气作业能力、突发事件气象应急处置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1,742,500.00</w:t>
      </w:r>
    </w:p>
    <w:p>
      <w:pPr>
        <w:pStyle w:val="null3"/>
      </w:pPr>
      <w:r>
        <w:rPr>
          <w:rFonts w:ascii="仿宋_GB2312" w:hAnsi="仿宋_GB2312" w:cs="仿宋_GB2312" w:eastAsia="仿宋_GB2312"/>
        </w:rPr>
        <w:t>采购包最高限价（元）: 1,742,500.00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小型无人机人影作业及运行维护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1,742,500.00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标的名称：小型无人机人影作业及运行维护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0"/>
                <w:b/>
              </w:rPr>
              <w:t>一、采购内容</w:t>
            </w:r>
          </w:p>
          <w:p>
            <w:pPr>
              <w:pStyle w:val="null3"/>
              <w:ind w:firstLine="560"/>
              <w:jc w:val="both"/>
            </w:pPr>
            <w:r>
              <w:rPr>
                <w:rFonts w:ascii="仿宋_GB2312" w:hAnsi="仿宋_GB2312" w:cs="仿宋_GB2312" w:eastAsia="仿宋_GB2312"/>
                <w:sz w:val="20"/>
              </w:rPr>
              <w:t>本次采购为一体化全包式服务，由中标供应商全权负责本项目无人机人影作业相关设备运维、飞行作业、人员配置、空域申请等全部服务工作，具体服务明细如下：</w:t>
            </w:r>
          </w:p>
          <w:tbl>
            <w:tblPr>
              <w:tblInd w:type="dxa" w:w="105"/>
              <w:tblBorders>
                <w:top w:val="none" w:color="000000" w:sz="4"/>
                <w:left w:val="none" w:color="000000" w:sz="4"/>
                <w:bottom w:val="none" w:color="000000" w:sz="4"/>
                <w:right w:val="none" w:color="000000" w:sz="4"/>
                <w:insideH w:val="none"/>
                <w:insideV w:val="none"/>
              </w:tblBorders>
            </w:tblPr>
            <w:tblGrid>
              <w:gridCol w:w="222"/>
              <w:gridCol w:w="453"/>
              <w:gridCol w:w="526"/>
              <w:gridCol w:w="1346"/>
            </w:tblGrid>
            <w:tr>
              <w:tc>
                <w:tcPr>
                  <w:tcW w:type="dxa" w:w="22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序号</w:t>
                  </w:r>
                </w:p>
              </w:tc>
              <w:tc>
                <w:tcPr>
                  <w:tcW w:type="dxa" w:w="45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服务项目</w:t>
                  </w:r>
                </w:p>
              </w:tc>
              <w:tc>
                <w:tcPr>
                  <w:tcW w:type="dxa" w:w="52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服务频次</w:t>
                  </w:r>
                  <w:r>
                    <w:rPr>
                      <w:rFonts w:ascii="仿宋_GB2312" w:hAnsi="仿宋_GB2312" w:cs="仿宋_GB2312" w:eastAsia="仿宋_GB2312"/>
                      <w:sz w:val="20"/>
                    </w:rPr>
                    <w:t>/周期</w:t>
                  </w:r>
                </w:p>
              </w:tc>
              <w:tc>
                <w:tcPr>
                  <w:tcW w:type="dxa" w:w="134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560"/>
                    <w:jc w:val="center"/>
                  </w:pPr>
                  <w:r>
                    <w:rPr>
                      <w:rFonts w:ascii="仿宋_GB2312" w:hAnsi="仿宋_GB2312" w:cs="仿宋_GB2312" w:eastAsia="仿宋_GB2312"/>
                      <w:sz w:val="20"/>
                    </w:rPr>
                    <w:t>具体服务说明</w:t>
                  </w:r>
                </w:p>
              </w:tc>
            </w:tr>
            <w:tr>
              <w:tc>
                <w:tcPr>
                  <w:tcW w:type="dxa" w:w="22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w:t>
                  </w:r>
                </w:p>
              </w:tc>
              <w:tc>
                <w:tcPr>
                  <w:tcW w:type="dxa" w:w="45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2台 C20垂起复合翼固定翼无人机系统配套服务</w:t>
                  </w:r>
                </w:p>
              </w:tc>
              <w:tc>
                <w:tcPr>
                  <w:tcW w:type="dxa" w:w="52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不少于</w:t>
                  </w:r>
                  <w:r>
                    <w:rPr>
                      <w:rFonts w:ascii="仿宋_GB2312" w:hAnsi="仿宋_GB2312" w:cs="仿宋_GB2312" w:eastAsia="仿宋_GB2312"/>
                      <w:sz w:val="20"/>
                    </w:rPr>
                    <w:t>38次/年</w:t>
                  </w:r>
                </w:p>
              </w:tc>
              <w:tc>
                <w:tcPr>
                  <w:tcW w:type="dxa" w:w="134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单台无人机年度作业次数不少于</w:t>
                  </w:r>
                  <w:r>
                    <w:rPr>
                      <w:rFonts w:ascii="仿宋_GB2312" w:hAnsi="仿宋_GB2312" w:cs="仿宋_GB2312" w:eastAsia="仿宋_GB2312"/>
                      <w:sz w:val="20"/>
                    </w:rPr>
                    <w:t>19次，根据采购人作业需求，按需搭载对应作业配套设备，满足人工增雨探测、催化作业条件</w:t>
                  </w:r>
                </w:p>
              </w:tc>
            </w:tr>
            <w:tr>
              <w:tc>
                <w:tcPr>
                  <w:tcW w:type="dxa" w:w="22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2</w:t>
                  </w:r>
                </w:p>
              </w:tc>
              <w:tc>
                <w:tcPr>
                  <w:tcW w:type="dxa" w:w="45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探测作业系统运维</w:t>
                  </w:r>
                </w:p>
              </w:tc>
              <w:tc>
                <w:tcPr>
                  <w:tcW w:type="dxa" w:w="52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不少于</w:t>
                  </w:r>
                  <w:r>
                    <w:rPr>
                      <w:rFonts w:ascii="仿宋_GB2312" w:hAnsi="仿宋_GB2312" w:cs="仿宋_GB2312" w:eastAsia="仿宋_GB2312"/>
                      <w:sz w:val="20"/>
                    </w:rPr>
                    <w:t>38次/年</w:t>
                  </w:r>
                </w:p>
              </w:tc>
              <w:tc>
                <w:tcPr>
                  <w:tcW w:type="dxa" w:w="134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负责航线气象仪、电离探测仪、焰条播散吊舱等探测作业配套设备的日常检测、故障维修、定期保养，保障设备适配无人机人影作业场景</w:t>
                  </w:r>
                </w:p>
              </w:tc>
            </w:tr>
            <w:tr>
              <w:tc>
                <w:tcPr>
                  <w:tcW w:type="dxa" w:w="22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3</w:t>
                  </w:r>
                </w:p>
              </w:tc>
              <w:tc>
                <w:tcPr>
                  <w:tcW w:type="dxa" w:w="45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地面指挥控制系统维护</w:t>
                  </w:r>
                </w:p>
              </w:tc>
              <w:tc>
                <w:tcPr>
                  <w:tcW w:type="dxa" w:w="52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全年常态化运维</w:t>
                  </w:r>
                </w:p>
              </w:tc>
              <w:tc>
                <w:tcPr>
                  <w:tcW w:type="dxa" w:w="134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包含地面指挥控制站、体扫偏振毫米波云雷达、项目定制配套软件的日常巡检、系统升级、故障修复、参数调试等全维度运维服务</w:t>
                  </w:r>
                </w:p>
              </w:tc>
            </w:tr>
            <w:tr>
              <w:tc>
                <w:tcPr>
                  <w:tcW w:type="dxa" w:w="22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4</w:t>
                  </w:r>
                </w:p>
              </w:tc>
              <w:tc>
                <w:tcPr>
                  <w:tcW w:type="dxa" w:w="45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专业作业人员服务</w:t>
                  </w:r>
                </w:p>
              </w:tc>
              <w:tc>
                <w:tcPr>
                  <w:tcW w:type="dxa" w:w="52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不少于</w:t>
                  </w:r>
                  <w:r>
                    <w:rPr>
                      <w:rFonts w:ascii="仿宋_GB2312" w:hAnsi="仿宋_GB2312" w:cs="仿宋_GB2312" w:eastAsia="仿宋_GB2312"/>
                      <w:sz w:val="20"/>
                    </w:rPr>
                    <w:t>38次/年</w:t>
                  </w:r>
                </w:p>
              </w:tc>
              <w:tc>
                <w:tcPr>
                  <w:tcW w:type="dxa" w:w="134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保障单架无人机年度正常起落作业不少于</w:t>
                  </w:r>
                  <w:r>
                    <w:rPr>
                      <w:rFonts w:ascii="仿宋_GB2312" w:hAnsi="仿宋_GB2312" w:cs="仿宋_GB2312" w:eastAsia="仿宋_GB2312"/>
                      <w:sz w:val="20"/>
                    </w:rPr>
                    <w:t>19次，配备持证专业飞手，全程负责无人机起降操控、现场作业执行工作</w:t>
                  </w:r>
                </w:p>
              </w:tc>
            </w:tr>
            <w:tr>
              <w:tc>
                <w:tcPr>
                  <w:tcW w:type="dxa" w:w="22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5</w:t>
                  </w:r>
                </w:p>
              </w:tc>
              <w:tc>
                <w:tcPr>
                  <w:tcW w:type="dxa" w:w="45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作业空域申请</w:t>
                  </w:r>
                </w:p>
              </w:tc>
              <w:tc>
                <w:tcPr>
                  <w:tcW w:type="dxa" w:w="52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全年按需申报</w:t>
                  </w:r>
                </w:p>
              </w:tc>
              <w:tc>
                <w:tcPr>
                  <w:tcW w:type="dxa" w:w="134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根据采购人飞行作业计划，提前完成所有作业场次的空域报备、审批申请工作，协调解决空域使用相关问题，保障飞行作业合法合规开展</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20"/>
                <w:b/>
              </w:rPr>
              <w:t>二、总体服务要求</w:t>
            </w:r>
          </w:p>
          <w:p>
            <w:pPr>
              <w:pStyle w:val="null3"/>
              <w:ind w:firstLine="560"/>
              <w:jc w:val="both"/>
            </w:pPr>
            <w:r>
              <w:rPr>
                <w:rFonts w:ascii="仿宋_GB2312" w:hAnsi="仿宋_GB2312" w:cs="仿宋_GB2312" w:eastAsia="仿宋_GB2312"/>
                <w:sz w:val="20"/>
              </w:rPr>
              <w:t>（一）设备运维要求</w:t>
            </w:r>
          </w:p>
          <w:p>
            <w:pPr>
              <w:pStyle w:val="null3"/>
              <w:ind w:firstLine="560"/>
              <w:jc w:val="both"/>
            </w:pPr>
            <w:r>
              <w:rPr>
                <w:rFonts w:ascii="仿宋_GB2312" w:hAnsi="仿宋_GB2312" w:cs="仿宋_GB2312" w:eastAsia="仿宋_GB2312"/>
                <w:sz w:val="20"/>
              </w:rPr>
              <w:t>1.供应商负责本项目无人机整机、探测设备、地面控制系统、配套软件全部软硬件设施的日常巡检、保养、故障维修工作，保障整套系统全年稳定运行；建立24小时全天候故障响应机制，接到设备故障通知后，第一时间指派专业人员赶赴现场处置，快速排除故障。</w:t>
            </w:r>
          </w:p>
          <w:p>
            <w:pPr>
              <w:pStyle w:val="null3"/>
              <w:ind w:firstLine="560"/>
              <w:jc w:val="both"/>
            </w:pPr>
            <w:r>
              <w:rPr>
                <w:rFonts w:ascii="仿宋_GB2312" w:hAnsi="仿宋_GB2312" w:cs="仿宋_GB2312" w:eastAsia="仿宋_GB2312"/>
                <w:sz w:val="20"/>
              </w:rPr>
              <w:t>2.定期开展无人机网络联调测试工作，优化数据传输链路，保障无人机飞行状态数据、气象探测数据、作业影像数据可实时同步传输至采购人指定控制系统；若发生网络传输故障，需立即安排工程师现场排查修复，不得影响作业任务执行。</w:t>
            </w:r>
          </w:p>
          <w:p>
            <w:pPr>
              <w:pStyle w:val="null3"/>
              <w:ind w:firstLine="560"/>
              <w:jc w:val="both"/>
            </w:pPr>
            <w:r>
              <w:rPr>
                <w:rFonts w:ascii="仿宋_GB2312" w:hAnsi="仿宋_GB2312" w:cs="仿宋_GB2312" w:eastAsia="仿宋_GB2312"/>
                <w:sz w:val="20"/>
              </w:rPr>
              <w:t>3.建立常态化数据管理制度，定期对系统运行数据、飞行作业数据、气象探测数据进行分类备份；制定数据灾备及恢复方案，定期开展数据恢复演练，全方位保障项目数据安全性、完整性，遭遇意外故障时可快速完成数据还原。</w:t>
            </w:r>
          </w:p>
          <w:p>
            <w:pPr>
              <w:pStyle w:val="null3"/>
              <w:ind w:firstLine="560"/>
              <w:jc w:val="both"/>
            </w:pPr>
            <w:r>
              <w:rPr>
                <w:rFonts w:ascii="仿宋_GB2312" w:hAnsi="仿宋_GB2312" w:cs="仿宋_GB2312" w:eastAsia="仿宋_GB2312"/>
                <w:sz w:val="20"/>
              </w:rPr>
              <w:t>4.主动配合采购人工作安排，根据人影作业升级需求、政策调整要求，无偿协助完成系统软硬件微调、参数优化、功能适配等配套调整工作。</w:t>
            </w:r>
          </w:p>
          <w:p>
            <w:pPr>
              <w:pStyle w:val="null3"/>
              <w:ind w:firstLine="560"/>
              <w:jc w:val="both"/>
            </w:pPr>
            <w:r>
              <w:rPr>
                <w:rFonts w:ascii="仿宋_GB2312" w:hAnsi="仿宋_GB2312" w:cs="仿宋_GB2312" w:eastAsia="仿宋_GB2312"/>
                <w:sz w:val="20"/>
              </w:rPr>
              <w:t>（二）人员配置要求</w:t>
            </w:r>
          </w:p>
          <w:p>
            <w:pPr>
              <w:pStyle w:val="null3"/>
              <w:ind w:firstLine="560"/>
              <w:jc w:val="both"/>
            </w:pPr>
            <w:r>
              <w:rPr>
                <w:rFonts w:ascii="仿宋_GB2312" w:hAnsi="仿宋_GB2312" w:cs="仿宋_GB2312" w:eastAsia="仿宋_GB2312"/>
                <w:sz w:val="20"/>
              </w:rPr>
              <w:t>1.供应商须组建专属专业化飞行服务团队，团队固定成员不少于2人，专职服务本项目，不得随意更换人员；如需更换作业人员，需提前报备采购人并审核通过。</w:t>
            </w:r>
          </w:p>
          <w:p>
            <w:pPr>
              <w:pStyle w:val="null3"/>
              <w:ind w:firstLine="560"/>
              <w:jc w:val="both"/>
            </w:pPr>
            <w:r>
              <w:rPr>
                <w:rFonts w:ascii="仿宋_GB2312" w:hAnsi="仿宋_GB2312" w:cs="仿宋_GB2312" w:eastAsia="仿宋_GB2312"/>
                <w:sz w:val="20"/>
              </w:rPr>
              <w:t>2.所有飞行作业人员必须持有中国民航局核发的垂直起降固定翼（Ⅲ级）超视距驾驶员及以上等级执照，具备无人机人影作业实操经验，熟悉人工影响天气作业流程、空域管理相关规章制度。</w:t>
            </w:r>
          </w:p>
          <w:p>
            <w:pPr>
              <w:pStyle w:val="null3"/>
              <w:ind w:firstLine="560"/>
              <w:jc w:val="both"/>
            </w:pPr>
            <w:r>
              <w:rPr>
                <w:rFonts w:ascii="仿宋_GB2312" w:hAnsi="仿宋_GB2312" w:cs="仿宋_GB2312" w:eastAsia="仿宋_GB2312"/>
                <w:sz w:val="20"/>
              </w:rPr>
              <w:t>3. 供应商实行24小时全天候响应机制，随时响应采购人下达的常规作业、应急增雨、防火减灾等无人机飞行作业需求，确保紧急任务可快速启动执行。</w:t>
            </w:r>
          </w:p>
          <w:p>
            <w:pPr>
              <w:pStyle w:val="null3"/>
              <w:ind w:firstLine="560"/>
              <w:jc w:val="both"/>
            </w:pPr>
            <w:r>
              <w:rPr>
                <w:rFonts w:ascii="仿宋_GB2312" w:hAnsi="仿宋_GB2312" w:cs="仿宋_GB2312" w:eastAsia="仿宋_GB2312"/>
                <w:sz w:val="20"/>
              </w:rPr>
              <w:t>（三）作业服务要求</w:t>
            </w:r>
          </w:p>
          <w:p>
            <w:pPr>
              <w:pStyle w:val="null3"/>
            </w:pPr>
            <w:r>
              <w:rPr>
                <w:rFonts w:ascii="仿宋_GB2312" w:hAnsi="仿宋_GB2312" w:cs="仿宋_GB2312" w:eastAsia="仿宋_GB2312"/>
                <w:sz w:val="20"/>
              </w:rPr>
              <w:t xml:space="preserve">       供应商需严格按照采购人下达的作业指令、作业区域、作业时间开展无人机人工增雨探测及催化作业；严格遵守空域管理、飞行安全相关法律法规，全程承担飞行作业安全主体责任，若发生飞行事故、人员损伤、设备损毁等问题，由供应商全权负责。</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sz w:val="20"/>
                <w:b/>
              </w:rPr>
              <w:t>三、商务要求</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）考核与验收</w:t>
            </w:r>
          </w:p>
          <w:p>
            <w:pPr>
              <w:pStyle w:val="null3"/>
              <w:ind w:firstLine="560"/>
              <w:jc w:val="both"/>
            </w:pPr>
            <w:r>
              <w:rPr>
                <w:rFonts w:ascii="仿宋_GB2312" w:hAnsi="仿宋_GB2312" w:cs="仿宋_GB2312" w:eastAsia="仿宋_GB2312"/>
                <w:sz w:val="20"/>
              </w:rPr>
              <w:t>本项目验收分为日常动态考核与项目整体竣工验收两类，采购人依据项目服务标准、采购需求对供应商服务质量进行综合考评，所有考核结果作为费用支付、项目验收的重要依据，具体要求如下：</w:t>
            </w:r>
          </w:p>
          <w:p>
            <w:pPr>
              <w:pStyle w:val="null3"/>
              <w:ind w:firstLine="560"/>
              <w:jc w:val="both"/>
            </w:pPr>
            <w:r>
              <w:rPr>
                <w:rFonts w:ascii="仿宋_GB2312" w:hAnsi="仿宋_GB2312" w:cs="仿宋_GB2312" w:eastAsia="仿宋_GB2312"/>
                <w:sz w:val="20"/>
              </w:rPr>
              <w:t>1. 日常动态考核：采购人常态化对供应商设备运维质量、故障响应时效、数据传输稳定性、飞行需求响应速度、空域申请效率、作业完成质量、人员在岗履职情况等服务内容进行不定期抽查与月度考核，针对服务不达标的事项，下发整改通知，供应商须按要求限时完成整改。</w:t>
            </w:r>
          </w:p>
          <w:p>
            <w:pPr>
              <w:pStyle w:val="null3"/>
              <w:ind w:firstLine="560"/>
              <w:jc w:val="both"/>
            </w:pPr>
            <w:r>
              <w:rPr>
                <w:rFonts w:ascii="仿宋_GB2312" w:hAnsi="仿宋_GB2312" w:cs="仿宋_GB2312" w:eastAsia="仿宋_GB2312"/>
                <w:sz w:val="20"/>
              </w:rPr>
              <w:t>2. 项目竣工验收：服务期满后，供应商完成全部合同约定服务内容，并提交完整的服务全套验收资料。采购人组织相关人员开展整体竣工验收，结合日常考核记录、年度作业完成总量、软硬件运行稳定性、应急保障能力等指标进行综合评审。项目整体验收不合格的，采购人有权要求供应商限期整改；整改后仍无法满足采购需求的，有权依照合同约定追究供应商违约责任。</w:t>
            </w:r>
          </w:p>
          <w:p>
            <w:pPr>
              <w:pStyle w:val="null3"/>
              <w:ind w:firstLine="56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）其他要求</w:t>
            </w:r>
          </w:p>
          <w:p>
            <w:pPr>
              <w:pStyle w:val="null3"/>
              <w:ind w:firstLine="560"/>
              <w:jc w:val="both"/>
            </w:pPr>
            <w:r>
              <w:rPr>
                <w:rFonts w:ascii="仿宋_GB2312" w:hAnsi="仿宋_GB2312" w:cs="仿宋_GB2312" w:eastAsia="仿宋_GB2312"/>
                <w:sz w:val="20"/>
              </w:rPr>
              <w:t>1. 服务期内，供应商承担所有设备</w:t>
            </w:r>
            <w:r>
              <w:rPr>
                <w:rFonts w:ascii="仿宋_GB2312" w:hAnsi="仿宋_GB2312" w:cs="仿宋_GB2312" w:eastAsia="仿宋_GB2312"/>
                <w:sz w:val="20"/>
              </w:rPr>
              <w:t>保养</w:t>
            </w:r>
            <w:r>
              <w:rPr>
                <w:rFonts w:ascii="仿宋_GB2312" w:hAnsi="仿宋_GB2312" w:cs="仿宋_GB2312" w:eastAsia="仿宋_GB2312"/>
                <w:sz w:val="20"/>
              </w:rPr>
              <w:t>维修</w:t>
            </w:r>
            <w:r>
              <w:rPr>
                <w:rFonts w:ascii="仿宋_GB2312" w:hAnsi="仿宋_GB2312" w:cs="仿宋_GB2312" w:eastAsia="仿宋_GB2312"/>
                <w:sz w:val="20"/>
              </w:rPr>
              <w:t>及保养维修所需零配件</w:t>
            </w:r>
            <w:r>
              <w:rPr>
                <w:rFonts w:ascii="仿宋_GB2312" w:hAnsi="仿宋_GB2312" w:cs="仿宋_GB2312" w:eastAsia="仿宋_GB2312"/>
                <w:sz w:val="20"/>
              </w:rPr>
              <w:t>、人员薪酬、保险、空域申报等全部成本费用，采购人无需额外支付其他费用；</w:t>
            </w:r>
          </w:p>
          <w:p>
            <w:pPr>
              <w:pStyle w:val="null3"/>
            </w:pPr>
            <w:r>
              <w:rPr>
                <w:rFonts w:ascii="仿宋_GB2312" w:hAnsi="仿宋_GB2312" w:cs="仿宋_GB2312" w:eastAsia="仿宋_GB2312"/>
                <w:sz w:val="20"/>
              </w:rPr>
              <w:t>2. 未经采购人书面许可，供应商不得将本项目服务内容转包、分包给第三方服务商，一经发现采购人有权单方面解除合同，并追究相关违约责任。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1.供应商须组建专属专业化飞行服务团队，团队固定成员不少于2人，专职服务本项目，不得随意更换人员；如需更换作业人员，需提前报备采购人并审核通过。 2.所有飞行作业人员必须持有中国民航局核发的垂直起降固定翼（Ⅲ级）超视距驾驶员及以上等级执照，具备无人机人影作业实操经验，熟悉人工影响天气作业流程、空域管理相关规章制度。 3. 供应商实行24小时全天候响应机制，随时响应采购人下达的常规作业、应急增雨、防火减灾等无人机飞行作业需求，确保紧急任务可快速启动执行。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自项目正式启动、双方签订合同并正式提供服务之日起，服务周期共计1年。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验收依据：（1）合同文本（2）国内相应的标准、规范（3）采购文件、响应文件、承诺等。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预付款，本合同签订生效，达到付款条件起10个工作日内，支付合同总金额的70.0%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进度款，乙方按照甲方要求提交年度无人机作业及运维服务方案，经甲方组织专家评审通过，达到付款条件起10个工作日内，支付合同总金额的30.0%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1、供应商需要在线提交所有通过电子化交易平台实施的政府采购项目的投标文件，同时，线下提交投标 文件正本 壹 份、副本 贰 份。若电子投标文件 与纸质投标文件不一致的，以线上提交的电子投标文件为准。 2、线下提交投标文件地点：西安市高新区唐延路旺座现代城C座25楼2502室 3、联系电话：029-88319689-8003/8005；邮箱：sxwzzb04@163.com 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法定代表人参加磋商的提供法定代表人身份证明及身份证，委托代理人参加磋商的提供法定代表人授权委托书及法定代表人、委托代理人身份证，自然人参加磋商的只需提供身份证。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一年内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审计的2024年度或2025年度的财务审计报告复印件（财务报告是指经会计师事务所审计的上述指定年度整个会计年度财务报表,复印件至少须包括报告正文、资产负债表、利润表、现金流量表、所有者权益变动表及附注和会计师事务所营业执照，报告正文应当有会计师事务所公章和2名注册会计师的签字及盖章。且审计报告应当经过注册会计师行业统一监管平台备案赋码），或在响应文件提交截止时间前六个月内其基本开户银行出具的资信证明和基本户证明材料(若供应商成立时间不足六个月，需提供成立至响应文件提交截至时间前的财务状况证明材料，或成立至响应文件提交截至时间前的基本开户银行出具的资信证明和基本户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本项目不接受联合体磋商，供应商应提供非联合体声明函。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供应商名称是否与主体资格证书及公章一致</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不属于磋商文件规定的无效情形</w:t>
            </w:r>
          </w:p>
        </w:tc>
        <w:tc>
          <w:tcPr>
            <w:tcW w:type="dxa" w:w="3322"/>
          </w:tcPr>
          <w:p>
            <w:pPr>
              <w:pStyle w:val="null3"/>
            </w:pPr>
            <w:r>
              <w:rPr>
                <w:rFonts w:ascii="仿宋_GB2312" w:hAnsi="仿宋_GB2312" w:cs="仿宋_GB2312" w:eastAsia="仿宋_GB2312"/>
              </w:rPr>
              <w:t>供应商按照磋商文件要求上传响应文件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服务期是否满足采购文件要求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与采购文件商务要求条款不一致或增加了采购人难以接受的条款</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响应文件签字、盖章是否满足采购文件要求</w:t>
            </w:r>
          </w:p>
        </w:tc>
        <w:tc>
          <w:tcPr>
            <w:tcW w:type="dxa" w:w="1661"/>
          </w:tcPr>
          <w:p>
            <w:pPr>
              <w:pStyle w:val="null3"/>
            </w:pPr>
            <w:r>
              <w:rPr>
                <w:rFonts w:ascii="仿宋_GB2312" w:hAnsi="仿宋_GB2312" w:cs="仿宋_GB2312" w:eastAsia="仿宋_GB2312"/>
              </w:rPr>
              <w:t>飞行服务团队.docx 关键性技术及解决方案.docx 承诺书.docx 报价表 承诺及合理化建议.docx 飞行流程.docx 应急预案.docx 供应商应提交的相关资格证明材料.docx 系统运维团队.docx 售后服务.docx 标的清单 保险.docx 商务偏离表.docx 监狱企业的证明文件 业绩.docx 进度计划方案.docx 运行及维护的技术方案.docx 中小企业声明函 服务质量保证措施.docx 响应文件封面 项目团队成员配置方案.docx 项目负责人.docx 残疾人福利性单位声明函 服务响应偏离表.docx 供应商认为有必要说明的其他问题.docx 整体服务方案.docx 响应函 拟投入设备.docx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（1）供应商不是西安市气象局的职工投资开办或控股企业; （2）西安市气象局的职工本人或其亲属未在供应商担任高管、独立董事等具有重大利益关系职务。</w:t>
            </w:r>
          </w:p>
        </w:tc>
        <w:tc>
          <w:tcPr>
            <w:tcW w:type="dxa" w:w="1661"/>
          </w:tcPr>
          <w:p>
            <w:pPr>
              <w:pStyle w:val="null3"/>
            </w:pPr>
            <w:r>
              <w:rPr>
                <w:rFonts w:ascii="仿宋_GB2312" w:hAnsi="仿宋_GB2312" w:cs="仿宋_GB2312" w:eastAsia="仿宋_GB2312"/>
              </w:rPr>
              <w:t>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针对本项目制定规范化的整体服务方案,按其响应程度赋分： (1)方案流程清晰、科学合理，可操作性强、架构完整、层次清楚，计6.1-7分； (2)内容基本符合本项目要求,计4.1-6分； (3)内容一般、不全面，计2-4分； (4)不提供不得分。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关键性技术及解决方案</w:t>
            </w:r>
          </w:p>
        </w:tc>
        <w:tc>
          <w:tcPr>
            <w:tcW w:type="dxa" w:w="2492"/>
          </w:tcPr>
          <w:p>
            <w:pPr>
              <w:pStyle w:val="null3"/>
            </w:pPr>
            <w:r>
              <w:rPr>
                <w:rFonts w:ascii="仿宋_GB2312" w:hAnsi="仿宋_GB2312" w:cs="仿宋_GB2312" w:eastAsia="仿宋_GB2312"/>
              </w:rPr>
              <w:t>对本项目的关键性技术及解决方案的理解和认识,按其响应程度赋分： (1)对本项目的关键性技术及解决方案的理解和认识准确到位、详细，计6.1-7分； (2)内容基本符合本项目要求,计4.1-6分； (3)内容一般、不全面，计2-4分； (4)不提供不得分。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关键性技术及解决方案.docx</w:t>
            </w:r>
          </w:p>
        </w:tc>
      </w:tr>
      <w:tr>
        <w:tc>
          <w:tcPr>
            <w:tcW w:type="dxa" w:w="831"/>
            <w:vMerge/>
          </w:tcPr>
          <w:p/>
        </w:tc>
        <w:tc>
          <w:tcPr>
            <w:tcW w:type="dxa" w:w="1661"/>
          </w:tcPr>
          <w:p>
            <w:pPr>
              <w:pStyle w:val="null3"/>
            </w:pPr>
            <w:r>
              <w:rPr>
                <w:rFonts w:ascii="仿宋_GB2312" w:hAnsi="仿宋_GB2312" w:cs="仿宋_GB2312" w:eastAsia="仿宋_GB2312"/>
              </w:rPr>
              <w:t>运行及维护的技术方案</w:t>
            </w:r>
          </w:p>
        </w:tc>
        <w:tc>
          <w:tcPr>
            <w:tcW w:type="dxa" w:w="2492"/>
          </w:tcPr>
          <w:p>
            <w:pPr>
              <w:pStyle w:val="null3"/>
            </w:pPr>
            <w:r>
              <w:rPr>
                <w:rFonts w:ascii="仿宋_GB2312" w:hAnsi="仿宋_GB2312" w:cs="仿宋_GB2312" w:eastAsia="仿宋_GB2312"/>
              </w:rPr>
              <w:t>对本项目运行及维护的技术方案,按其响应程度赋分： (1)工作技术路线正确，方法科学合理，内容详实，对采购需求响应准确，方案满足招标文件要求，计8.1-10分； (2)内容基本符合本项目要求,计6.1-8分； (3)内容一般、不全面，计3-6分； (4)不提供不得分。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运行及维护的技术方案.docx</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对本项目的进度计划方案，按其响应程度赋分： (1)进度计划控制措施科学合理，能充分体现工作效率及工作效果，确保工作优质、高效、如期完成，计6.1-7分； (2)内容基本符合本项目要求,计4.1-6分； (3)内容一般、不全面，计2-4分； (4)不提供不得分。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对本项目突发状况的应急预案等，按其响应程度赋分： (1)对于突发状况考虑全面，有相应的应急预案且应急补救措施明确、切实可行的，计6.1-7分； (2)内容基本符合本项目要求,计4.1-6分； (3)内容一般、不全面，计2-4分； (4)不提供不得分。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服务质量保证措施包含技术保障措施、安全保密保证措施、服务承诺、相关技术交底等，按其响应程序赋分： (1)具有完善服务质量保证措施，贴合项目建设要求，可行性高，计6.1-8分； (2)服务质量保证措施基本符合项目要求，可行性较高，计4.1-6分； (3)服务质量保证措施内容一般，不全面，计2-4分； (4)不提供不得分。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服务质量保证措施.docx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针对本项目提供售后服务方案，包含但不限于：如服务体系、服务内容、专业技术人员保障及服务电话等，按其响应程序赋分： (1)售后服务方案根据项目特点针对性强、可操作性强、售后保障能力强，计6.1-8分； (2)售后服务方案根据项目特点针对性、可操作性、售后保障能力较强，基本符合项目要求，计4.1-6分； (3)售后服务方案内容一般或过于简单，部分符合项目要求，计2-4分； (4)不提供不得分。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为本项目配备一名项目负责人，且为本公司正式人员（提供劳动合同），且具有应用气象类高级工程师证书（需提供证书扫描件并加盖公章），得3分，其他不得分；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飞行服务团队</w:t>
            </w:r>
          </w:p>
        </w:tc>
        <w:tc>
          <w:tcPr>
            <w:tcW w:type="dxa" w:w="2492"/>
          </w:tcPr>
          <w:p>
            <w:pPr>
              <w:pStyle w:val="null3"/>
            </w:pPr>
            <w:r>
              <w:rPr>
                <w:rFonts w:ascii="仿宋_GB2312" w:hAnsi="仿宋_GB2312" w:cs="仿宋_GB2312" w:eastAsia="仿宋_GB2312"/>
              </w:rPr>
              <w:t>供应商在项目实施期间，应提供不少于2人持有中国民航局颁发的垂直起降固定翼（Ⅲ级）超视距驾驶员（含）以上等级执照的成员，保证飞行服务团队人员持证操作。每提供人员证书一份，计2分，满分6分；需提供证书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飞行服务团队.docx</w:t>
            </w:r>
          </w:p>
        </w:tc>
      </w:tr>
      <w:tr>
        <w:tc>
          <w:tcPr>
            <w:tcW w:type="dxa" w:w="831"/>
            <w:vMerge/>
          </w:tcPr>
          <w:p/>
        </w:tc>
        <w:tc>
          <w:tcPr>
            <w:tcW w:type="dxa" w:w="1661"/>
          </w:tcPr>
          <w:p>
            <w:pPr>
              <w:pStyle w:val="null3"/>
            </w:pPr>
            <w:r>
              <w:rPr>
                <w:rFonts w:ascii="仿宋_GB2312" w:hAnsi="仿宋_GB2312" w:cs="仿宋_GB2312" w:eastAsia="仿宋_GB2312"/>
              </w:rPr>
              <w:t>系统运维团队</w:t>
            </w:r>
          </w:p>
        </w:tc>
        <w:tc>
          <w:tcPr>
            <w:tcW w:type="dxa" w:w="2492"/>
          </w:tcPr>
          <w:p>
            <w:pPr>
              <w:pStyle w:val="null3"/>
            </w:pPr>
            <w:r>
              <w:rPr>
                <w:rFonts w:ascii="仿宋_GB2312" w:hAnsi="仿宋_GB2312" w:cs="仿宋_GB2312" w:eastAsia="仿宋_GB2312"/>
              </w:rPr>
              <w:t>人数≤3人，得1分，人数&gt;3人，得2分，且团队人员均应具备中级及以上通信工程师职业资格或软件开发资格或程序设计类职业资格，提供相应职业资格证书（需提供证书扫描件并加盖公章），不提供不得分。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系统运维团队.docx</w:t>
            </w:r>
          </w:p>
        </w:tc>
      </w:tr>
      <w:tr>
        <w:tc>
          <w:tcPr>
            <w:tcW w:type="dxa" w:w="831"/>
            <w:vMerge/>
          </w:tcPr>
          <w:p/>
        </w:tc>
        <w:tc>
          <w:tcPr>
            <w:tcW w:type="dxa" w:w="1661"/>
          </w:tcPr>
          <w:p>
            <w:pPr>
              <w:pStyle w:val="null3"/>
            </w:pPr>
            <w:r>
              <w:rPr>
                <w:rFonts w:ascii="仿宋_GB2312" w:hAnsi="仿宋_GB2312" w:cs="仿宋_GB2312" w:eastAsia="仿宋_GB2312"/>
              </w:rPr>
              <w:t>项目团队成员配置方案</w:t>
            </w:r>
          </w:p>
        </w:tc>
        <w:tc>
          <w:tcPr>
            <w:tcW w:type="dxa" w:w="2492"/>
          </w:tcPr>
          <w:p>
            <w:pPr>
              <w:pStyle w:val="null3"/>
            </w:pPr>
            <w:r>
              <w:rPr>
                <w:rFonts w:ascii="仿宋_GB2312" w:hAnsi="仿宋_GB2312" w:cs="仿宋_GB2312" w:eastAsia="仿宋_GB2312"/>
              </w:rPr>
              <w:t>包含但不限于：项目工作小组、项目组织架构图、详细介绍组织机构、组成人员及岗位职责等，根据响应程度赋分： ①有详细的配置方案，人员配备齐全、专业合理，完全满足服务需求，计4.1-5分； ②有较详细的配置方案，人员配备及专业基本满足服务需求，计2.1-4分； ③未达到上述要求的，内容过于简单或含糊不清的，计1-2分； ④不提供不得分。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项目团队成员配置方案.docx</w:t>
            </w:r>
          </w:p>
        </w:tc>
      </w:tr>
      <w:tr>
        <w:tc>
          <w:tcPr>
            <w:tcW w:type="dxa" w:w="831"/>
            <w:vMerge/>
          </w:tcPr>
          <w:p/>
        </w:tc>
        <w:tc>
          <w:tcPr>
            <w:tcW w:type="dxa" w:w="1661"/>
          </w:tcPr>
          <w:p>
            <w:pPr>
              <w:pStyle w:val="null3"/>
            </w:pPr>
            <w:r>
              <w:rPr>
                <w:rFonts w:ascii="仿宋_GB2312" w:hAnsi="仿宋_GB2312" w:cs="仿宋_GB2312" w:eastAsia="仿宋_GB2312"/>
              </w:rPr>
              <w:t>保险</w:t>
            </w:r>
          </w:p>
        </w:tc>
        <w:tc>
          <w:tcPr>
            <w:tcW w:type="dxa" w:w="2492"/>
          </w:tcPr>
          <w:p>
            <w:pPr>
              <w:pStyle w:val="null3"/>
            </w:pPr>
            <w:r>
              <w:rPr>
                <w:rFonts w:ascii="仿宋_GB2312" w:hAnsi="仿宋_GB2312" w:cs="仿宋_GB2312" w:eastAsia="仿宋_GB2312"/>
              </w:rPr>
              <w:t>承诺购买全覆盖飞行保险及作业人员人身保险计2分，未提供不得分。提供承诺书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保险.docx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针对本项目拟投入的设备配备和材料投入计划，按其响应程序赋分： (1)设备配备和材料投入包含详细的设备材料配备清单、材料投入的保证措施等，计3.1-5分； (2)未达到上述要求的，内容过于简单或含糊不清的，计1-3分。 (3)不提供不得分。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拟投入设备.docx</w:t>
            </w:r>
          </w:p>
        </w:tc>
      </w:tr>
      <w:tr>
        <w:tc>
          <w:tcPr>
            <w:tcW w:type="dxa" w:w="831"/>
            <w:vMerge/>
          </w:tcPr>
          <w:p/>
        </w:tc>
        <w:tc>
          <w:tcPr>
            <w:tcW w:type="dxa" w:w="1661"/>
          </w:tcPr>
          <w:p>
            <w:pPr>
              <w:pStyle w:val="null3"/>
            </w:pPr>
            <w:r>
              <w:rPr>
                <w:rFonts w:ascii="仿宋_GB2312" w:hAnsi="仿宋_GB2312" w:cs="仿宋_GB2312" w:eastAsia="仿宋_GB2312"/>
              </w:rPr>
              <w:t>飞行流程</w:t>
            </w:r>
          </w:p>
        </w:tc>
        <w:tc>
          <w:tcPr>
            <w:tcW w:type="dxa" w:w="2492"/>
          </w:tcPr>
          <w:p>
            <w:pPr>
              <w:pStyle w:val="null3"/>
            </w:pPr>
            <w:r>
              <w:rPr>
                <w:rFonts w:ascii="仿宋_GB2312" w:hAnsi="仿宋_GB2312" w:cs="仿宋_GB2312" w:eastAsia="仿宋_GB2312"/>
              </w:rPr>
              <w:t>熟悉无人机过程监测以及飞行流程，能根据飞行任务提出全面合理规范的飞行流程： (1)飞行流程全面科学合理、完全符合工作要求，计6.1-8分； (2)飞行流程比较全面科学合理、比较符合工作要求，计4.1-6分； (3)飞行流程片面、可操作性不强，计2-4分； (4)不提供不计分。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飞行流程.docx</w:t>
            </w:r>
          </w:p>
        </w:tc>
      </w:tr>
      <w:tr>
        <w:tc>
          <w:tcPr>
            <w:tcW w:type="dxa" w:w="831"/>
            <w:vMerge/>
          </w:tcPr>
          <w:p/>
        </w:tc>
        <w:tc>
          <w:tcPr>
            <w:tcW w:type="dxa" w:w="1661"/>
          </w:tcPr>
          <w:p>
            <w:pPr>
              <w:pStyle w:val="null3"/>
            </w:pPr>
            <w:r>
              <w:rPr>
                <w:rFonts w:ascii="仿宋_GB2312" w:hAnsi="仿宋_GB2312" w:cs="仿宋_GB2312" w:eastAsia="仿宋_GB2312"/>
              </w:rPr>
              <w:t>承诺及合理化建议</w:t>
            </w:r>
          </w:p>
        </w:tc>
        <w:tc>
          <w:tcPr>
            <w:tcW w:type="dxa" w:w="2492"/>
          </w:tcPr>
          <w:p>
            <w:pPr>
              <w:pStyle w:val="null3"/>
            </w:pPr>
            <w:r>
              <w:rPr>
                <w:rFonts w:ascii="仿宋_GB2312" w:hAnsi="仿宋_GB2312" w:cs="仿宋_GB2312" w:eastAsia="仿宋_GB2312"/>
              </w:rPr>
              <w:t>针对本项目实际情况及采购人实际需求，提供切实可行的服务承诺、后续服务内容及合理化建议，按其响应程度计0-3分。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承诺及合理化建议.docx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提供2023年1月至今（以合同签订时间为准）气象运维类似项目业绩，每提供一份有效业绩得1分，满分2分。 注：需提供合同复印件并加盖单位公章。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有效供应商最低报价为基准价得10分，其他各供应商的报价得分按下列公式计算：（基准价/投标报价）：×10%×100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详见附件：关键性技术及解决方案.docx</w:t>
      </w:r>
    </w:p>
    <w:p>
      <w:pPr>
        <w:pStyle w:val="null3"/>
        <w:ind w:firstLine="960"/>
      </w:pPr>
      <w:r>
        <w:rPr>
          <w:rFonts w:ascii="仿宋_GB2312" w:hAnsi="仿宋_GB2312" w:cs="仿宋_GB2312" w:eastAsia="仿宋_GB2312"/>
        </w:rPr>
        <w:t>详见附件：运行及维护的技术方案.docx</w:t>
      </w:r>
    </w:p>
    <w:p>
      <w:pPr>
        <w:pStyle w:val="null3"/>
        <w:ind w:firstLine="960"/>
      </w:pPr>
      <w:r>
        <w:rPr>
          <w:rFonts w:ascii="仿宋_GB2312" w:hAnsi="仿宋_GB2312" w:cs="仿宋_GB2312" w:eastAsia="仿宋_GB2312"/>
        </w:rPr>
        <w:t>详见附件：进度计划方案.docx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详见附件：服务质量保证措施.docx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详见附件：飞行服务团队.docx</w:t>
      </w:r>
    </w:p>
    <w:p>
      <w:pPr>
        <w:pStyle w:val="null3"/>
        <w:ind w:firstLine="960"/>
      </w:pPr>
      <w:r>
        <w:rPr>
          <w:rFonts w:ascii="仿宋_GB2312" w:hAnsi="仿宋_GB2312" w:cs="仿宋_GB2312" w:eastAsia="仿宋_GB2312"/>
        </w:rPr>
        <w:t>详见附件：系统运维团队.docx</w:t>
      </w:r>
    </w:p>
    <w:p>
      <w:pPr>
        <w:pStyle w:val="null3"/>
        <w:ind w:firstLine="960"/>
      </w:pPr>
      <w:r>
        <w:rPr>
          <w:rFonts w:ascii="仿宋_GB2312" w:hAnsi="仿宋_GB2312" w:cs="仿宋_GB2312" w:eastAsia="仿宋_GB2312"/>
        </w:rPr>
        <w:t>详见附件：项目团队成员配置方案.docx</w:t>
      </w:r>
    </w:p>
    <w:p>
      <w:pPr>
        <w:pStyle w:val="null3"/>
        <w:ind w:firstLine="960"/>
      </w:pPr>
      <w:r>
        <w:rPr>
          <w:rFonts w:ascii="仿宋_GB2312" w:hAnsi="仿宋_GB2312" w:cs="仿宋_GB2312" w:eastAsia="仿宋_GB2312"/>
        </w:rPr>
        <w:t>详见附件：保险.docx</w:t>
      </w:r>
    </w:p>
    <w:p>
      <w:pPr>
        <w:pStyle w:val="null3"/>
        <w:ind w:firstLine="960"/>
      </w:pPr>
      <w:r>
        <w:rPr>
          <w:rFonts w:ascii="仿宋_GB2312" w:hAnsi="仿宋_GB2312" w:cs="仿宋_GB2312" w:eastAsia="仿宋_GB2312"/>
        </w:rPr>
        <w:t>详见附件：拟投入设备.docx</w:t>
      </w:r>
    </w:p>
    <w:p>
      <w:pPr>
        <w:pStyle w:val="null3"/>
        <w:ind w:firstLine="960"/>
      </w:pPr>
      <w:r>
        <w:rPr>
          <w:rFonts w:ascii="仿宋_GB2312" w:hAnsi="仿宋_GB2312" w:cs="仿宋_GB2312" w:eastAsia="仿宋_GB2312"/>
        </w:rPr>
        <w:t>详见附件：飞行流程.docx</w:t>
      </w:r>
    </w:p>
    <w:p>
      <w:pPr>
        <w:pStyle w:val="null3"/>
        <w:ind w:firstLine="960"/>
      </w:pPr>
      <w:r>
        <w:rPr>
          <w:rFonts w:ascii="仿宋_GB2312" w:hAnsi="仿宋_GB2312" w:cs="仿宋_GB2312" w:eastAsia="仿宋_GB2312"/>
        </w:rPr>
        <w:t>详见附件：承诺及合理化建议.docx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