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版本号：CT-ZB00-023-202620260903002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西安市12345热线大模型智能化提升建设项目密码应用安全性评估服务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CT-ZB00-023-2026</w:t>
      </w:r>
      <w:r>
        <w:br/>
      </w:r>
      <w:r>
        <w:br/>
      </w:r>
      <w:r>
        <w:br/>
      </w:r>
    </w:p>
    <w:p>
      <w:pPr>
        <w:pStyle w:val="null3"/>
        <w:jc w:val="center"/>
        <w:outlineLvl w:val="2"/>
      </w:pPr>
      <w:r>
        <w:rPr>
          <w:rFonts w:ascii="仿宋_GB2312" w:hAnsi="仿宋_GB2312" w:cs="仿宋_GB2312" w:eastAsia="仿宋_GB2312"/>
          <w:sz w:val="28"/>
          <w:b/>
        </w:rPr>
        <w:t>西安市数据局</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西安市数据局</w:t>
      </w:r>
      <w:r>
        <w:rPr>
          <w:rFonts w:ascii="仿宋_GB2312" w:hAnsi="仿宋_GB2312" w:cs="仿宋_GB2312" w:eastAsia="仿宋_GB2312"/>
        </w:rPr>
        <w:t>委托，拟对</w:t>
      </w:r>
      <w:r>
        <w:rPr>
          <w:rFonts w:ascii="仿宋_GB2312" w:hAnsi="仿宋_GB2312" w:cs="仿宋_GB2312" w:eastAsia="仿宋_GB2312"/>
        </w:rPr>
        <w:t>西安市12345热线大模型智能化提升建设项目密码应用安全性评估服务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CT-ZB00-023-2026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西安市12345热线大模型智能化提升建设项目密码应用安全性评估服务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国家“网络强国”“数字中国”及“人工智能+”行动部署，结合西安市政务热线数字化转型实践以及相关政策要求，对西安市12345热线专线服务平台进行大模型智能化提升改造建设。为了该项目顺利实施，确保项目合规有效运行，满足法律法规要求，保障政务数据全生命周期的安全可行。现对西安市12345热线大模型智能化提升建设密码应用安全性评估服务项目组织竞争性磋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采购包1（西安市12345热线大模型智能化提升建设项目密码应用安全性评估服务）：属于专门面向中小企业采购。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2、法定代表人授权委托书：法定代表人参加磋商的，须提供本人身份证复印件；法定代表人授权他人参加磋商的，须提供法定代表人授权委托书及被授权人近半年内任意一个月的社保缴纳证明；</w:t>
      </w:r>
    </w:p>
    <w:p>
      <w:pPr>
        <w:pStyle w:val="null3"/>
      </w:pPr>
      <w:r>
        <w:rPr>
          <w:rFonts w:ascii="仿宋_GB2312" w:hAnsi="仿宋_GB2312" w:cs="仿宋_GB2312" w:eastAsia="仿宋_GB2312"/>
        </w:rPr>
        <w:t>3、财务状况报告：提供企业赋码后2025年度经会计师事务所或审计机构审计的财务审计报告（成立时间至提交响应文件截止时间不足一年的可提供成立后任意时段的资产负债表、利润表、现金流量表），审计报告须具有注册会计师行业统一监管平台（http://acc.mof.gov.cn）赋予的验证码；或响应截止时间前六个月内基本账户银行出具的资信证明及基本存款账户银⾏相关证明资料；或专业担保机构出具的投标担保函；</w:t>
      </w:r>
    </w:p>
    <w:p>
      <w:pPr>
        <w:pStyle w:val="null3"/>
      </w:pPr>
      <w:r>
        <w:rPr>
          <w:rFonts w:ascii="仿宋_GB2312" w:hAnsi="仿宋_GB2312" w:cs="仿宋_GB2312" w:eastAsia="仿宋_GB2312"/>
        </w:rPr>
        <w:t>4、社保缴纳证明：提供2026年1月至今已缴纳的至少一个月的纳税证明或完税证明，依法免税的单位应提供相关证明材料；</w:t>
      </w:r>
    </w:p>
    <w:p>
      <w:pPr>
        <w:pStyle w:val="null3"/>
      </w:pPr>
      <w:r>
        <w:rPr>
          <w:rFonts w:ascii="仿宋_GB2312" w:hAnsi="仿宋_GB2312" w:cs="仿宋_GB2312" w:eastAsia="仿宋_GB2312"/>
        </w:rPr>
        <w:t>5、税收缴纳证明：提供2026年1月至今已缴存的至少一个月的社会保障资金缴存单据或社保机构开具的社会保险参保缴费情况证明，依法不需要缴纳社会保障资金的单位应提供相关证明材料；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6、没有重大违法记录的书面声明：供应商应具备良好的商业信誉，提供在参加政府采购活动前3年内在经营活动中没有重大违法记录的书面声明；</w:t>
      </w:r>
    </w:p>
    <w:p>
      <w:pPr>
        <w:pStyle w:val="null3"/>
      </w:pPr>
      <w:r>
        <w:rPr>
          <w:rFonts w:ascii="仿宋_GB2312" w:hAnsi="仿宋_GB2312" w:cs="仿宋_GB2312" w:eastAsia="仿宋_GB2312"/>
        </w:rPr>
        <w:t>7、专业技术能力的书面承诺：供应商具备履行合同所必需的设备和专业技术能力的书面承诺；</w:t>
      </w:r>
    </w:p>
    <w:p>
      <w:pPr>
        <w:pStyle w:val="null3"/>
      </w:pPr>
      <w:r>
        <w:rPr>
          <w:rFonts w:ascii="仿宋_GB2312" w:hAnsi="仿宋_GB2312" w:cs="仿宋_GB2312" w:eastAsia="仿宋_GB2312"/>
        </w:rPr>
        <w:t>8、信用查询：供应商在“信用中国”（www.creditchina.gov.cn）网站上未被列入严重失信主体名单、重大税收违法失信主体名单；“中国执行信息公开网”（http：//zxgk.court.gov.cn/shixin/）网站上未被列入失信被执行人名单；“中国政府采购网（www.ccgp.gov.cn）”上未被列入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9、关联关系：单位负责人为同一人或存在直接控股、管理关系的不同单位，不得参加同一项目的政府采购活动；</w:t>
      </w:r>
    </w:p>
    <w:p>
      <w:pPr>
        <w:pStyle w:val="null3"/>
      </w:pPr>
      <w:r>
        <w:rPr>
          <w:rFonts w:ascii="仿宋_GB2312" w:hAnsi="仿宋_GB2312" w:cs="仿宋_GB2312" w:eastAsia="仿宋_GB2312"/>
        </w:rPr>
        <w:t>10、企业资质：供应商须具备在国家密码管理局发布的《商用密码检测机构（商用密码应用安全性评估业务）目录》内或有效期内的资质证书，提供加盖公章的网站公告页面及目录复印件或资质证书复印件。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西安市数据局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029-67095756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吴亮亮 房雪姣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17302902053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计价格[2002]1980号）、《国家发展改革委办公厅关于招标代理服务收费有关问题的通知》（发改办价格[2003]857号）、《国家发展改革委关于降低部分建设项目收费标准规范收费行为等有关问题的通知》（发改办价格[2011]534号）的有关规定收取招标代理服务费。成交供应商在领取成交通知书前，须向采购代理机构一次性支付招标代理服务费。本项目代理服务费按照定额收取人民币肆仟元整（4000.00元）。 代理服务费缴纳账号： 账户名称：中昕国际项目管理有限公司 开户行：中国建设银行股份有限公司西安文景路支行 银行账号：61050178150000000278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西安市数据局</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西安市数据局</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西安市数据局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成交供应商应保证采购⼈在使⽤成交货物、服务时，不承担任何涉及知识产权法律诉讼的责任。本项⽬所涉及到的所有成果的知识产权归采购⼈所有。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联系人：吴亮亮、房雪姣</w:t>
      </w:r>
    </w:p>
    <w:p>
      <w:pPr>
        <w:pStyle w:val="null3"/>
      </w:pPr>
      <w:r>
        <w:rPr>
          <w:rFonts w:ascii="仿宋_GB2312" w:hAnsi="仿宋_GB2312" w:cs="仿宋_GB2312" w:eastAsia="仿宋_GB2312"/>
        </w:rPr>
        <w:t>联系电话：17302902053</w:t>
      </w:r>
    </w:p>
    <w:p>
      <w:pPr>
        <w:pStyle w:val="null3"/>
      </w:pPr>
      <w:r>
        <w:rPr>
          <w:rFonts w:ascii="仿宋_GB2312" w:hAnsi="仿宋_GB2312" w:cs="仿宋_GB2312" w:eastAsia="仿宋_GB2312"/>
        </w:rPr>
        <w:t>地址：西安经济技术开发区凤城十二路首创禧悦里25幢A座16层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密码测评服务按照国家规范要求，制定测评方案，实施测评，提出整改意见，跟踪整改进度，为服务项目验收提供依据。本次采购服务针对采购人应用系统（三级）开展商用密码应用安全评估。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西安市12345热线大模型智能化提升建设项目密码应用安全性评估服务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标的名称：西安市12345热线大模型智能化提升建设项目密码应用安全性评估服务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6"/>
              <w:gridCol w:w="228"/>
              <w:gridCol w:w="2133"/>
            </w:tblGrid>
            <w:tr>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2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参数</w:t>
                  </w:r>
                </w:p>
                <w:p>
                  <w:pPr>
                    <w:pStyle w:val="null3"/>
                    <w:jc w:val="center"/>
                  </w:pPr>
                  <w:r>
                    <w:rPr>
                      <w:rFonts w:ascii="仿宋_GB2312" w:hAnsi="仿宋_GB2312" w:cs="仿宋_GB2312" w:eastAsia="仿宋_GB2312"/>
                      <w:sz w:val="19"/>
                    </w:rPr>
                    <w:t>性质</w:t>
                  </w:r>
                </w:p>
              </w:tc>
              <w:tc>
                <w:tcPr>
                  <w:tcW w:type="dxa" w:w="2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技术参数与性能指标</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1.项目总体目标</w:t>
                  </w:r>
                </w:p>
                <w:p>
                  <w:pPr>
                    <w:pStyle w:val="null3"/>
                    <w:ind w:firstLine="402"/>
                    <w:jc w:val="left"/>
                  </w:pPr>
                  <w:r>
                    <w:rPr>
                      <w:rFonts w:ascii="仿宋_GB2312" w:hAnsi="仿宋_GB2312" w:cs="仿宋_GB2312" w:eastAsia="仿宋_GB2312"/>
                      <w:sz w:val="20"/>
                    </w:rPr>
                    <w:t>依照相关政策文件，对</w:t>
                  </w:r>
                  <w:r>
                    <w:rPr>
                      <w:rFonts w:ascii="仿宋_GB2312" w:hAnsi="仿宋_GB2312" w:cs="仿宋_GB2312" w:eastAsia="仿宋_GB2312"/>
                      <w:sz w:val="20"/>
                    </w:rPr>
                    <w:t>本项目</w:t>
                  </w:r>
                  <w:r>
                    <w:rPr>
                      <w:rFonts w:ascii="仿宋_GB2312" w:hAnsi="仿宋_GB2312" w:cs="仿宋_GB2312" w:eastAsia="仿宋_GB2312"/>
                      <w:sz w:val="20"/>
                    </w:rPr>
                    <w:t>提供密码应用安全性评估服务，按照国家规范要求，制定测评方案，实施测评，提出整改意见，跟踪整改进度，为服务项目验收提供依据。</w:t>
                  </w:r>
                </w:p>
                <w:p>
                  <w:pPr>
                    <w:pStyle w:val="null3"/>
                    <w:ind w:firstLine="402"/>
                    <w:jc w:val="left"/>
                  </w:pPr>
                  <w:r>
                    <w:rPr>
                      <w:rFonts w:ascii="仿宋_GB2312" w:hAnsi="仿宋_GB2312" w:cs="仿宋_GB2312" w:eastAsia="仿宋_GB2312"/>
                      <w:sz w:val="20"/>
                      <w:b/>
                    </w:rPr>
                    <w:t>2.</w:t>
                  </w:r>
                  <w:r>
                    <w:rPr>
                      <w:rFonts w:ascii="仿宋_GB2312" w:hAnsi="仿宋_GB2312" w:cs="仿宋_GB2312" w:eastAsia="仿宋_GB2312"/>
                      <w:sz w:val="20"/>
                      <w:b/>
                    </w:rPr>
                    <w:t>服务内容</w:t>
                  </w:r>
                </w:p>
                <w:p>
                  <w:pPr>
                    <w:pStyle w:val="null3"/>
                    <w:ind w:firstLine="402"/>
                    <w:jc w:val="left"/>
                  </w:pPr>
                  <w:r>
                    <w:rPr>
                      <w:rFonts w:ascii="仿宋_GB2312" w:hAnsi="仿宋_GB2312" w:cs="仿宋_GB2312" w:eastAsia="仿宋_GB2312"/>
                      <w:sz w:val="20"/>
                    </w:rPr>
                    <w:t>依据GB</w:t>
                  </w:r>
                  <w:r>
                    <w:rPr>
                      <w:rFonts w:ascii="仿宋_GB2312" w:hAnsi="仿宋_GB2312" w:cs="仿宋_GB2312" w:eastAsia="仿宋_GB2312"/>
                      <w:sz w:val="20"/>
                    </w:rPr>
                    <w:t>/T39786-2021</w:t>
                  </w:r>
                  <w:r>
                    <w:rPr>
                      <w:rFonts w:ascii="仿宋_GB2312" w:hAnsi="仿宋_GB2312" w:cs="仿宋_GB2312" w:eastAsia="仿宋_GB2312"/>
                      <w:sz w:val="20"/>
                    </w:rPr>
                    <w:t>《</w:t>
                  </w:r>
                  <w:r>
                    <w:rPr>
                      <w:rFonts w:ascii="仿宋_GB2312" w:hAnsi="仿宋_GB2312" w:cs="仿宋_GB2312" w:eastAsia="仿宋_GB2312"/>
                      <w:sz w:val="20"/>
                    </w:rPr>
                    <w:t>信息安全技术信息系统密码应用基本要求</w:t>
                  </w:r>
                  <w:r>
                    <w:rPr>
                      <w:rFonts w:ascii="仿宋_GB2312" w:hAnsi="仿宋_GB2312" w:cs="仿宋_GB2312" w:eastAsia="仿宋_GB2312"/>
                      <w:sz w:val="20"/>
                    </w:rPr>
                    <w:t>》、GB</w:t>
                  </w:r>
                  <w:r>
                    <w:rPr>
                      <w:rFonts w:ascii="仿宋_GB2312" w:hAnsi="仿宋_GB2312" w:cs="仿宋_GB2312" w:eastAsia="仿宋_GB2312"/>
                      <w:sz w:val="20"/>
                    </w:rPr>
                    <w:t>/T</w:t>
                  </w:r>
                  <w:r>
                    <w:rPr>
                      <w:rFonts w:ascii="仿宋_GB2312" w:hAnsi="仿宋_GB2312" w:cs="仿宋_GB2312" w:eastAsia="仿宋_GB2312"/>
                      <w:sz w:val="20"/>
                    </w:rPr>
                    <w:t>43206</w:t>
                  </w:r>
                  <w:r>
                    <w:rPr>
                      <w:rFonts w:ascii="仿宋_GB2312" w:hAnsi="仿宋_GB2312" w:cs="仿宋_GB2312" w:eastAsia="仿宋_GB2312"/>
                      <w:sz w:val="20"/>
                    </w:rPr>
                    <w:t>-202</w:t>
                  </w:r>
                  <w:r>
                    <w:rPr>
                      <w:rFonts w:ascii="仿宋_GB2312" w:hAnsi="仿宋_GB2312" w:cs="仿宋_GB2312" w:eastAsia="仿宋_GB2312"/>
                      <w:sz w:val="20"/>
                    </w:rPr>
                    <w:t>3</w:t>
                  </w:r>
                  <w:r>
                    <w:rPr>
                      <w:rFonts w:ascii="仿宋_GB2312" w:hAnsi="仿宋_GB2312" w:cs="仿宋_GB2312" w:eastAsia="仿宋_GB2312"/>
                      <w:sz w:val="20"/>
                    </w:rPr>
                    <w:t>《信息安全技术信息系统密码应用测评要求》</w:t>
                  </w:r>
                  <w:r>
                    <w:rPr>
                      <w:rFonts w:ascii="仿宋_GB2312" w:hAnsi="仿宋_GB2312" w:cs="仿宋_GB2312" w:eastAsia="仿宋_GB2312"/>
                      <w:sz w:val="20"/>
                    </w:rPr>
                    <w:t>等密评标准和</w:t>
                  </w:r>
                  <w:r>
                    <w:rPr>
                      <w:rFonts w:ascii="仿宋_GB2312" w:hAnsi="仿宋_GB2312" w:cs="仿宋_GB2312" w:eastAsia="仿宋_GB2312"/>
                      <w:sz w:val="20"/>
                    </w:rPr>
                    <w:t>通过评估的密码应用方案对系统进行评估，采取材料审查、人员访谈、实地查看、配置检查、工具测评等评估方法对系统密码应用情况进行评估分析，核查系统技术应用、密钥管理、安全管理是否符合密评要求；对评估过程中发现的问题进行汇总确认，总结各项评估指标的评估结果，编制评估报告。具体内容包括：</w:t>
                  </w:r>
                </w:p>
                <w:tbl>
                  <w:tblPr>
                    <w:tblInd w:type="dxa" w:w="90"/>
                    <w:tblBorders>
                      <w:top w:val="none" w:color="000000" w:sz="4"/>
                      <w:left w:val="none" w:color="000000" w:sz="4"/>
                      <w:bottom w:val="none" w:color="000000" w:sz="4"/>
                      <w:right w:val="none" w:color="000000" w:sz="4"/>
                      <w:insideH w:val="none"/>
                      <w:insideV w:val="none"/>
                    </w:tblBorders>
                  </w:tblPr>
                  <w:tblGrid>
                    <w:gridCol w:w="176"/>
                    <w:gridCol w:w="275"/>
                    <w:gridCol w:w="707"/>
                    <w:gridCol w:w="748"/>
                  </w:tblGrid>
                  <w:tr>
                    <w:tc>
                      <w:tcPr>
                        <w:tcW w:type="dxa" w:w="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b/>
                          </w:rPr>
                          <w:t>序号</w:t>
                        </w:r>
                      </w:p>
                    </w:tc>
                    <w:tc>
                      <w:tcPr>
                        <w:tcW w:type="dxa" w:w="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b/>
                          </w:rPr>
                          <w:t>服务内容</w:t>
                        </w:r>
                      </w:p>
                    </w:tc>
                    <w:tc>
                      <w:tcPr>
                        <w:tcW w:type="dxa" w:w="7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b/>
                          </w:rPr>
                          <w:t>服务内容子项</w:t>
                        </w:r>
                      </w:p>
                    </w:tc>
                    <w:tc>
                      <w:tcPr>
                        <w:tcW w:type="dxa" w:w="7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b/>
                          </w:rPr>
                          <w:t>工作内容</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jc w:val="both"/>
                        </w:pPr>
                        <w:r>
                          <w:rPr>
                            <w:rFonts w:ascii="仿宋_GB2312" w:hAnsi="仿宋_GB2312" w:cs="仿宋_GB2312" w:eastAsia="仿宋_GB2312"/>
                            <w:sz w:val="20"/>
                          </w:rPr>
                          <w:t>1</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需求沟通确认</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需求沟通调研和确认工作实施要求</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对安全评估的组织实施流程、风险管控效果、时间节点、交付成果、评估方式等基础信息进行沟通核实，确认服务需求和工作要求</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jc w:val="center"/>
                        </w:pPr>
                        <w:r>
                          <w:rPr>
                            <w:rFonts w:ascii="仿宋_GB2312" w:hAnsi="仿宋_GB2312" w:cs="仿宋_GB2312" w:eastAsia="仿宋_GB2312"/>
                            <w:sz w:val="20"/>
                          </w:rPr>
                          <w:t>2</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基础材料搜集整理和现场沟通采集</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按照评估准备实施要求，搜集整理必要素材</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通过远程或现场会议方式与业务研发、运维部门技术团队和保障团队沟通评估所需基础素材、文档等必要信息</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jc w:val="center"/>
                        </w:pPr>
                        <w:r>
                          <w:rPr>
                            <w:rFonts w:ascii="仿宋_GB2312" w:hAnsi="仿宋_GB2312" w:cs="仿宋_GB2312" w:eastAsia="仿宋_GB2312"/>
                            <w:sz w:val="20"/>
                          </w:rPr>
                          <w:t>3</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密码应用方案评估</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密码应用方案</w:t>
                        </w:r>
                        <w:r>
                          <w:rPr>
                            <w:rFonts w:ascii="仿宋_GB2312" w:hAnsi="仿宋_GB2312" w:cs="仿宋_GB2312" w:eastAsia="仿宋_GB2312"/>
                            <w:sz w:val="20"/>
                          </w:rPr>
                          <w:t>评估</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对委托方制定的密码应用方案进行评估，出具《密码应用方案评估报告》</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jc w:val="center"/>
                        </w:pPr>
                        <w:r>
                          <w:rPr>
                            <w:rFonts w:ascii="仿宋_GB2312" w:hAnsi="仿宋_GB2312" w:cs="仿宋_GB2312" w:eastAsia="仿宋_GB2312"/>
                            <w:sz w:val="20"/>
                          </w:rPr>
                          <w:t>4</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系统评估</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pPr>
                        <w:r>
                          <w:rPr>
                            <w:rFonts w:ascii="仿宋_GB2312" w:hAnsi="仿宋_GB2312" w:cs="仿宋_GB2312" w:eastAsia="仿宋_GB2312"/>
                            <w:sz w:val="20"/>
                          </w:rPr>
                          <w:t>依据《信息安全技术信息系统密码应用基本要求》</w:t>
                        </w:r>
                        <w:r>
                          <w:rPr>
                            <w:rFonts w:ascii="仿宋_GB2312" w:hAnsi="仿宋_GB2312" w:cs="仿宋_GB2312" w:eastAsia="仿宋_GB2312"/>
                            <w:sz w:val="20"/>
                          </w:rPr>
                          <w:t>（</w:t>
                        </w:r>
                        <w:r>
                          <w:rPr>
                            <w:rFonts w:ascii="仿宋_GB2312" w:hAnsi="仿宋_GB2312" w:cs="仿宋_GB2312" w:eastAsia="仿宋_GB2312"/>
                            <w:sz w:val="20"/>
                          </w:rPr>
                          <w:t>GB/T39786-2021</w:t>
                        </w:r>
                        <w:r>
                          <w:rPr>
                            <w:rFonts w:ascii="仿宋_GB2312" w:hAnsi="仿宋_GB2312" w:cs="仿宋_GB2312" w:eastAsia="仿宋_GB2312"/>
                            <w:sz w:val="20"/>
                          </w:rPr>
                          <w:t>）</w:t>
                        </w:r>
                        <w:r>
                          <w:rPr>
                            <w:rFonts w:ascii="仿宋_GB2312" w:hAnsi="仿宋_GB2312" w:cs="仿宋_GB2312" w:eastAsia="仿宋_GB2312"/>
                            <w:sz w:val="20"/>
                          </w:rPr>
                          <w:t>等标准进行测评</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按照GB/T39786-2021《信息安全技术信息系统密码应用基本要求》及通过评估的密码应用方案对系统进行评估，采取材料审查、人员访谈、实地查看、配置检查、工具测评等评估方法对系统密码应用情况进行评估分析，核查系统技术应用、密钥管理、安全管理是否符合密评要求。</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jc w:val="center"/>
                        </w:pPr>
                        <w:r>
                          <w:rPr>
                            <w:rFonts w:ascii="仿宋_GB2312" w:hAnsi="仿宋_GB2312" w:cs="仿宋_GB2312" w:eastAsia="仿宋_GB2312"/>
                            <w:sz w:val="20"/>
                          </w:rPr>
                          <w:t>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报告编制</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编制评估报告</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对评估过程中发现的问题进行汇总确认，总结各项评估指标的评估结果，编制评估报告。</w:t>
                        </w:r>
                      </w:p>
                    </w:tc>
                  </w:tr>
                </w:tbl>
                <w:p>
                  <w:pPr>
                    <w:pStyle w:val="null3"/>
                    <w:ind w:firstLine="402"/>
                  </w:pPr>
                  <w:r>
                    <w:rPr>
                      <w:rFonts w:ascii="仿宋_GB2312" w:hAnsi="仿宋_GB2312" w:cs="仿宋_GB2312" w:eastAsia="仿宋_GB2312"/>
                      <w:sz w:val="20"/>
                    </w:rPr>
                    <w:t>开展商用密码应用安全性评估，从通用要求、物理和环境、网络和通信、设备和计算、应用和数据、管理制度、人员管理、建设运行、应急处置等方面开展测评，具体测评指标如下：</w:t>
                  </w:r>
                </w:p>
                <w:tbl>
                  <w:tblPr>
                    <w:tblInd w:type="dxa" w:w="90"/>
                    <w:tblBorders>
                      <w:top w:val="none" w:color="000000" w:sz="4"/>
                      <w:left w:val="none" w:color="000000" w:sz="4"/>
                      <w:bottom w:val="none" w:color="000000" w:sz="4"/>
                      <w:right w:val="none" w:color="000000" w:sz="4"/>
                      <w:insideH w:val="none"/>
                      <w:insideV w:val="none"/>
                    </w:tblBorders>
                  </w:tblPr>
                  <w:tblGrid>
                    <w:gridCol w:w="215"/>
                    <w:gridCol w:w="512"/>
                    <w:gridCol w:w="1190"/>
                  </w:tblGrid>
                  <w:tr>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测评层面</w:t>
                        </w:r>
                      </w:p>
                    </w:tc>
                    <w:tc>
                      <w:tcPr>
                        <w:tcW w:type="dxa" w:w="5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center"/>
                        </w:pPr>
                        <w:r>
                          <w:rPr>
                            <w:rFonts w:ascii="仿宋_GB2312" w:hAnsi="仿宋_GB2312" w:cs="仿宋_GB2312" w:eastAsia="仿宋_GB2312"/>
                            <w:sz w:val="20"/>
                            <w:b/>
                          </w:rPr>
                          <w:t>测评单元</w:t>
                        </w:r>
                      </w:p>
                    </w:tc>
                    <w:tc>
                      <w:tcPr>
                        <w:tcW w:type="dxa" w:w="1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center"/>
                        </w:pPr>
                        <w:r>
                          <w:rPr>
                            <w:rFonts w:ascii="仿宋_GB2312" w:hAnsi="仿宋_GB2312" w:cs="仿宋_GB2312" w:eastAsia="仿宋_GB2312"/>
                            <w:sz w:val="20"/>
                            <w:b/>
                          </w:rPr>
                          <w:t>指标要求</w:t>
                        </w:r>
                      </w:p>
                    </w:tc>
                  </w:tr>
                  <w:tr>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物理和环境安全</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center"/>
                        </w:pPr>
                        <w:r>
                          <w:rPr>
                            <w:rFonts w:ascii="仿宋_GB2312" w:hAnsi="仿宋_GB2312" w:cs="仿宋_GB2312" w:eastAsia="仿宋_GB2312"/>
                            <w:sz w:val="20"/>
                          </w:rPr>
                          <w:t>身份鉴别</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宜采用密码技术进行物理访问身份鉴别，保证重要区域进入人员身份的真实性。</w:t>
                        </w:r>
                      </w:p>
                    </w:tc>
                  </w:tr>
                  <w:tr>
                    <w:tc>
                      <w:tcPr>
                        <w:tcW w:type="dxa" w:w="215"/>
                        <w:vMerge/>
                        <w:tcBorders>
                          <w:top w:val="none" w:color="000000" w:sz="4"/>
                          <w:left w:val="single" w:color="000000" w:sz="4"/>
                          <w:bottom w:val="single" w:color="000000" w:sz="4"/>
                          <w:right w:val="single" w:color="000000" w:sz="4"/>
                        </w:tcBorders>
                      </w:tcP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center"/>
                        </w:pPr>
                        <w:r>
                          <w:rPr>
                            <w:rFonts w:ascii="仿宋_GB2312" w:hAnsi="仿宋_GB2312" w:cs="仿宋_GB2312" w:eastAsia="仿宋_GB2312"/>
                            <w:sz w:val="20"/>
                          </w:rPr>
                          <w:t>电子门禁记录数据存储完整性</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宜采用密码技术保证电子门禁系统进出记录数据的存储完整性。</w:t>
                        </w:r>
                      </w:p>
                    </w:tc>
                  </w:tr>
                  <w:tr>
                    <w:tc>
                      <w:tcPr>
                        <w:tcW w:type="dxa" w:w="215"/>
                        <w:vMerge/>
                        <w:tcBorders>
                          <w:top w:val="none" w:color="000000" w:sz="4"/>
                          <w:left w:val="single" w:color="000000" w:sz="4"/>
                          <w:bottom w:val="single" w:color="000000" w:sz="4"/>
                          <w:right w:val="single" w:color="000000" w:sz="4"/>
                        </w:tcBorders>
                      </w:tcP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center"/>
                        </w:pPr>
                        <w:r>
                          <w:rPr>
                            <w:rFonts w:ascii="仿宋_GB2312" w:hAnsi="仿宋_GB2312" w:cs="仿宋_GB2312" w:eastAsia="仿宋_GB2312"/>
                            <w:sz w:val="20"/>
                          </w:rPr>
                          <w:t>视频监控记录数据存储完整性</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宜采用密码技术保证视频监控音像记录数据的存储完整性。</w:t>
                        </w:r>
                      </w:p>
                    </w:tc>
                  </w:tr>
                  <w:tr>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网络和通信安全</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center"/>
                        </w:pPr>
                        <w:r>
                          <w:rPr>
                            <w:rFonts w:ascii="仿宋_GB2312" w:hAnsi="仿宋_GB2312" w:cs="仿宋_GB2312" w:eastAsia="仿宋_GB2312"/>
                            <w:sz w:val="20"/>
                          </w:rPr>
                          <w:t>身份鉴别</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应采用密码技术对通信实体进行身份鉴别，保证通信实体身份的真实性。</w:t>
                        </w:r>
                      </w:p>
                    </w:tc>
                  </w:tr>
                  <w:tr>
                    <w:tc>
                      <w:tcPr>
                        <w:tcW w:type="dxa" w:w="215"/>
                        <w:vMerge/>
                        <w:tcBorders>
                          <w:top w:val="none" w:color="000000" w:sz="4"/>
                          <w:left w:val="single" w:color="000000" w:sz="4"/>
                          <w:bottom w:val="single" w:color="000000" w:sz="4"/>
                          <w:right w:val="single" w:color="000000" w:sz="4"/>
                        </w:tcBorders>
                      </w:tcP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center"/>
                        </w:pPr>
                        <w:r>
                          <w:rPr>
                            <w:rFonts w:ascii="仿宋_GB2312" w:hAnsi="仿宋_GB2312" w:cs="仿宋_GB2312" w:eastAsia="仿宋_GB2312"/>
                            <w:sz w:val="20"/>
                          </w:rPr>
                          <w:t>通信数据完整性</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宜采用密码技术保证通信过程中数据的完整性。</w:t>
                        </w:r>
                      </w:p>
                    </w:tc>
                  </w:tr>
                  <w:tr>
                    <w:tc>
                      <w:tcPr>
                        <w:tcW w:type="dxa" w:w="215"/>
                        <w:vMerge/>
                        <w:tcBorders>
                          <w:top w:val="none" w:color="000000" w:sz="4"/>
                          <w:left w:val="single" w:color="000000" w:sz="4"/>
                          <w:bottom w:val="single" w:color="000000" w:sz="4"/>
                          <w:right w:val="single" w:color="000000" w:sz="4"/>
                        </w:tcBorders>
                      </w:tcP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center"/>
                        </w:pPr>
                        <w:r>
                          <w:rPr>
                            <w:rFonts w:ascii="仿宋_GB2312" w:hAnsi="仿宋_GB2312" w:cs="仿宋_GB2312" w:eastAsia="仿宋_GB2312"/>
                            <w:sz w:val="20"/>
                          </w:rPr>
                          <w:t>通信过程中重要数据的机密性</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应采用密码技术保证通信过程中重要数据的机密性。</w:t>
                        </w:r>
                      </w:p>
                    </w:tc>
                  </w:tr>
                  <w:tr>
                    <w:tc>
                      <w:tcPr>
                        <w:tcW w:type="dxa" w:w="215"/>
                        <w:vMerge/>
                        <w:tcBorders>
                          <w:top w:val="none" w:color="000000" w:sz="4"/>
                          <w:left w:val="single" w:color="000000" w:sz="4"/>
                          <w:bottom w:val="single" w:color="000000" w:sz="4"/>
                          <w:right w:val="single" w:color="000000" w:sz="4"/>
                        </w:tcBorders>
                      </w:tcP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center"/>
                        </w:pPr>
                        <w:r>
                          <w:rPr>
                            <w:rFonts w:ascii="仿宋_GB2312" w:hAnsi="仿宋_GB2312" w:cs="仿宋_GB2312" w:eastAsia="仿宋_GB2312"/>
                            <w:sz w:val="20"/>
                          </w:rPr>
                          <w:t>网络边界访问控制信息的完整性</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宜采用密码技术保证网络边界访问控制信息的完整性。</w:t>
                        </w:r>
                      </w:p>
                    </w:tc>
                  </w:tr>
                  <w:tr>
                    <w:tc>
                      <w:tcPr>
                        <w:tcW w:type="dxa" w:w="215"/>
                        <w:vMerge/>
                        <w:tcBorders>
                          <w:top w:val="none" w:color="000000" w:sz="4"/>
                          <w:left w:val="single" w:color="000000" w:sz="4"/>
                          <w:bottom w:val="single" w:color="000000" w:sz="4"/>
                          <w:right w:val="single" w:color="000000" w:sz="4"/>
                        </w:tcBorders>
                      </w:tcP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center"/>
                        </w:pPr>
                        <w:r>
                          <w:rPr>
                            <w:rFonts w:ascii="仿宋_GB2312" w:hAnsi="仿宋_GB2312" w:cs="仿宋_GB2312" w:eastAsia="仿宋_GB2312"/>
                            <w:sz w:val="20"/>
                          </w:rPr>
                          <w:t>安全接入认证</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可采用密码技术对从外部连接到内部网络的设备进行接入认证，确保接入的设备身份真实性。</w:t>
                        </w:r>
                      </w:p>
                    </w:tc>
                  </w:tr>
                  <w:tr>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设备和计算安全</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身份鉴别</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应采用密码技术对登录设备的用户进行身份鉴别，保证用户身份的真实性。</w:t>
                        </w:r>
                      </w:p>
                    </w:tc>
                  </w:tr>
                  <w:tr>
                    <w:tc>
                      <w:tcPr>
                        <w:tcW w:type="dxa" w:w="215"/>
                        <w:vMerge/>
                        <w:tcBorders>
                          <w:top w:val="none" w:color="000000" w:sz="4"/>
                          <w:left w:val="single" w:color="000000" w:sz="4"/>
                          <w:bottom w:val="single" w:color="000000" w:sz="4"/>
                          <w:right w:val="single" w:color="000000" w:sz="4"/>
                        </w:tcBorders>
                      </w:tcP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远程管理通道安全</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远程管理设备时，应采用密码技术建立安全的信息传输通道。</w:t>
                        </w:r>
                      </w:p>
                    </w:tc>
                  </w:tr>
                  <w:tr>
                    <w:tc>
                      <w:tcPr>
                        <w:tcW w:type="dxa" w:w="215"/>
                        <w:vMerge/>
                        <w:tcBorders>
                          <w:top w:val="none" w:color="000000" w:sz="4"/>
                          <w:left w:val="single" w:color="000000" w:sz="4"/>
                          <w:bottom w:val="single" w:color="000000" w:sz="4"/>
                          <w:right w:val="single" w:color="000000" w:sz="4"/>
                        </w:tcBorders>
                      </w:tcP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系统资源访问控制信息完整性</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宜采用密码技术保证系统资源访问控制信息的完整性。</w:t>
                        </w:r>
                      </w:p>
                    </w:tc>
                  </w:tr>
                  <w:tr>
                    <w:tc>
                      <w:tcPr>
                        <w:tcW w:type="dxa" w:w="215"/>
                        <w:vMerge/>
                        <w:tcBorders>
                          <w:top w:val="none" w:color="000000" w:sz="4"/>
                          <w:left w:val="single" w:color="000000" w:sz="4"/>
                          <w:bottom w:val="single" w:color="000000" w:sz="4"/>
                          <w:right w:val="single" w:color="000000" w:sz="4"/>
                        </w:tcBorders>
                      </w:tcP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重要信息资源安全标记完整性</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宜采用密码技术保证设备中的重要信息资源安全标记的完整性。</w:t>
                        </w:r>
                      </w:p>
                    </w:tc>
                  </w:tr>
                  <w:tr>
                    <w:tc>
                      <w:tcPr>
                        <w:tcW w:type="dxa" w:w="215"/>
                        <w:vMerge/>
                        <w:tcBorders>
                          <w:top w:val="none" w:color="000000" w:sz="4"/>
                          <w:left w:val="single" w:color="000000" w:sz="4"/>
                          <w:bottom w:val="single" w:color="000000" w:sz="4"/>
                          <w:right w:val="single" w:color="000000" w:sz="4"/>
                        </w:tcBorders>
                      </w:tcP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日志记录完整性</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宜采用密码技术保证日志记录的完整性。</w:t>
                        </w:r>
                      </w:p>
                    </w:tc>
                  </w:tr>
                  <w:tr>
                    <w:tc>
                      <w:tcPr>
                        <w:tcW w:type="dxa" w:w="215"/>
                        <w:vMerge/>
                        <w:tcBorders>
                          <w:top w:val="none" w:color="000000" w:sz="4"/>
                          <w:left w:val="single" w:color="000000" w:sz="4"/>
                          <w:bottom w:val="single" w:color="000000" w:sz="4"/>
                          <w:right w:val="single" w:color="000000" w:sz="4"/>
                        </w:tcBorders>
                      </w:tcP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重要可执行程序完整性、重要可执行程序来源真实性</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宜采用密码技术对重要可执行程序进行完整性保护，并对其来源进行真实性验证。</w:t>
                        </w:r>
                      </w:p>
                    </w:tc>
                  </w:tr>
                  <w:tr>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应用和数据安全</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身份鉴别</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应采用密码技术对登录用户进行身份鉴别，保证应用系统用户身份的真实性。</w:t>
                        </w:r>
                      </w:p>
                    </w:tc>
                  </w:tr>
                  <w:tr>
                    <w:tc>
                      <w:tcPr>
                        <w:tcW w:type="dxa" w:w="215"/>
                        <w:vMerge/>
                        <w:tcBorders>
                          <w:top w:val="none" w:color="000000" w:sz="4"/>
                          <w:left w:val="single" w:color="000000" w:sz="4"/>
                          <w:bottom w:val="single" w:color="000000" w:sz="4"/>
                          <w:right w:val="single" w:color="000000" w:sz="4"/>
                        </w:tcBorders>
                      </w:tcP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访问控制信息完整性</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宜采用密码技术保证信息系统应用的访问控制信息的完整性。</w:t>
                        </w:r>
                      </w:p>
                    </w:tc>
                  </w:tr>
                  <w:tr>
                    <w:tc>
                      <w:tcPr>
                        <w:tcW w:type="dxa" w:w="215"/>
                        <w:vMerge/>
                        <w:tcBorders>
                          <w:top w:val="none" w:color="000000" w:sz="4"/>
                          <w:left w:val="single" w:color="000000" w:sz="4"/>
                          <w:bottom w:val="single" w:color="000000" w:sz="4"/>
                          <w:right w:val="single" w:color="000000" w:sz="4"/>
                        </w:tcBorders>
                      </w:tcP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重要信息资源安全标记完整性</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宜采用密码技术保证信息系统应用的重要信息资源安全标记的完整性；</w:t>
                        </w:r>
                      </w:p>
                    </w:tc>
                  </w:tr>
                  <w:tr>
                    <w:tc>
                      <w:tcPr>
                        <w:tcW w:type="dxa" w:w="215"/>
                        <w:vMerge/>
                        <w:tcBorders>
                          <w:top w:val="none" w:color="000000" w:sz="4"/>
                          <w:left w:val="single" w:color="000000" w:sz="4"/>
                          <w:bottom w:val="single" w:color="000000" w:sz="4"/>
                          <w:right w:val="single" w:color="000000" w:sz="4"/>
                        </w:tcBorders>
                      </w:tcP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重要数据传输机密性</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应采用密码技术保证信息系统应用的重要数据在传输过程中的机密性。</w:t>
                        </w:r>
                      </w:p>
                    </w:tc>
                  </w:tr>
                  <w:tr>
                    <w:tc>
                      <w:tcPr>
                        <w:tcW w:type="dxa" w:w="215"/>
                        <w:vMerge/>
                        <w:tcBorders>
                          <w:top w:val="none" w:color="000000" w:sz="4"/>
                          <w:left w:val="single" w:color="000000" w:sz="4"/>
                          <w:bottom w:val="single" w:color="000000" w:sz="4"/>
                          <w:right w:val="single" w:color="000000" w:sz="4"/>
                        </w:tcBorders>
                      </w:tcP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重要数据存储机密性</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应采用密码技术保证信息系统应用的重要数据在存储过程中的机密性。</w:t>
                        </w:r>
                      </w:p>
                    </w:tc>
                  </w:tr>
                  <w:tr>
                    <w:tc>
                      <w:tcPr>
                        <w:tcW w:type="dxa" w:w="215"/>
                        <w:vMerge/>
                        <w:tcBorders>
                          <w:top w:val="none" w:color="000000" w:sz="4"/>
                          <w:left w:val="single" w:color="000000" w:sz="4"/>
                          <w:bottom w:val="single" w:color="000000" w:sz="4"/>
                          <w:right w:val="single" w:color="000000" w:sz="4"/>
                        </w:tcBorders>
                      </w:tcP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重要数据传输完整性</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宜采用密码技术保证信息系统应用的重要数据在传输过程中的完整性。</w:t>
                        </w:r>
                      </w:p>
                    </w:tc>
                  </w:tr>
                  <w:tr>
                    <w:tc>
                      <w:tcPr>
                        <w:tcW w:type="dxa" w:w="215"/>
                        <w:vMerge/>
                        <w:tcBorders>
                          <w:top w:val="none" w:color="000000" w:sz="4"/>
                          <w:left w:val="single" w:color="000000" w:sz="4"/>
                          <w:bottom w:val="single" w:color="000000" w:sz="4"/>
                          <w:right w:val="single" w:color="000000" w:sz="4"/>
                        </w:tcBorders>
                      </w:tcP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重要数据存储完整性</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宜采用密码技术保证信息系统应用的重要数据在存储过程中的完整性；</w:t>
                        </w:r>
                      </w:p>
                    </w:tc>
                  </w:tr>
                  <w:tr>
                    <w:tc>
                      <w:tcPr>
                        <w:tcW w:type="dxa" w:w="215"/>
                        <w:vMerge/>
                        <w:tcBorders>
                          <w:top w:val="none" w:color="000000" w:sz="4"/>
                          <w:left w:val="single" w:color="000000" w:sz="4"/>
                          <w:bottom w:val="single" w:color="000000" w:sz="4"/>
                          <w:right w:val="single" w:color="000000" w:sz="4"/>
                        </w:tcBorders>
                      </w:tcP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不可否认性</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在可能涉及法律责任认定的应用中，宜采用密码技术提供数据原发证据和数据接收证据，实现数据原发行为的不可否认性和数据接收行为的不可否认性。</w:t>
                        </w:r>
                      </w:p>
                    </w:tc>
                  </w:tr>
                  <w:tr>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管理制度</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具备密码应用安全管理制度</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应具备密码应用安全管理制度，包括密码人员管理、密钥管理、建设运行、应急处置、密码软硬件及介质管理等制度；</w:t>
                        </w:r>
                      </w:p>
                    </w:tc>
                  </w:tr>
                  <w:tr>
                    <w:tc>
                      <w:tcPr>
                        <w:tcW w:type="dxa" w:w="215"/>
                        <w:vMerge/>
                        <w:tcBorders>
                          <w:top w:val="none" w:color="000000" w:sz="4"/>
                          <w:left w:val="single" w:color="000000" w:sz="4"/>
                          <w:bottom w:val="single" w:color="000000" w:sz="4"/>
                          <w:right w:val="single" w:color="000000" w:sz="4"/>
                        </w:tcBorders>
                      </w:tcP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密钥管理规则</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应根据密码应用方案建立相应密钥管理规则；</w:t>
                        </w:r>
                      </w:p>
                    </w:tc>
                  </w:tr>
                  <w:tr>
                    <w:tc>
                      <w:tcPr>
                        <w:tcW w:type="dxa" w:w="215"/>
                        <w:vMerge/>
                        <w:tcBorders>
                          <w:top w:val="none" w:color="000000" w:sz="4"/>
                          <w:left w:val="single" w:color="000000" w:sz="4"/>
                          <w:bottom w:val="single" w:color="000000" w:sz="4"/>
                          <w:right w:val="single" w:color="000000" w:sz="4"/>
                        </w:tcBorders>
                      </w:tcP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建立操作规程</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应对管理人员或操作人员执行的日常管理操作建立操作规程；</w:t>
                        </w:r>
                      </w:p>
                    </w:tc>
                  </w:tr>
                  <w:tr>
                    <w:tc>
                      <w:tcPr>
                        <w:tcW w:type="dxa" w:w="215"/>
                        <w:vMerge/>
                        <w:tcBorders>
                          <w:top w:val="none" w:color="000000" w:sz="4"/>
                          <w:left w:val="single" w:color="000000" w:sz="4"/>
                          <w:bottom w:val="single" w:color="000000" w:sz="4"/>
                          <w:right w:val="single" w:color="000000" w:sz="4"/>
                        </w:tcBorders>
                      </w:tcP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定期修订安全管理制度</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应定期对密码应用安全管理制度和操作规程的合理性和适用性进行论证和审定，对存在不足或需要改进之处进行修订；</w:t>
                        </w:r>
                      </w:p>
                    </w:tc>
                  </w:tr>
                  <w:tr>
                    <w:tc>
                      <w:tcPr>
                        <w:tcW w:type="dxa" w:w="215"/>
                        <w:vMerge/>
                        <w:tcBorders>
                          <w:top w:val="none" w:color="000000" w:sz="4"/>
                          <w:left w:val="single" w:color="000000" w:sz="4"/>
                          <w:bottom w:val="single" w:color="000000" w:sz="4"/>
                          <w:right w:val="single" w:color="000000" w:sz="4"/>
                        </w:tcBorders>
                      </w:tcP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明确管理制度发布流程</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应明确相关密码应用安全管理制度和操作规程的发布流程并进行版本控制；</w:t>
                        </w:r>
                      </w:p>
                    </w:tc>
                  </w:tr>
                  <w:tr>
                    <w:tc>
                      <w:tcPr>
                        <w:tcW w:type="dxa" w:w="215"/>
                        <w:vMerge/>
                        <w:tcBorders>
                          <w:top w:val="none" w:color="000000" w:sz="4"/>
                          <w:left w:val="single" w:color="000000" w:sz="4"/>
                          <w:bottom w:val="single" w:color="000000" w:sz="4"/>
                          <w:right w:val="single" w:color="000000" w:sz="4"/>
                        </w:tcBorders>
                      </w:tcP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制度执行过程记录留存</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应具有密码应用操作规程的相关执行记录并妥善保存。</w:t>
                        </w:r>
                      </w:p>
                    </w:tc>
                  </w:tr>
                  <w:tr>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人员管理</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了解并遵守密码相关法律法规和密码管理制度</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相关人员应了解并遵守密码相关法律法规、密码应用安全管理制度；</w:t>
                        </w:r>
                      </w:p>
                    </w:tc>
                  </w:tr>
                  <w:tr>
                    <w:tc>
                      <w:tcPr>
                        <w:tcW w:type="dxa" w:w="215"/>
                        <w:vMerge/>
                        <w:tcBorders>
                          <w:top w:val="none" w:color="000000" w:sz="4"/>
                          <w:left w:val="single" w:color="000000" w:sz="4"/>
                          <w:bottom w:val="single" w:color="000000" w:sz="4"/>
                          <w:right w:val="single" w:color="000000" w:sz="4"/>
                        </w:tcBorders>
                      </w:tcPr>
                      <w:p/>
                    </w:tc>
                    <w:tc>
                      <w:tcPr>
                        <w:tcW w:type="dxa" w:w="5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建立密码应用岗位责任制度</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应建立密码应用岗位责任制度，明确各岗位在安全系统中的职责和权限：</w:t>
                        </w:r>
                      </w:p>
                    </w:tc>
                  </w:tr>
                  <w:tr>
                    <w:tc>
                      <w:tcPr>
                        <w:tcW w:type="dxa" w:w="215"/>
                        <w:vMerge/>
                        <w:tcBorders>
                          <w:top w:val="none" w:color="000000" w:sz="4"/>
                          <w:left w:val="single" w:color="000000" w:sz="4"/>
                          <w:bottom w:val="single" w:color="000000" w:sz="4"/>
                          <w:right w:val="single" w:color="000000" w:sz="4"/>
                        </w:tcBorders>
                      </w:tcPr>
                      <w:p/>
                    </w:tc>
                    <w:tc>
                      <w:tcPr>
                        <w:tcW w:type="dxa" w:w="512"/>
                        <w:vMerge/>
                        <w:tcBorders>
                          <w:top w:val="none" w:color="000000" w:sz="4"/>
                          <w:left w:val="none" w:color="000000" w:sz="4"/>
                          <w:bottom w:val="single" w:color="000000" w:sz="4"/>
                          <w:right w:val="single" w:color="000000" w:sz="4"/>
                        </w:tcBorders>
                      </w:tc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1)根据密码应用的实际情况，设置密钥管理员、密码安全审计员、密码操作员等关键安全岗位；</w:t>
                        </w:r>
                      </w:p>
                    </w:tc>
                  </w:tr>
                  <w:tr>
                    <w:tc>
                      <w:tcPr>
                        <w:tcW w:type="dxa" w:w="215"/>
                        <w:vMerge/>
                        <w:tcBorders>
                          <w:top w:val="none" w:color="000000" w:sz="4"/>
                          <w:left w:val="single" w:color="000000" w:sz="4"/>
                          <w:bottom w:val="single" w:color="000000" w:sz="4"/>
                          <w:right w:val="single" w:color="000000" w:sz="4"/>
                        </w:tcBorders>
                      </w:tcPr>
                      <w:p/>
                    </w:tc>
                    <w:tc>
                      <w:tcPr>
                        <w:tcW w:type="dxa" w:w="512"/>
                        <w:vMerge/>
                        <w:tcBorders>
                          <w:top w:val="none" w:color="000000" w:sz="4"/>
                          <w:left w:val="none" w:color="000000" w:sz="4"/>
                          <w:bottom w:val="single" w:color="000000" w:sz="4"/>
                          <w:right w:val="single" w:color="000000" w:sz="4"/>
                        </w:tcBorders>
                      </w:tc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2)对关键岗位建立多人共管机制；</w:t>
                        </w:r>
                      </w:p>
                    </w:tc>
                  </w:tr>
                  <w:tr>
                    <w:tc>
                      <w:tcPr>
                        <w:tcW w:type="dxa" w:w="215"/>
                        <w:vMerge/>
                        <w:tcBorders>
                          <w:top w:val="none" w:color="000000" w:sz="4"/>
                          <w:left w:val="single" w:color="000000" w:sz="4"/>
                          <w:bottom w:val="single" w:color="000000" w:sz="4"/>
                          <w:right w:val="single" w:color="000000" w:sz="4"/>
                        </w:tcBorders>
                      </w:tcPr>
                      <w:p/>
                    </w:tc>
                    <w:tc>
                      <w:tcPr>
                        <w:tcW w:type="dxa" w:w="512"/>
                        <w:vMerge/>
                        <w:tcBorders>
                          <w:top w:val="none" w:color="000000" w:sz="4"/>
                          <w:left w:val="none" w:color="000000" w:sz="4"/>
                          <w:bottom w:val="single" w:color="000000" w:sz="4"/>
                          <w:right w:val="single" w:color="000000" w:sz="4"/>
                        </w:tcBorders>
                      </w:tc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3)密钥管理、密码安全审计、密码操作人员职责互相制约互相监督，其中密码安全审计员岗位不可与密钥管理员、密码操作员兼任；</w:t>
                        </w:r>
                      </w:p>
                    </w:tc>
                  </w:tr>
                  <w:tr>
                    <w:tc>
                      <w:tcPr>
                        <w:tcW w:type="dxa" w:w="215"/>
                        <w:vMerge/>
                        <w:tcBorders>
                          <w:top w:val="none" w:color="000000" w:sz="4"/>
                          <w:left w:val="single" w:color="000000" w:sz="4"/>
                          <w:bottom w:val="single" w:color="000000" w:sz="4"/>
                          <w:right w:val="single" w:color="000000" w:sz="4"/>
                        </w:tcBorders>
                      </w:tcPr>
                      <w:p/>
                    </w:tc>
                    <w:tc>
                      <w:tcPr>
                        <w:tcW w:type="dxa" w:w="512"/>
                        <w:vMerge/>
                        <w:tcBorders>
                          <w:top w:val="none" w:color="000000" w:sz="4"/>
                          <w:left w:val="none" w:color="000000" w:sz="4"/>
                          <w:bottom w:val="single" w:color="000000" w:sz="4"/>
                          <w:right w:val="single" w:color="000000" w:sz="4"/>
                        </w:tcBorders>
                      </w:tcP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4)相关设备与系统的管理和使用账号不得多人共用。</w:t>
                        </w:r>
                      </w:p>
                    </w:tc>
                  </w:tr>
                  <w:tr>
                    <w:tc>
                      <w:tcPr>
                        <w:tcW w:type="dxa" w:w="215"/>
                        <w:vMerge/>
                        <w:tcBorders>
                          <w:top w:val="none" w:color="000000" w:sz="4"/>
                          <w:left w:val="single" w:color="000000" w:sz="4"/>
                          <w:bottom w:val="single" w:color="000000" w:sz="4"/>
                          <w:right w:val="single" w:color="000000" w:sz="4"/>
                        </w:tcBorders>
                      </w:tcP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建立上岗人员培训制度</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应建立上岗人员培训制度，对于涉及密码的操作和管理的人员进行专门培训，确保其具备岗位所需专业技能；</w:t>
                        </w:r>
                      </w:p>
                    </w:tc>
                  </w:tr>
                  <w:tr>
                    <w:tc>
                      <w:tcPr>
                        <w:tcW w:type="dxa" w:w="215"/>
                        <w:vMerge/>
                        <w:tcBorders>
                          <w:top w:val="none" w:color="000000" w:sz="4"/>
                          <w:left w:val="single" w:color="000000" w:sz="4"/>
                          <w:bottom w:val="single" w:color="000000" w:sz="4"/>
                          <w:right w:val="single" w:color="000000" w:sz="4"/>
                        </w:tcBorders>
                      </w:tcP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定期进行安全岗位人员考核</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应定期对密码应用安全岗位人员进行考核；</w:t>
                        </w:r>
                      </w:p>
                    </w:tc>
                  </w:tr>
                  <w:tr>
                    <w:tc>
                      <w:tcPr>
                        <w:tcW w:type="dxa" w:w="215"/>
                        <w:vMerge/>
                        <w:tcBorders>
                          <w:top w:val="none" w:color="000000" w:sz="4"/>
                          <w:left w:val="single" w:color="000000" w:sz="4"/>
                          <w:bottom w:val="single" w:color="000000" w:sz="4"/>
                          <w:right w:val="single" w:color="000000" w:sz="4"/>
                        </w:tcBorders>
                      </w:tcP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建立关键岗位人员保密制度和调离制度</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应建立关键人员保密制度和调离制度，签订保密合同，承担保密义务。</w:t>
                        </w:r>
                      </w:p>
                    </w:tc>
                  </w:tr>
                  <w:tr>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建设运行</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制定密码应用方案</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应依据密码相关标准和密码应用需求，制定密码应用方案；</w:t>
                        </w:r>
                      </w:p>
                    </w:tc>
                  </w:tr>
                  <w:tr>
                    <w:tc>
                      <w:tcPr>
                        <w:tcW w:type="dxa" w:w="215"/>
                        <w:vMerge/>
                        <w:tcBorders>
                          <w:top w:val="none" w:color="000000" w:sz="4"/>
                          <w:left w:val="single" w:color="000000" w:sz="4"/>
                          <w:bottom w:val="single" w:color="000000" w:sz="4"/>
                          <w:right w:val="single" w:color="000000" w:sz="4"/>
                        </w:tcBorders>
                      </w:tcP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制定密钥安全管理策略</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应根据密码应用方案，确定系统涉及的密钥种类、体系及其生命周期环节</w:t>
                        </w:r>
                        <w:r>
                          <w:rPr>
                            <w:rFonts w:ascii="仿宋_GB2312" w:hAnsi="仿宋_GB2312" w:cs="仿宋_GB2312" w:eastAsia="仿宋_GB2312"/>
                            <w:sz w:val="20"/>
                          </w:rPr>
                          <w:t>。</w:t>
                        </w:r>
                      </w:p>
                    </w:tc>
                  </w:tr>
                  <w:tr>
                    <w:tc>
                      <w:tcPr>
                        <w:tcW w:type="dxa" w:w="215"/>
                        <w:vMerge/>
                        <w:tcBorders>
                          <w:top w:val="none" w:color="000000" w:sz="4"/>
                          <w:left w:val="single" w:color="000000" w:sz="4"/>
                          <w:bottom w:val="single" w:color="000000" w:sz="4"/>
                          <w:right w:val="single" w:color="000000" w:sz="4"/>
                        </w:tcBorders>
                      </w:tcP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制定实施方案</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应按照应用方案实施建设；</w:t>
                        </w:r>
                      </w:p>
                    </w:tc>
                  </w:tr>
                  <w:tr>
                    <w:tc>
                      <w:tcPr>
                        <w:tcW w:type="dxa" w:w="215"/>
                        <w:vMerge/>
                        <w:tcBorders>
                          <w:top w:val="none" w:color="000000" w:sz="4"/>
                          <w:left w:val="single" w:color="000000" w:sz="4"/>
                          <w:bottom w:val="single" w:color="000000" w:sz="4"/>
                          <w:right w:val="single" w:color="000000" w:sz="4"/>
                        </w:tcBorders>
                      </w:tcP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投入运行前进行密码应用安全性评估</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投入运行前应进行密码应用安全性评估，评估通过后系统方可正式运行；</w:t>
                        </w:r>
                      </w:p>
                    </w:tc>
                  </w:tr>
                  <w:tr>
                    <w:tc>
                      <w:tcPr>
                        <w:tcW w:type="dxa" w:w="215"/>
                        <w:vMerge/>
                        <w:tcBorders>
                          <w:top w:val="none" w:color="000000" w:sz="4"/>
                          <w:left w:val="single" w:color="000000" w:sz="4"/>
                          <w:bottom w:val="single" w:color="000000" w:sz="4"/>
                          <w:right w:val="single" w:color="000000" w:sz="4"/>
                        </w:tcBorders>
                      </w:tcP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定期开展密码应用安全性评估及攻防对抗演习</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在运行过程中，应严格执行既定的密码应用安全管理制度，应定期开展密码应用安全性评估及攻防对抗演习，并根据评估结果进行整改。</w:t>
                        </w:r>
                      </w:p>
                    </w:tc>
                  </w:tr>
                  <w:tr>
                    <w:tc>
                      <w:tcPr>
                        <w:tcW w:type="dxa" w:w="2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应急处置</w:t>
                        </w: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应急策略</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应制定密码应用应急策略，做好应急资源准备，当密码应用安全事件发生时，应立即启动应急处置措施，结合实际情况及时处置；</w:t>
                        </w:r>
                      </w:p>
                    </w:tc>
                  </w:tr>
                  <w:tr>
                    <w:tc>
                      <w:tcPr>
                        <w:tcW w:type="dxa" w:w="215"/>
                        <w:vMerge/>
                        <w:tcBorders>
                          <w:top w:val="none" w:color="000000" w:sz="4"/>
                          <w:left w:val="single" w:color="000000" w:sz="4"/>
                          <w:bottom w:val="single" w:color="000000" w:sz="4"/>
                          <w:right w:val="single" w:color="000000" w:sz="4"/>
                        </w:tcBorders>
                      </w:tcP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事件处置</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事件发生后，应及时向信息系统主管部门进行报告；</w:t>
                        </w:r>
                      </w:p>
                    </w:tc>
                  </w:tr>
                  <w:tr>
                    <w:tc>
                      <w:tcPr>
                        <w:tcW w:type="dxa" w:w="215"/>
                        <w:vMerge/>
                        <w:tcBorders>
                          <w:top w:val="none" w:color="000000" w:sz="4"/>
                          <w:left w:val="single" w:color="000000" w:sz="4"/>
                          <w:bottom w:val="single" w:color="000000" w:sz="4"/>
                          <w:right w:val="single" w:color="000000" w:sz="4"/>
                        </w:tcBorders>
                      </w:tcPr>
                      <w:p/>
                    </w:tc>
                    <w:tc>
                      <w:tcPr>
                        <w:tcW w:type="dxa" w:w="5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向有关主管部门上报处置情况</w:t>
                        </w:r>
                      </w:p>
                    </w:tc>
                    <w:tc>
                      <w:tcPr>
                        <w:tcW w:type="dxa" w:w="1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rPr>
                          <w:t>事件处置完成后，应及时向信息系统主管部门及归属的密码管理部门报告事件发生情况及处置情况。</w:t>
                        </w:r>
                      </w:p>
                    </w:tc>
                  </w:tr>
                </w:tbl>
                <w:p>
                  <w:pPr>
                    <w:pStyle w:val="null3"/>
                    <w:ind w:firstLine="402"/>
                  </w:pPr>
                  <w:r>
                    <w:rPr>
                      <w:rFonts w:ascii="仿宋_GB2312" w:hAnsi="仿宋_GB2312" w:cs="仿宋_GB2312" w:eastAsia="仿宋_GB2312"/>
                      <w:sz w:val="20"/>
                      <w:b/>
                    </w:rPr>
                    <w:t>3</w:t>
                  </w:r>
                  <w:r>
                    <w:rPr>
                      <w:rFonts w:ascii="仿宋_GB2312" w:hAnsi="仿宋_GB2312" w:cs="仿宋_GB2312" w:eastAsia="仿宋_GB2312"/>
                      <w:sz w:val="20"/>
                      <w:b/>
                    </w:rPr>
                    <w:t>.服务要求</w:t>
                  </w:r>
                </w:p>
                <w:p>
                  <w:pPr>
                    <w:pStyle w:val="null3"/>
                    <w:ind w:firstLine="402"/>
                  </w:pPr>
                  <w:r>
                    <w:rPr>
                      <w:rFonts w:ascii="仿宋_GB2312" w:hAnsi="仿宋_GB2312" w:cs="仿宋_GB2312" w:eastAsia="仿宋_GB2312"/>
                      <w:sz w:val="20"/>
                    </w:rPr>
                    <w:t>3</w:t>
                  </w:r>
                  <w:r>
                    <w:rPr>
                      <w:rFonts w:ascii="仿宋_GB2312" w:hAnsi="仿宋_GB2312" w:cs="仿宋_GB2312" w:eastAsia="仿宋_GB2312"/>
                      <w:sz w:val="20"/>
                    </w:rPr>
                    <w:t>.1技术要求</w:t>
                  </w:r>
                </w:p>
                <w:p>
                  <w:pPr>
                    <w:pStyle w:val="null3"/>
                    <w:ind w:firstLine="402"/>
                  </w:pPr>
                  <w:r>
                    <w:rPr>
                      <w:rFonts w:ascii="仿宋_GB2312" w:hAnsi="仿宋_GB2312" w:cs="仿宋_GB2312" w:eastAsia="仿宋_GB2312"/>
                      <w:sz w:val="20"/>
                    </w:rPr>
                    <w:t>测评机构按照</w:t>
                  </w:r>
                  <w:r>
                    <w:rPr>
                      <w:rFonts w:ascii="仿宋_GB2312" w:hAnsi="仿宋_GB2312" w:cs="仿宋_GB2312" w:eastAsia="仿宋_GB2312"/>
                      <w:sz w:val="20"/>
                    </w:rPr>
                    <w:t>GB</w:t>
                  </w:r>
                  <w:r>
                    <w:rPr>
                      <w:rFonts w:ascii="仿宋_GB2312" w:hAnsi="仿宋_GB2312" w:cs="仿宋_GB2312" w:eastAsia="仿宋_GB2312"/>
                      <w:sz w:val="20"/>
                    </w:rPr>
                    <w:t>/T39786-2021</w:t>
                  </w:r>
                  <w:r>
                    <w:rPr>
                      <w:rFonts w:ascii="仿宋_GB2312" w:hAnsi="仿宋_GB2312" w:cs="仿宋_GB2312" w:eastAsia="仿宋_GB2312"/>
                      <w:sz w:val="20"/>
                    </w:rPr>
                    <w:t>《</w:t>
                  </w:r>
                  <w:r>
                    <w:rPr>
                      <w:rFonts w:ascii="仿宋_GB2312" w:hAnsi="仿宋_GB2312" w:cs="仿宋_GB2312" w:eastAsia="仿宋_GB2312"/>
                      <w:sz w:val="20"/>
                    </w:rPr>
                    <w:t>信息安全技术 信息系统密码应用基本要求</w:t>
                  </w:r>
                  <w:r>
                    <w:rPr>
                      <w:rFonts w:ascii="仿宋_GB2312" w:hAnsi="仿宋_GB2312" w:cs="仿宋_GB2312" w:eastAsia="仿宋_GB2312"/>
                      <w:sz w:val="20"/>
                    </w:rPr>
                    <w:t>》、GB</w:t>
                  </w:r>
                  <w:r>
                    <w:rPr>
                      <w:rFonts w:ascii="仿宋_GB2312" w:hAnsi="仿宋_GB2312" w:cs="仿宋_GB2312" w:eastAsia="仿宋_GB2312"/>
                      <w:sz w:val="20"/>
                    </w:rPr>
                    <w:t>/T</w:t>
                  </w:r>
                  <w:r>
                    <w:rPr>
                      <w:rFonts w:ascii="仿宋_GB2312" w:hAnsi="仿宋_GB2312" w:cs="仿宋_GB2312" w:eastAsia="仿宋_GB2312"/>
                      <w:sz w:val="20"/>
                    </w:rPr>
                    <w:t>43206</w:t>
                  </w:r>
                  <w:r>
                    <w:rPr>
                      <w:rFonts w:ascii="仿宋_GB2312" w:hAnsi="仿宋_GB2312" w:cs="仿宋_GB2312" w:eastAsia="仿宋_GB2312"/>
                      <w:sz w:val="20"/>
                    </w:rPr>
                    <w:t>-202</w:t>
                  </w:r>
                  <w:r>
                    <w:rPr>
                      <w:rFonts w:ascii="仿宋_GB2312" w:hAnsi="仿宋_GB2312" w:cs="仿宋_GB2312" w:eastAsia="仿宋_GB2312"/>
                      <w:sz w:val="20"/>
                    </w:rPr>
                    <w:t>3</w:t>
                  </w:r>
                  <w:r>
                    <w:rPr>
                      <w:rFonts w:ascii="仿宋_GB2312" w:hAnsi="仿宋_GB2312" w:cs="仿宋_GB2312" w:eastAsia="仿宋_GB2312"/>
                      <w:sz w:val="20"/>
                    </w:rPr>
                    <w:t>《信息安全技术信息系统密码应用测评要求》</w:t>
                  </w:r>
                  <w:r>
                    <w:rPr>
                      <w:rFonts w:ascii="仿宋_GB2312" w:hAnsi="仿宋_GB2312" w:cs="仿宋_GB2312" w:eastAsia="仿宋_GB2312"/>
                      <w:sz w:val="20"/>
                    </w:rPr>
                    <w:t>等密评标准</w:t>
                  </w:r>
                  <w:r>
                    <w:rPr>
                      <w:rFonts w:ascii="仿宋_GB2312" w:hAnsi="仿宋_GB2312" w:cs="仿宋_GB2312" w:eastAsia="仿宋_GB2312"/>
                      <w:sz w:val="20"/>
                    </w:rPr>
                    <w:t>对系统进行评估，密码应用测评须满足合规性、正确性、有效性。</w:t>
                  </w:r>
                </w:p>
                <w:p>
                  <w:pPr>
                    <w:pStyle w:val="null3"/>
                    <w:ind w:firstLine="402"/>
                  </w:pPr>
                  <w:r>
                    <w:rPr>
                      <w:rFonts w:ascii="仿宋_GB2312" w:hAnsi="仿宋_GB2312" w:cs="仿宋_GB2312" w:eastAsia="仿宋_GB2312"/>
                      <w:sz w:val="20"/>
                    </w:rPr>
                    <w:t>合规性，指信息系统中的密码算法、密码协议、密钥管理、密码产品和服务使用合规；使用符合国家密码法规和标准规定的商用密码算法，使用经检测认证合格的商用密码产品或服务。</w:t>
                  </w:r>
                </w:p>
                <w:p>
                  <w:pPr>
                    <w:pStyle w:val="null3"/>
                    <w:ind w:firstLine="402"/>
                  </w:pPr>
                  <w:r>
                    <w:rPr>
                      <w:rFonts w:ascii="仿宋_GB2312" w:hAnsi="仿宋_GB2312" w:cs="仿宋_GB2312" w:eastAsia="仿宋_GB2312"/>
                      <w:sz w:val="20"/>
                    </w:rPr>
                    <w:t>正确性，指信息系统中的密码算法、密码协议、密钥管理、密码产品和服务使用正确。即釆用的密码算法、协议和密钥管理机制按照相应的密码国家和行业标准进行正确的设计和实现；密码保障系统建设或改造过程中密码产品和服务的部署和应用正确。</w:t>
                  </w:r>
                </w:p>
                <w:p>
                  <w:pPr>
                    <w:pStyle w:val="null3"/>
                    <w:ind w:firstLine="402"/>
                  </w:pPr>
                  <w:r>
                    <w:rPr>
                      <w:rFonts w:ascii="仿宋_GB2312" w:hAnsi="仿宋_GB2312" w:cs="仿宋_GB2312" w:eastAsia="仿宋_GB2312"/>
                      <w:sz w:val="20"/>
                    </w:rPr>
                    <w:t>有效性，指信息系统釆用的密码协议、密钥管理系统、密码应用子系统和密码安全防护机制不仅设计合理，而且在系统运行过程中能够发挥密码效用，保障信息的机密性、完整性、真实性、抗抵赖性。</w:t>
                  </w:r>
                </w:p>
                <w:p>
                  <w:pPr>
                    <w:pStyle w:val="null3"/>
                    <w:ind w:firstLine="402"/>
                  </w:pPr>
                  <w:r>
                    <w:rPr>
                      <w:rFonts w:ascii="仿宋_GB2312" w:hAnsi="仿宋_GB2312" w:cs="仿宋_GB2312" w:eastAsia="仿宋_GB2312"/>
                      <w:sz w:val="20"/>
                    </w:rPr>
                    <w:t>3</w:t>
                  </w:r>
                  <w:r>
                    <w:rPr>
                      <w:rFonts w:ascii="仿宋_GB2312" w:hAnsi="仿宋_GB2312" w:cs="仿宋_GB2312" w:eastAsia="仿宋_GB2312"/>
                      <w:sz w:val="20"/>
                    </w:rPr>
                    <w:t>.2进度要求</w:t>
                  </w:r>
                </w:p>
                <w:p>
                  <w:pPr>
                    <w:pStyle w:val="null3"/>
                    <w:ind w:firstLine="402"/>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.1</w:t>
                  </w:r>
                  <w:r>
                    <w:rPr>
                      <w:rFonts w:ascii="仿宋_GB2312" w:hAnsi="仿宋_GB2312" w:cs="仿宋_GB2312" w:eastAsia="仿宋_GB2312"/>
                      <w:sz w:val="20"/>
                    </w:rPr>
                    <w:t>测评服务</w:t>
                  </w:r>
                  <w:r>
                    <w:rPr>
                      <w:rFonts w:ascii="仿宋_GB2312" w:hAnsi="仿宋_GB2312" w:cs="仿宋_GB2312" w:eastAsia="仿宋_GB2312"/>
                      <w:sz w:val="20"/>
                    </w:rPr>
                    <w:t>期</w:t>
                  </w:r>
                  <w:r>
                    <w:rPr>
                      <w:rFonts w:ascii="仿宋_GB2312" w:hAnsi="仿宋_GB2312" w:cs="仿宋_GB2312" w:eastAsia="仿宋_GB2312"/>
                      <w:sz w:val="20"/>
                    </w:rPr>
                    <w:t>：</w:t>
                  </w:r>
                  <w:r>
                    <w:rPr>
                      <w:rFonts w:ascii="仿宋_GB2312" w:hAnsi="仿宋_GB2312" w:cs="仿宋_GB2312" w:eastAsia="仿宋_GB2312"/>
                      <w:sz w:val="20"/>
                    </w:rPr>
                    <w:t>合同签订后，在被评测系统竣工验收前</w:t>
                  </w:r>
                  <w:r>
                    <w:rPr>
                      <w:rFonts w:ascii="仿宋_GB2312" w:hAnsi="仿宋_GB2312" w:cs="仿宋_GB2312" w:eastAsia="仿宋_GB2312"/>
                      <w:sz w:val="20"/>
                    </w:rPr>
                    <w:t>30</w:t>
                  </w:r>
                  <w:r>
                    <w:rPr>
                      <w:rFonts w:ascii="仿宋_GB2312" w:hAnsi="仿宋_GB2312" w:cs="仿宋_GB2312" w:eastAsia="仿宋_GB2312"/>
                      <w:sz w:val="20"/>
                    </w:rPr>
                    <w:t>天</w:t>
                  </w:r>
                  <w:r>
                    <w:rPr>
                      <w:rFonts w:ascii="仿宋_GB2312" w:hAnsi="仿宋_GB2312" w:cs="仿宋_GB2312" w:eastAsia="仿宋_GB2312"/>
                      <w:sz w:val="20"/>
                    </w:rPr>
                    <w:t>完成交付</w:t>
                  </w:r>
                  <w:r>
                    <w:rPr>
                      <w:rFonts w:ascii="仿宋_GB2312" w:hAnsi="仿宋_GB2312" w:cs="仿宋_GB2312" w:eastAsia="仿宋_GB2312"/>
                      <w:sz w:val="20"/>
                    </w:rPr>
                    <w:t>。</w:t>
                  </w:r>
                </w:p>
                <w:p>
                  <w:pPr>
                    <w:pStyle w:val="null3"/>
                    <w:ind w:firstLine="402"/>
                  </w:pPr>
                  <w:r>
                    <w:rPr>
                      <w:rFonts w:ascii="仿宋_GB2312" w:hAnsi="仿宋_GB2312" w:cs="仿宋_GB2312" w:eastAsia="仿宋_GB2312"/>
                      <w:sz w:val="20"/>
                    </w:rPr>
                    <w:t>3</w:t>
                  </w:r>
                  <w:r>
                    <w:rPr>
                      <w:rFonts w:ascii="仿宋_GB2312" w:hAnsi="仿宋_GB2312" w:cs="仿宋_GB2312" w:eastAsia="仿宋_GB2312"/>
                      <w:sz w:val="20"/>
                    </w:rPr>
                    <w:t>.2.</w:t>
                  </w:r>
                  <w:r>
                    <w:rPr>
                      <w:rFonts w:ascii="仿宋_GB2312" w:hAnsi="仿宋_GB2312" w:cs="仿宋_GB2312" w:eastAsia="仿宋_GB2312"/>
                      <w:sz w:val="20"/>
                    </w:rPr>
                    <w:t>2</w:t>
                  </w:r>
                  <w:r>
                    <w:rPr>
                      <w:rFonts w:ascii="仿宋_GB2312" w:hAnsi="仿宋_GB2312" w:cs="仿宋_GB2312" w:eastAsia="仿宋_GB2312"/>
                      <w:sz w:val="20"/>
                    </w:rPr>
                    <w:t>进度管理</w:t>
                  </w:r>
                </w:p>
                <w:p>
                  <w:pPr>
                    <w:pStyle w:val="null3"/>
                    <w:ind w:firstLine="402"/>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）投标方应在所投标的技术方案书中提交详细的项目组织及实施规划，并且提交从合同签订之日起的周工作进度安排计划，须严格按照项目进度要求开展项目工作。</w:t>
                  </w:r>
                </w:p>
                <w:p>
                  <w:pPr>
                    <w:pStyle w:val="null3"/>
                    <w:ind w:firstLine="402"/>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）须严格按照项目阶段设计项目里程碑和里程碑产出物。</w:t>
                  </w:r>
                </w:p>
                <w:p>
                  <w:pPr>
                    <w:pStyle w:val="null3"/>
                    <w:ind w:firstLine="402"/>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）投标方须严格按照项目里程碑开展工作。招标方将根据里程碑和里程碑产出物审核投标方工作。</w:t>
                  </w:r>
                </w:p>
                <w:p>
                  <w:pPr>
                    <w:pStyle w:val="null3"/>
                    <w:ind w:firstLine="402"/>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）若由于投标方自身原因导致项目进度滞后于项目里程碑计划，招标方可根据合同要求追究投标方责任。</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满足项目要求，供应商根据单位自身及项目实际情况自主配置。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满足项目要求，供应商根据单位自身及项目实际情况自主配置。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1.归档要求：供应商按照采购人关于项目归档的相关要求，在项目完成验收后的20个工作日内协助采购人完成项目成果资料的归档工作。 2.保密要求：（1）供应商须签订保密协议，对其因身份、职务、职业或技术关系而知悉的采购人商业秘密和党政机关保密信息应严格保守，保证不被披露或使用，包括意外或过失。（2）供应商不得以竞争为目的、或出于私利、或为第三人谋利而擅自保存、披露、使用采购人商业秘密和党政机关保密信息；不得直接或间接地向无关人员泄露采购人的商业秘密和党政机关保密信息；不得向不承担保密义务的任何第三人披露采购人的商业秘密和党政机关保密信息。供应商在从事政府项目时，不得擅自记录、复制、拍摄、摘抄、收藏在工作中涉及的保密信息，严禁将涉及政府项目的任何资料、数据透露或以其他方式提供给项目以外的其他方或供应商内部与该项目无关的任何人员。（3）供应商对于工作期间知悉采购人的商业秘密和党政机关保密信息（包括业务信息在内）或工作过程中接触到的政府机关文件（包括内部发文、各类通知及会议记录等）的内容，同样承担保密责任，严禁将政府机关内部会议、谈话内容泄露给无关人员；不得翻阅与工作无关的文件和资料。（4）严禁泄露在工作中接触到的政府机关科技研究、发明、装备器材及其技术资料和政府工作信息。 3.廉政要求：供应商与采购人签订廉政责任书。 4.其它约定：其他未涉及内容参照本项目采购文件中技术服务合同文本相应条款的约定执行。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合同签订后，在被评测系统竣工验收前30天完成交付。</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 （1）符合国家、省、市及行业相关标准。（2）符合采购文件中的相应技术要求。（3）符合项目实施过程中，双方约定的标准和要求。（4）验收标准包括但不限于：对系统的各功能模块及性能指标做专业性的技术检验，并按照国产密码评估的要求开展工作，对系统进行国产密码评估，满足上线要求，项目交付物齐全，提供被评估系统的商用密码应用安全性评估报告，并协助委托方取得系统的备案回执。 2.验收方式 按照验收标准，由采购人组织专家进行验收，必要时，可邀请第三方机构进行验收。 3.验收合格条件 符合国家标准和行业标准及合同要求，符合磋商文件、乙方的响应文件、澄清文件和成交通知书的要求等,乙方应严格按照上述及采购人要求实施项目服务。注：乙方应保证交付的成果文件已参照已有的相关规划，并遵循中华人民共和国及地方的有关法律规范，并符合本项目服务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进度款，完成信息系统的商用密码应用安全性评估并取得密码管理部门系统备案回执，待履约验收通过后，达到付款条件起30个工作日内，支付合同总金额的60.0%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2.供应商未按合同要求提供服务或服务质量不能满足技术要求，且在规定时间内未使采购人满意的，采购人有权解除合同，同时报请西安市财政局政府采购监管部门对其违约行为进行追究。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保障政府采购电子化交易平台项目实施，供应商需要在线提交所有通过电子化交易平台实施的政府采购项目的响应文件，成交人在领取成交通知书时须提供纸质响应文件正本壹份、副本贰份、电子响应文件贰份（U盘）。纸质响应文件采用书籍（胶装）方式装订成册，与电子响应文件保持一致，签字、盖章的完整版本。2.供应商应自磋商文件递交截止时间起至磋商结束，保持在线状态。3.本项目为专门面向中小企业采购，供应商应为中小微企业或监狱企业或残疾人福利性单位。</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营业执照等主体资格证明文件提供统一社会信用代码的营业执照或其他组织经营的合法凭证或自然人的提供身份证明文件；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法定代表人参加磋商的，须提供本人身份证复印件；法定代表人授权他人参加磋商的，须提供法定代表人授权委托书及被授权人近半年内任意一个月的社保缴纳证明；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企业赋码后2025年度经会计师事务所或审计机构审计的财务审计报告（成立时间至提交响应文件截止时间不足一年的可提供成立后任意时段的资产负债表、利润表、现金流量表），审计报告须具有注册会计师行业统一监管平台（http://acc.mof.gov.cn）赋予的验证码；或响应截止时间前六个月内基本账户银行出具的资信证明及基本存款账户银⾏相关证明资料；或专业担保机构出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供应商应具备良好的商业信誉，提供在参加政府采购活动前3年内在经营活动中没有重大违法记录的书面声明；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专业技术能力的书面承诺</w:t>
            </w:r>
          </w:p>
        </w:tc>
        <w:tc>
          <w:tcPr>
            <w:tcW w:type="dxa" w:w="3322"/>
          </w:tcPr>
          <w:p>
            <w:pPr>
              <w:pStyle w:val="null3"/>
            </w:pPr>
            <w:r>
              <w:rPr>
                <w:rFonts w:ascii="仿宋_GB2312" w:hAnsi="仿宋_GB2312" w:cs="仿宋_GB2312" w:eastAsia="仿宋_GB2312"/>
              </w:rPr>
              <w:t>供应商具备履行合同所必需的设备和专业技术能力的书面承诺；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信用中国”（www.creditchina.gov.cn）网站上未被列入严重失信主体名单、重大税收违法失信主体名单；“中国执行信息公开网”（http：//zxgk.court.gov.cn/shixin/）网站上未被列入失信被执行人名单；“中国政府采购网（www.ccgp.gov.cn）”上未被列入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单位负责人为同一人或存在直接控股、管理关系的不同单位，不得参加同一项目的政府采购活动；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供应商须具备在国家密码管理局发布的《商用密码检测机构（商用密码应用安全性评估业务）目录》内或有效期内的资质证书，提供加盖公章的网站公告页面及目录复印件或资质证书复印件。</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响应文件按规定的格式填写，内容完整且关键字迹清晰</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供应商提供的服务无实质性遗漏</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服务期和服务地点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供应商具有合规的：（1）IS020000信息技术服务管理体系认证(认证覆盖的业务范围包括商用密码应用安全性评估)；（2）IS027001信息安全管理体系认证证书(认证覆盖的业务范围包括商用密码应用安全性评估)；（3）GB/T19001/IS09001质量管理体系认证证书(认证覆盖的业务范围包括商用密码应用安全性评估)；（4）市场监督管理部门颁发的《检验检测机构资质认定证书》(CMA，能力范围覆盖信息安全性检测)；（5）IS045001职业健康安全管理体系认证证书(认证覆盖的业务范围包括商用密码应用安全性评估)。每个证书计3分，最高计15分； 注：以提供证书复印件加盖公章为准。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项目负责人（1名）：①通过商用密码应用安全性评估从业人员考试；②信息系统项目管理师证书；③注册信息安全专业人员（CISP）证书。以上证书每具备一个得3分，最高计9分。 注：需提供资格证书复印件和近半年内任意一个月在本单位缴纳社保的证明复印件，并加盖公章。超龄劳动者提供劳务合同。</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项目团队成员（不包含项目负责人）具有商用密码应用安全性评估从业人员考核成绩合格证明且团队成员不少于3人，每有1名符合要求的得3分，最多得9分，少于3人不得分； 注：需提供资格证书复印件和近半年内任意一个月在本单位缴纳社保的证明复印件，并加盖公章。超龄劳动者提供劳务合同。</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根据信息系统密码应用基本要求（GB/T39786-2021）制定商用密码应用安全性评估工作的实施方案，内容包括但不限于：①测评对象分析；②测评方法和测评过程；③测评内容；④测评结果分析和报告编制；⑤整改复测等内容。方案各项内容全面详细、阐述条理清晰详尽、符合本项目采购需求，能有效保障本项目实施。每项满分2分，缺项不得分,每存在一个缺陷，扣0.5分，扣完为止。备注：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安全保密制度</w:t>
            </w:r>
          </w:p>
        </w:tc>
        <w:tc>
          <w:tcPr>
            <w:tcW w:type="dxa" w:w="2492"/>
          </w:tcPr>
          <w:p>
            <w:pPr>
              <w:pStyle w:val="null3"/>
            </w:pPr>
            <w:r>
              <w:rPr>
                <w:rFonts w:ascii="仿宋_GB2312" w:hAnsi="仿宋_GB2312" w:cs="仿宋_GB2312" w:eastAsia="仿宋_GB2312"/>
              </w:rPr>
              <w:t>供应商提供针对本项目的安全保密制度方案，内容包括但不限于：①安全管理制度；②风险评估及应对；③密码安全应急处置；④保密措施及承诺；⑤组织保障体系。方案各项内容全面详细、阐述条理清晰详尽、符合本项目采购需求，能有效保障本项目实施。每项满分2分，缺项不得分，每存在一个缺陷，扣0.5分，扣完为止。备注：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进度控制计划</w:t>
            </w:r>
          </w:p>
        </w:tc>
        <w:tc>
          <w:tcPr>
            <w:tcW w:type="dxa" w:w="2492"/>
          </w:tcPr>
          <w:p>
            <w:pPr>
              <w:pStyle w:val="null3"/>
            </w:pPr>
            <w:r>
              <w:rPr>
                <w:rFonts w:ascii="仿宋_GB2312" w:hAnsi="仿宋_GB2312" w:cs="仿宋_GB2312" w:eastAsia="仿宋_GB2312"/>
              </w:rPr>
              <w:t>供应商根据服务需求制定测评进度控制计划，内容包括但不限于：①进度分解；②影响因素分析；③影响因素应对措施；④进度监测措施；⑤进度保证措施等内容。方案各项内容全面详细、阐述条理清晰详尽、符合本项目采购需求，能有效保障本项目实施。每项满分2分，缺项不得分，每存在一个缺陷，扣0.5分，扣完为止。备注：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供应商为确保密码应用安全性评估工作顺利进行，须提供以下服务质量保证，内容包括但不限于：①提供服务承诺；②应急响应服务；③配合项目相关验收检查；④安全咨询服务；⑤整改内容跟踪落实情况等。服务内容完善并有详细的说明、符合本项目采购需求，每项满分2分，缺项不得分，每存在一个缺陷，扣0.5分，扣完为止。备注：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测评工具</w:t>
            </w:r>
          </w:p>
        </w:tc>
        <w:tc>
          <w:tcPr>
            <w:tcW w:type="dxa" w:w="2492"/>
          </w:tcPr>
          <w:p>
            <w:pPr>
              <w:pStyle w:val="null3"/>
            </w:pPr>
            <w:r>
              <w:rPr>
                <w:rFonts w:ascii="仿宋_GB2312" w:hAnsi="仿宋_GB2312" w:cs="仿宋_GB2312" w:eastAsia="仿宋_GB2312"/>
              </w:rPr>
              <w:t>供应商提供为密评实施工作配备必要的工具，每提供1项工具得1分，满分得7分。如为自研工具应提供相关功能软件著作证明或功能截图，如为商用工具应提供相关功能截图、工具购买合同、发票证明。</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供应商2023年01月01日至今类似项目业绩，每提供1份得2分，最高得10分；注：提供合同至少包含合同首页、签章页以及能体现合同签订时间、项目内容的关键页复印件，否则不得分。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