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C11C76">
      <w:pPr>
        <w:pStyle w:val="5"/>
        <w:jc w:val="center"/>
        <w:outlineLvl w:val="1"/>
        <w:rPr>
          <w:rFonts w:hint="default"/>
        </w:rPr>
      </w:pPr>
      <w:r>
        <w:rPr>
          <w:rFonts w:ascii="仿宋_GB2312" w:hAnsi="仿宋_GB2312" w:eastAsia="仿宋_GB2312" w:cs="仿宋_GB2312"/>
          <w:b/>
          <w:sz w:val="36"/>
        </w:rPr>
        <w:t>拟签订采购合同文本</w:t>
      </w:r>
    </w:p>
    <w:p w14:paraId="570CE21B">
      <w:pPr>
        <w:jc w:val="center"/>
        <w:rPr>
          <w:rFonts w:hint="eastAsia" w:ascii="仿宋" w:hAnsi="仿宋" w:eastAsia="仿宋" w:cs="仿宋"/>
          <w:b/>
          <w:bCs/>
          <w:kern w:val="0"/>
          <w:sz w:val="21"/>
          <w:szCs w:val="21"/>
        </w:rPr>
      </w:pPr>
    </w:p>
    <w:p w14:paraId="5F159B04">
      <w:pPr>
        <w:jc w:val="center"/>
        <w:rPr>
          <w:rFonts w:hint="eastAsia" w:ascii="仿宋" w:hAnsi="仿宋" w:eastAsia="仿宋" w:cs="仿宋"/>
          <w:b/>
          <w:bCs/>
          <w:kern w:val="0"/>
          <w:sz w:val="21"/>
          <w:szCs w:val="21"/>
        </w:rPr>
      </w:pPr>
    </w:p>
    <w:p w14:paraId="2F894E37">
      <w:pPr>
        <w:jc w:val="center"/>
        <w:rPr>
          <w:rFonts w:hint="eastAsia" w:ascii="仿宋" w:hAnsi="仿宋" w:eastAsia="仿宋" w:cs="仿宋"/>
          <w:b/>
          <w:bCs w:val="0"/>
          <w:kern w:val="0"/>
          <w:sz w:val="44"/>
          <w:szCs w:val="44"/>
        </w:rPr>
      </w:pPr>
    </w:p>
    <w:p w14:paraId="6878B8B5">
      <w:pPr>
        <w:jc w:val="center"/>
        <w:rPr>
          <w:rFonts w:hint="eastAsia" w:ascii="仿宋" w:hAnsi="仿宋" w:eastAsia="仿宋" w:cs="仿宋"/>
          <w:b/>
          <w:bCs w:val="0"/>
          <w:kern w:val="0"/>
          <w:sz w:val="44"/>
          <w:szCs w:val="44"/>
        </w:rPr>
      </w:pPr>
    </w:p>
    <w:p w14:paraId="7182BAC5">
      <w:pPr>
        <w:jc w:val="center"/>
        <w:rPr>
          <w:rFonts w:ascii="仿宋" w:hAnsi="仿宋" w:eastAsia="仿宋" w:cs="仿宋"/>
          <w:b/>
          <w:bCs w:val="0"/>
          <w:kern w:val="0"/>
          <w:sz w:val="44"/>
          <w:szCs w:val="44"/>
        </w:rPr>
      </w:pPr>
      <w:r>
        <w:rPr>
          <w:rFonts w:hint="eastAsia" w:ascii="仿宋" w:hAnsi="仿宋" w:eastAsia="仿宋" w:cs="仿宋"/>
          <w:b/>
          <w:bCs w:val="0"/>
          <w:kern w:val="0"/>
          <w:sz w:val="44"/>
          <w:szCs w:val="44"/>
        </w:rPr>
        <w:t>西安市12345热线大模型智能化提升建设项目</w:t>
      </w:r>
    </w:p>
    <w:p w14:paraId="096D9109">
      <w:pPr>
        <w:jc w:val="center"/>
        <w:rPr>
          <w:rFonts w:ascii="仿宋" w:hAnsi="仿宋" w:eastAsia="仿宋" w:cs="仿宋"/>
          <w:b/>
          <w:bCs w:val="0"/>
          <w:kern w:val="0"/>
          <w:sz w:val="44"/>
          <w:szCs w:val="44"/>
        </w:rPr>
      </w:pPr>
      <w:r>
        <w:rPr>
          <w:rFonts w:hint="eastAsia" w:ascii="仿宋" w:hAnsi="仿宋" w:eastAsia="仿宋" w:cs="仿宋"/>
          <w:b/>
          <w:bCs w:val="0"/>
          <w:kern w:val="0"/>
          <w:sz w:val="44"/>
          <w:szCs w:val="44"/>
        </w:rPr>
        <w:t>密码应用安全性评估服务</w:t>
      </w:r>
    </w:p>
    <w:p w14:paraId="31362C7D">
      <w:pPr>
        <w:spacing w:line="800" w:lineRule="exact"/>
        <w:rPr>
          <w:rFonts w:hint="eastAsia" w:ascii="宋体" w:hAnsi="宋体" w:eastAsia="宋体" w:cs="宋体"/>
          <w:b/>
          <w:kern w:val="0"/>
          <w:sz w:val="36"/>
          <w:szCs w:val="36"/>
        </w:rPr>
      </w:pPr>
    </w:p>
    <w:p w14:paraId="2D25EC7E">
      <w:pPr>
        <w:spacing w:line="800" w:lineRule="exact"/>
        <w:rPr>
          <w:rFonts w:hint="eastAsia" w:ascii="宋体" w:hAnsi="宋体" w:eastAsia="宋体" w:cs="宋体"/>
          <w:b/>
          <w:kern w:val="0"/>
          <w:sz w:val="36"/>
          <w:szCs w:val="36"/>
        </w:rPr>
      </w:pPr>
    </w:p>
    <w:p w14:paraId="573F6D02">
      <w:pPr>
        <w:spacing w:line="800" w:lineRule="exact"/>
        <w:jc w:val="center"/>
        <w:rPr>
          <w:rFonts w:hint="eastAsia" w:ascii="宋体" w:hAnsi="宋体" w:eastAsia="宋体" w:cs="宋体"/>
          <w:b/>
          <w:bCs/>
          <w:kern w:val="0"/>
          <w:sz w:val="72"/>
          <w:szCs w:val="72"/>
        </w:rPr>
      </w:pPr>
      <w:r>
        <w:rPr>
          <w:rFonts w:hint="eastAsia" w:ascii="宋体" w:hAnsi="宋体" w:eastAsia="宋体" w:cs="宋体"/>
          <w:b/>
          <w:bCs/>
          <w:kern w:val="0"/>
          <w:sz w:val="72"/>
          <w:szCs w:val="72"/>
        </w:rPr>
        <w:t>合 同 书</w:t>
      </w:r>
    </w:p>
    <w:p w14:paraId="6211C8C8">
      <w:pPr>
        <w:rPr>
          <w:rFonts w:hint="eastAsia" w:ascii="宋体" w:hAnsi="宋体" w:eastAsia="宋体" w:cs="宋体"/>
          <w:kern w:val="0"/>
          <w:sz w:val="34"/>
          <w:szCs w:val="20"/>
        </w:rPr>
      </w:pPr>
    </w:p>
    <w:p w14:paraId="253C185B">
      <w:pPr>
        <w:rPr>
          <w:rFonts w:hint="eastAsia" w:ascii="宋体" w:hAnsi="宋体" w:eastAsia="宋体" w:cs="宋体"/>
          <w:kern w:val="0"/>
          <w:sz w:val="34"/>
          <w:szCs w:val="20"/>
        </w:rPr>
      </w:pPr>
      <w:bookmarkStart w:id="0" w:name="_GoBack"/>
      <w:bookmarkEnd w:id="0"/>
    </w:p>
    <w:p w14:paraId="7DA94606">
      <w:pPr>
        <w:rPr>
          <w:rFonts w:hint="eastAsia" w:ascii="宋体" w:hAnsi="宋体" w:eastAsia="宋体" w:cs="宋体"/>
          <w:kern w:val="0"/>
          <w:sz w:val="34"/>
          <w:szCs w:val="20"/>
        </w:rPr>
      </w:pPr>
    </w:p>
    <w:p w14:paraId="047AAFA8">
      <w:pPr>
        <w:jc w:val="both"/>
        <w:rPr>
          <w:rFonts w:hint="eastAsia" w:ascii="宋体" w:hAnsi="宋体" w:eastAsia="宋体" w:cs="宋体"/>
          <w:kern w:val="0"/>
          <w:sz w:val="30"/>
          <w:szCs w:val="30"/>
        </w:rPr>
      </w:pPr>
    </w:p>
    <w:p w14:paraId="06656DD9">
      <w:pPr>
        <w:pStyle w:val="6"/>
        <w:rPr>
          <w:rFonts w:hint="eastAsia" w:ascii="宋体" w:hAnsi="宋体" w:eastAsia="宋体" w:cs="宋体"/>
        </w:rPr>
      </w:pPr>
    </w:p>
    <w:p w14:paraId="67FBEDBB">
      <w:pPr>
        <w:pStyle w:val="6"/>
        <w:rPr>
          <w:rFonts w:hint="eastAsia" w:ascii="宋体" w:hAnsi="宋体" w:eastAsia="宋体" w:cs="宋体"/>
        </w:rPr>
      </w:pPr>
    </w:p>
    <w:p w14:paraId="4587526F">
      <w:pPr>
        <w:jc w:val="both"/>
        <w:rPr>
          <w:rFonts w:hint="eastAsia" w:ascii="宋体" w:hAnsi="宋体" w:eastAsia="宋体" w:cs="宋体"/>
          <w:kern w:val="0"/>
          <w:sz w:val="28"/>
          <w:szCs w:val="28"/>
        </w:rPr>
      </w:pPr>
    </w:p>
    <w:p w14:paraId="11F2453E">
      <w:pPr>
        <w:jc w:val="both"/>
        <w:rPr>
          <w:rFonts w:hint="eastAsia" w:ascii="宋体" w:hAnsi="宋体" w:eastAsia="宋体" w:cs="宋体"/>
          <w:kern w:val="0"/>
          <w:sz w:val="28"/>
          <w:szCs w:val="28"/>
        </w:rPr>
      </w:pPr>
    </w:p>
    <w:p w14:paraId="21ECB1ED">
      <w:pPr>
        <w:jc w:val="both"/>
        <w:rPr>
          <w:rFonts w:hint="eastAsia" w:ascii="宋体" w:hAnsi="宋体" w:eastAsia="宋体" w:cs="宋体"/>
          <w:kern w:val="0"/>
          <w:sz w:val="28"/>
          <w:szCs w:val="28"/>
        </w:rPr>
      </w:pPr>
    </w:p>
    <w:p w14:paraId="2C7CA94B">
      <w:pPr>
        <w:spacing w:line="400" w:lineRule="exact"/>
        <w:ind w:firstLine="1795" w:firstLineChars="596"/>
        <w:rPr>
          <w:rFonts w:hint="eastAsia" w:ascii="宋体" w:hAnsi="宋体" w:eastAsia="宋体" w:cs="宋体"/>
          <w:kern w:val="0"/>
          <w:sz w:val="30"/>
          <w:szCs w:val="30"/>
          <w:lang w:eastAsia="zh-CN"/>
        </w:rPr>
      </w:pPr>
      <w:r>
        <w:rPr>
          <w:rFonts w:hint="eastAsia" w:ascii="宋体" w:hAnsi="宋体" w:eastAsia="宋体" w:cs="宋体"/>
          <w:b/>
          <w:kern w:val="0"/>
          <w:sz w:val="30"/>
          <w:szCs w:val="30"/>
        </w:rPr>
        <w:t>甲方：西安市数据局</w:t>
      </w:r>
    </w:p>
    <w:p w14:paraId="0D91CC68">
      <w:pPr>
        <w:spacing w:line="400" w:lineRule="exact"/>
        <w:rPr>
          <w:rFonts w:hint="eastAsia" w:ascii="宋体" w:hAnsi="宋体" w:eastAsia="宋体" w:cs="宋体"/>
          <w:kern w:val="0"/>
          <w:sz w:val="32"/>
          <w:szCs w:val="32"/>
        </w:rPr>
      </w:pPr>
    </w:p>
    <w:p w14:paraId="212C8AC1">
      <w:pPr>
        <w:spacing w:line="400" w:lineRule="exact"/>
        <w:ind w:firstLine="1795" w:firstLineChars="596"/>
        <w:rPr>
          <w:rFonts w:hint="eastAsia" w:ascii="宋体" w:hAnsi="宋体" w:eastAsia="宋体" w:cs="宋体"/>
          <w:kern w:val="0"/>
          <w:sz w:val="30"/>
          <w:szCs w:val="30"/>
          <w:lang w:eastAsia="zh-CN"/>
        </w:rPr>
      </w:pPr>
      <w:r>
        <w:rPr>
          <w:rFonts w:hint="eastAsia" w:ascii="宋体" w:hAnsi="宋体" w:eastAsia="宋体" w:cs="宋体"/>
          <w:b/>
          <w:kern w:val="0"/>
          <w:sz w:val="30"/>
          <w:szCs w:val="30"/>
        </w:rPr>
        <w:t>乙方：</w:t>
      </w:r>
    </w:p>
    <w:p w14:paraId="69764774">
      <w:pPr>
        <w:spacing w:line="400" w:lineRule="exact"/>
        <w:jc w:val="both"/>
        <w:rPr>
          <w:rFonts w:hint="eastAsia" w:ascii="宋体" w:hAnsi="宋体" w:eastAsia="宋体" w:cs="宋体"/>
          <w:kern w:val="0"/>
          <w:sz w:val="30"/>
          <w:szCs w:val="30"/>
        </w:rPr>
      </w:pPr>
    </w:p>
    <w:p w14:paraId="19F81C92">
      <w:pPr>
        <w:spacing w:after="312" w:afterLines="100" w:line="560" w:lineRule="exact"/>
        <w:jc w:val="center"/>
        <w:rPr>
          <w:rFonts w:hint="eastAsia" w:ascii="宋体" w:hAnsi="宋体" w:eastAsia="宋体" w:cs="宋体"/>
          <w:kern w:val="0"/>
          <w:sz w:val="28"/>
          <w:szCs w:val="28"/>
        </w:rPr>
        <w:sectPr>
          <w:pgSz w:w="11906" w:h="16838"/>
          <w:pgMar w:top="1440" w:right="1133" w:bottom="1440" w:left="1418" w:header="851" w:footer="992" w:gutter="0"/>
          <w:pgNumType w:fmt="decimal"/>
          <w:cols w:space="425" w:num="1"/>
          <w:docGrid w:type="lines" w:linePitch="312" w:charSpace="0"/>
        </w:sectPr>
      </w:pPr>
      <w:r>
        <w:rPr>
          <w:rFonts w:hint="eastAsia" w:ascii="宋体" w:hAnsi="宋体" w:eastAsia="宋体" w:cs="宋体"/>
          <w:kern w:val="0"/>
          <w:sz w:val="28"/>
          <w:szCs w:val="28"/>
        </w:rPr>
        <w:t xml:space="preserve">      年   月</w:t>
      </w:r>
    </w:p>
    <w:p w14:paraId="3BE10E21">
      <w:pPr>
        <w:spacing w:line="360" w:lineRule="auto"/>
        <w:ind w:firstLine="480" w:firstLineChars="200"/>
        <w:rPr>
          <w:rFonts w:ascii="仿宋" w:hAnsi="仿宋" w:eastAsia="仿宋" w:cs="仿宋"/>
          <w:b/>
          <w:bCs/>
          <w:sz w:val="24"/>
        </w:rPr>
      </w:pPr>
      <w:r>
        <w:rPr>
          <w:rFonts w:hint="eastAsia" w:ascii="仿宋" w:hAnsi="仿宋" w:eastAsia="仿宋" w:cs="仿宋"/>
          <w:sz w:val="24"/>
        </w:rPr>
        <w:t>委托方（甲方）： 西安市数据局</w:t>
      </w:r>
    </w:p>
    <w:p w14:paraId="6BBF9497">
      <w:pPr>
        <w:spacing w:line="360" w:lineRule="auto"/>
        <w:ind w:firstLine="480" w:firstLineChars="200"/>
        <w:rPr>
          <w:rFonts w:ascii="仿宋" w:hAnsi="仿宋" w:eastAsia="仿宋" w:cs="仿宋"/>
          <w:sz w:val="24"/>
        </w:rPr>
      </w:pPr>
      <w:r>
        <w:rPr>
          <w:rFonts w:hint="eastAsia" w:ascii="仿宋" w:hAnsi="仿宋" w:eastAsia="仿宋" w:cs="仿宋"/>
          <w:sz w:val="24"/>
        </w:rPr>
        <w:t xml:space="preserve">受托方（乙方）： </w:t>
      </w:r>
    </w:p>
    <w:p w14:paraId="1967A165">
      <w:pPr>
        <w:spacing w:line="360" w:lineRule="auto"/>
        <w:ind w:firstLine="480" w:firstLineChars="200"/>
        <w:rPr>
          <w:rFonts w:ascii="仿宋" w:hAnsi="仿宋" w:eastAsia="仿宋" w:cs="仿宋"/>
          <w:sz w:val="24"/>
        </w:rPr>
      </w:pPr>
      <w:r>
        <w:rPr>
          <w:rFonts w:hint="eastAsia" w:ascii="仿宋" w:hAnsi="仿宋" w:eastAsia="仿宋" w:cs="仿宋"/>
          <w:sz w:val="24"/>
        </w:rPr>
        <w:t>依照《中华人民共和国政府采购法》《中华人民共和国民法典》等有关法律、法规，遵循平等、自愿、公平和诚实信用的原则，就甲方委托乙方承担的“</w:t>
      </w:r>
      <w:r>
        <w:rPr>
          <w:rFonts w:hint="eastAsia" w:ascii="仿宋" w:hAnsi="仿宋" w:eastAsia="仿宋" w:cs="仿宋"/>
          <w:sz w:val="24"/>
          <w:u w:val="single"/>
        </w:rPr>
        <w:t>西安市12345热线大模型智能化提升建设项目密码应用安全性评估服务</w:t>
      </w:r>
      <w:r>
        <w:rPr>
          <w:rFonts w:hint="eastAsia" w:ascii="仿宋" w:hAnsi="仿宋" w:eastAsia="仿宋" w:cs="仿宋"/>
          <w:sz w:val="24"/>
        </w:rPr>
        <w:t>”事宜，达成如下合同协议：</w:t>
      </w:r>
    </w:p>
    <w:p w14:paraId="3A0D6920">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1.项目名称</w:t>
      </w:r>
    </w:p>
    <w:p w14:paraId="797F3B6F">
      <w:pPr>
        <w:spacing w:line="360" w:lineRule="auto"/>
        <w:ind w:firstLine="480" w:firstLineChars="200"/>
        <w:rPr>
          <w:rFonts w:ascii="仿宋" w:hAnsi="仿宋" w:eastAsia="仿宋" w:cs="仿宋"/>
          <w:sz w:val="24"/>
        </w:rPr>
      </w:pPr>
      <w:r>
        <w:rPr>
          <w:rFonts w:hint="eastAsia" w:ascii="仿宋" w:hAnsi="仿宋" w:eastAsia="仿宋" w:cs="仿宋"/>
          <w:sz w:val="24"/>
          <w:u w:val="single"/>
        </w:rPr>
        <w:t>西安市12345热线大模型智能化提升建设项目密码应用安全性评估服务</w:t>
      </w:r>
    </w:p>
    <w:p w14:paraId="36E4E5A7">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2.合同组成</w:t>
      </w:r>
    </w:p>
    <w:p w14:paraId="2113AF16">
      <w:pPr>
        <w:spacing w:line="360" w:lineRule="auto"/>
        <w:ind w:firstLine="480" w:firstLineChars="200"/>
        <w:rPr>
          <w:rFonts w:ascii="仿宋" w:hAnsi="仿宋" w:eastAsia="仿宋" w:cs="仿宋"/>
          <w:sz w:val="24"/>
        </w:rPr>
      </w:pPr>
      <w:r>
        <w:rPr>
          <w:rFonts w:hint="eastAsia" w:ascii="仿宋" w:hAnsi="仿宋" w:eastAsia="仿宋" w:cs="仿宋"/>
          <w:sz w:val="24"/>
        </w:rPr>
        <w:t>2.1下列文件应被认为是本合同的组成部分</w:t>
      </w:r>
    </w:p>
    <w:p w14:paraId="33AA4EB0">
      <w:pPr>
        <w:spacing w:line="360" w:lineRule="auto"/>
        <w:ind w:firstLine="570"/>
        <w:rPr>
          <w:rFonts w:ascii="仿宋" w:hAnsi="仿宋" w:eastAsia="仿宋" w:cs="仿宋"/>
          <w:color w:val="000000"/>
          <w:sz w:val="24"/>
        </w:rPr>
      </w:pPr>
      <w:r>
        <w:rPr>
          <w:rFonts w:hint="eastAsia" w:ascii="仿宋" w:hAnsi="仿宋" w:eastAsia="仿宋" w:cs="仿宋"/>
          <w:color w:val="000000"/>
          <w:sz w:val="24"/>
        </w:rPr>
        <w:t>（1）本合同各条款</w:t>
      </w:r>
    </w:p>
    <w:p w14:paraId="583DC7D4">
      <w:pPr>
        <w:spacing w:line="360" w:lineRule="auto"/>
        <w:ind w:firstLine="570"/>
        <w:rPr>
          <w:rFonts w:ascii="仿宋" w:hAnsi="仿宋" w:eastAsia="仿宋" w:cs="仿宋"/>
          <w:color w:val="000000"/>
          <w:sz w:val="24"/>
        </w:rPr>
      </w:pPr>
      <w:r>
        <w:rPr>
          <w:rFonts w:hint="eastAsia" w:ascii="仿宋" w:hAnsi="仿宋" w:eastAsia="仿宋" w:cs="仿宋"/>
          <w:color w:val="000000"/>
          <w:sz w:val="24"/>
        </w:rPr>
        <w:t>（2）磋商材料</w:t>
      </w:r>
    </w:p>
    <w:p w14:paraId="36193C40">
      <w:pPr>
        <w:spacing w:line="360" w:lineRule="auto"/>
        <w:ind w:firstLine="570"/>
        <w:rPr>
          <w:rFonts w:ascii="仿宋" w:hAnsi="仿宋" w:eastAsia="仿宋" w:cs="仿宋"/>
          <w:color w:val="000000"/>
          <w:sz w:val="24"/>
        </w:rPr>
      </w:pPr>
      <w:r>
        <w:rPr>
          <w:rFonts w:hint="eastAsia" w:ascii="仿宋" w:hAnsi="仿宋" w:eastAsia="仿宋" w:cs="仿宋"/>
          <w:color w:val="000000"/>
          <w:sz w:val="24"/>
        </w:rPr>
        <w:t>（3）</w:t>
      </w:r>
      <w:r>
        <w:rPr>
          <w:rFonts w:hint="eastAsia" w:ascii="仿宋" w:hAnsi="仿宋" w:eastAsia="仿宋" w:cs="仿宋"/>
          <w:kern w:val="0"/>
          <w:sz w:val="24"/>
        </w:rPr>
        <w:t>双方有关本项目的洽商、变更、调整等书面协议或文件</w:t>
      </w:r>
    </w:p>
    <w:p w14:paraId="39BD2A82">
      <w:pPr>
        <w:spacing w:line="360" w:lineRule="auto"/>
        <w:ind w:firstLine="570"/>
        <w:rPr>
          <w:rFonts w:ascii="仿宋" w:hAnsi="仿宋" w:eastAsia="仿宋" w:cs="仿宋"/>
          <w:sz w:val="24"/>
        </w:rPr>
      </w:pPr>
      <w:r>
        <w:rPr>
          <w:rFonts w:hint="eastAsia" w:ascii="仿宋" w:hAnsi="仿宋" w:eastAsia="仿宋" w:cs="仿宋"/>
          <w:sz w:val="24"/>
        </w:rPr>
        <w:t>以上文本构成此合同不可分割的部分并与合同正文具有同等法律效力。</w:t>
      </w:r>
    </w:p>
    <w:p w14:paraId="0535E5A1">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2.2本合同文件解释</w:t>
      </w:r>
    </w:p>
    <w:p w14:paraId="17BD8EAB">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本合同文件的执行、解释优先级按本合同条款2.1顺序，当合同文件出现含糊不清或不一致时，由双方协商解决。</w:t>
      </w:r>
    </w:p>
    <w:p w14:paraId="0222E44F">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3.服务内容及要求</w:t>
      </w:r>
    </w:p>
    <w:p w14:paraId="780E6B6F">
      <w:pPr>
        <w:spacing w:line="360" w:lineRule="auto"/>
        <w:ind w:firstLine="480" w:firstLineChars="200"/>
        <w:rPr>
          <w:rFonts w:ascii="仿宋" w:hAnsi="仿宋" w:eastAsia="仿宋" w:cs="仿宋"/>
          <w:kern w:val="0"/>
          <w:sz w:val="24"/>
        </w:rPr>
      </w:pPr>
      <w:r>
        <w:rPr>
          <w:rFonts w:hint="eastAsia" w:ascii="仿宋" w:hAnsi="仿宋" w:eastAsia="仿宋" w:cs="仿宋"/>
          <w:sz w:val="24"/>
          <w:u w:val="single"/>
        </w:rPr>
        <w:t>依据GB/T39786-2021《信息安全技术信息系统密码应用基本要求》、GB/T43206-2023《信息安全技术信息系统密码应用测评要求》等密评标准和通过评估的密码应用方案对系统进行评估，采取材料审查、人员访谈、实地查看、配置检查、工具测评等评估方法对系统密码应用情况进行评估分析，核查系统技术应用、密钥管理、安全管理是否符合密评要求；对评估过程中发现的问题进行汇总确认，总结各项评估指标的评估结果，编制评估报告</w:t>
      </w:r>
      <w:r>
        <w:rPr>
          <w:rFonts w:hint="eastAsia" w:ascii="仿宋" w:hAnsi="仿宋" w:eastAsia="仿宋" w:cs="仿宋"/>
          <w:kern w:val="0"/>
          <w:sz w:val="24"/>
        </w:rPr>
        <w:t>。</w:t>
      </w:r>
    </w:p>
    <w:p w14:paraId="6DF5F949">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4.服务期要求</w:t>
      </w:r>
    </w:p>
    <w:p w14:paraId="3D880083">
      <w:pPr>
        <w:spacing w:line="360" w:lineRule="auto"/>
        <w:ind w:firstLine="570"/>
        <w:rPr>
          <w:rFonts w:ascii="仿宋" w:hAnsi="仿宋" w:eastAsia="仿宋" w:cs="仿宋"/>
          <w:color w:val="auto"/>
          <w:sz w:val="24"/>
        </w:rPr>
      </w:pPr>
      <w:r>
        <w:rPr>
          <w:rFonts w:ascii="仿宋" w:hAnsi="仿宋" w:eastAsia="仿宋" w:cs="仿宋"/>
          <w:color w:val="auto"/>
          <w:sz w:val="24"/>
          <w:lang w:eastAsia="zh-CN"/>
        </w:rPr>
        <w:t>合同签订后，在被评测系统竣工验收前30天完成交付。</w:t>
      </w:r>
    </w:p>
    <w:p w14:paraId="3EAE0B1B">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5.合同价款与支付</w:t>
      </w:r>
    </w:p>
    <w:p w14:paraId="6CBB39BB">
      <w:pPr>
        <w:spacing w:line="360" w:lineRule="auto"/>
        <w:ind w:firstLine="470" w:firstLineChars="196"/>
        <w:rPr>
          <w:rFonts w:ascii="仿宋" w:hAnsi="仿宋" w:eastAsia="仿宋" w:cs="仿宋"/>
          <w:sz w:val="24"/>
          <w:highlight w:val="yellow"/>
        </w:rPr>
      </w:pPr>
      <w:r>
        <w:rPr>
          <w:rFonts w:hint="eastAsia" w:ascii="仿宋" w:hAnsi="仿宋" w:eastAsia="仿宋" w:cs="仿宋"/>
          <w:sz w:val="24"/>
        </w:rPr>
        <w:t>5.1合同价款</w:t>
      </w:r>
    </w:p>
    <w:p w14:paraId="5048C83B">
      <w:pPr>
        <w:spacing w:line="360" w:lineRule="auto"/>
        <w:ind w:firstLine="470" w:firstLineChars="196"/>
        <w:rPr>
          <w:rFonts w:ascii="仿宋" w:hAnsi="仿宋" w:eastAsia="仿宋" w:cs="仿宋"/>
          <w:sz w:val="24"/>
        </w:rPr>
      </w:pPr>
      <w:r>
        <w:rPr>
          <w:rFonts w:hint="eastAsia" w:ascii="仿宋" w:hAnsi="仿宋" w:eastAsia="仿宋" w:cs="仿宋"/>
          <w:sz w:val="24"/>
        </w:rPr>
        <w:t>本项目合同总价为人民币￥</w:t>
      </w:r>
      <w:r>
        <w:rPr>
          <w:rFonts w:hint="eastAsia" w:ascii="仿宋" w:hAnsi="仿宋" w:eastAsia="仿宋" w:cs="仿宋"/>
          <w:sz w:val="24"/>
          <w:u w:val="single"/>
        </w:rPr>
        <w:t xml:space="preserve">         </w:t>
      </w:r>
      <w:r>
        <w:rPr>
          <w:rFonts w:hint="eastAsia" w:ascii="仿宋" w:hAnsi="仿宋" w:eastAsia="仿宋" w:cs="仿宋"/>
          <w:sz w:val="24"/>
        </w:rPr>
        <w:t>元（大写：</w:t>
      </w:r>
      <w:r>
        <w:rPr>
          <w:rFonts w:hint="eastAsia" w:ascii="仿宋" w:hAnsi="仿宋" w:eastAsia="仿宋" w:cs="仿宋"/>
          <w:sz w:val="24"/>
          <w:u w:val="single"/>
        </w:rPr>
        <w:t xml:space="preserve">      </w:t>
      </w:r>
      <w:r>
        <w:rPr>
          <w:rFonts w:hint="eastAsia" w:ascii="仿宋" w:hAnsi="仿宋" w:eastAsia="仿宋" w:cs="仿宋"/>
          <w:sz w:val="24"/>
        </w:rPr>
        <w:t>整）。该价格为含税价，包括但不限于增值税及附加税。</w:t>
      </w:r>
    </w:p>
    <w:p w14:paraId="2C5BA18D">
      <w:pPr>
        <w:spacing w:line="360" w:lineRule="auto"/>
        <w:ind w:firstLine="470" w:firstLineChars="196"/>
        <w:rPr>
          <w:rFonts w:ascii="仿宋" w:hAnsi="仿宋" w:eastAsia="仿宋" w:cs="仿宋"/>
          <w:sz w:val="24"/>
          <w:highlight w:val="none"/>
        </w:rPr>
      </w:pPr>
      <w:r>
        <w:rPr>
          <w:rFonts w:hint="eastAsia" w:ascii="仿宋" w:hAnsi="仿宋" w:eastAsia="仿宋" w:cs="仿宋"/>
          <w:sz w:val="24"/>
          <w:highlight w:val="none"/>
        </w:rPr>
        <w:t>5.2支付方式</w:t>
      </w:r>
    </w:p>
    <w:p w14:paraId="04B3FCF2">
      <w:pPr>
        <w:spacing w:line="360" w:lineRule="auto"/>
        <w:ind w:firstLine="470" w:firstLineChars="196"/>
        <w:rPr>
          <w:rFonts w:ascii="仿宋" w:hAnsi="仿宋" w:eastAsia="仿宋" w:cs="仿宋"/>
          <w:sz w:val="24"/>
          <w:highlight w:val="none"/>
        </w:rPr>
      </w:pPr>
      <w:r>
        <w:rPr>
          <w:rFonts w:hint="eastAsia" w:ascii="仿宋" w:hAnsi="仿宋" w:eastAsia="仿宋" w:cs="仿宋"/>
          <w:sz w:val="24"/>
          <w:highlight w:val="none"/>
        </w:rPr>
        <w:t>（1）合同签订生效后，达到付款条件起10日内，支付合同总金额的40%，首付款为人民币￥</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元（大写：</w:t>
      </w:r>
      <w:r>
        <w:rPr>
          <w:rFonts w:hint="eastAsia" w:ascii="仿宋" w:hAnsi="仿宋" w:eastAsia="仿宋" w:cs="仿宋"/>
          <w:sz w:val="24"/>
          <w:highlight w:val="none"/>
          <w:u w:val="single"/>
        </w:rPr>
        <w:t xml:space="preserve">        整</w:t>
      </w:r>
      <w:r>
        <w:rPr>
          <w:rFonts w:hint="eastAsia" w:ascii="仿宋" w:hAnsi="仿宋" w:eastAsia="仿宋" w:cs="仿宋"/>
          <w:sz w:val="24"/>
          <w:highlight w:val="none"/>
        </w:rPr>
        <w:t>）。</w:t>
      </w:r>
    </w:p>
    <w:p w14:paraId="1608A84F">
      <w:pPr>
        <w:spacing w:line="360" w:lineRule="auto"/>
        <w:ind w:firstLine="470" w:firstLineChars="196"/>
        <w:rPr>
          <w:rFonts w:ascii="仿宋" w:hAnsi="仿宋" w:eastAsia="仿宋" w:cs="仿宋"/>
          <w:sz w:val="24"/>
          <w:highlight w:val="none"/>
        </w:rPr>
      </w:pPr>
      <w:r>
        <w:rPr>
          <w:rFonts w:hint="eastAsia" w:ascii="仿宋" w:hAnsi="仿宋" w:eastAsia="仿宋" w:cs="仿宋"/>
          <w:sz w:val="24"/>
          <w:highlight w:val="none"/>
        </w:rPr>
        <w:t>（2）完成信息系统的商用密码应用安全性评估并取得密码管理部门系统备案回执</w:t>
      </w:r>
      <w:r>
        <w:rPr>
          <w:rFonts w:hint="eastAsia" w:ascii="仿宋" w:hAnsi="仿宋" w:eastAsia="仿宋" w:cs="仿宋"/>
          <w:sz w:val="24"/>
          <w:highlight w:val="none"/>
          <w:lang w:eastAsia="zh-CN"/>
        </w:rPr>
        <w:t>，待履约验收通过后</w:t>
      </w:r>
      <w:r>
        <w:rPr>
          <w:rFonts w:hint="eastAsia" w:ascii="仿宋" w:hAnsi="仿宋" w:eastAsia="仿宋" w:cs="仿宋"/>
          <w:sz w:val="24"/>
          <w:highlight w:val="none"/>
        </w:rPr>
        <w:t>，达到付款条件起</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0日内，支付合同总金额的60%，尾款为人民币￥</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元（大写：</w:t>
      </w:r>
      <w:r>
        <w:rPr>
          <w:rFonts w:hint="eastAsia" w:ascii="仿宋" w:hAnsi="仿宋" w:eastAsia="仿宋" w:cs="仿宋"/>
          <w:sz w:val="24"/>
          <w:highlight w:val="none"/>
          <w:u w:val="single"/>
        </w:rPr>
        <w:t xml:space="preserve">         整</w:t>
      </w:r>
      <w:r>
        <w:rPr>
          <w:rFonts w:hint="eastAsia" w:ascii="仿宋" w:hAnsi="仿宋" w:eastAsia="仿宋" w:cs="仿宋"/>
          <w:sz w:val="24"/>
          <w:highlight w:val="none"/>
        </w:rPr>
        <w:t>）。</w:t>
      </w:r>
    </w:p>
    <w:p w14:paraId="64298B68">
      <w:pPr>
        <w:spacing w:line="360" w:lineRule="auto"/>
        <w:ind w:firstLine="470" w:firstLineChars="196"/>
        <w:rPr>
          <w:rFonts w:ascii="仿宋" w:hAnsi="仿宋" w:eastAsia="仿宋" w:cs="仿宋"/>
          <w:sz w:val="24"/>
        </w:rPr>
      </w:pPr>
      <w:r>
        <w:rPr>
          <w:rFonts w:hint="eastAsia" w:ascii="仿宋" w:hAnsi="仿宋" w:eastAsia="仿宋" w:cs="仿宋"/>
          <w:sz w:val="24"/>
        </w:rPr>
        <w:t>（3）采用银行转账支付，在甲方支付合同款项前，乙方应当出具与待付款项同等金额且符合甲方要求的税务发票，否则甲方有权拒绝付款且不承担逾期支付的责任，同时乙方不得因此拒绝或延迟履行其合同义务。</w:t>
      </w:r>
    </w:p>
    <w:p w14:paraId="1931E186">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6.知识产权</w:t>
      </w:r>
    </w:p>
    <w:p w14:paraId="48ED4DCD">
      <w:pPr>
        <w:spacing w:line="360" w:lineRule="auto"/>
        <w:ind w:firstLine="480" w:firstLineChars="200"/>
        <w:rPr>
          <w:rFonts w:ascii="仿宋" w:hAnsi="仿宋" w:eastAsia="仿宋" w:cs="仿宋"/>
          <w:sz w:val="24"/>
        </w:rPr>
      </w:pPr>
      <w:r>
        <w:rPr>
          <w:rFonts w:hint="eastAsia" w:ascii="仿宋" w:hAnsi="仿宋" w:eastAsia="仿宋" w:cs="仿宋"/>
          <w:sz w:val="24"/>
        </w:rPr>
        <w:t>本项目所产生的知识产权由甲方享有，乙方应保证在本项目使用任何产品和服务（包括部分使用）时，不会产生因第三方提出侵犯其著作权或其它知识产权而引起的法律和经济纠纷，如因著作权或其它知识产权而引起法律和经济纠纷，由乙方承担全部相关责任，由此造成甲方无法完成本合同约定的项目内容，甲方有权解除合同，并要求乙方全额退还已收的全部款项。</w:t>
      </w:r>
    </w:p>
    <w:p w14:paraId="6C08DDDF">
      <w:pPr>
        <w:spacing w:line="360" w:lineRule="auto"/>
        <w:ind w:firstLine="480" w:firstLineChars="200"/>
        <w:outlineLvl w:val="0"/>
        <w:rPr>
          <w:rFonts w:ascii="仿宋" w:hAnsi="仿宋" w:eastAsia="仿宋" w:cs="仿宋"/>
          <w:bCs/>
          <w:sz w:val="24"/>
        </w:rPr>
      </w:pPr>
      <w:r>
        <w:rPr>
          <w:rFonts w:hint="eastAsia" w:ascii="仿宋" w:hAnsi="仿宋" w:eastAsia="仿宋" w:cs="仿宋"/>
          <w:bCs/>
          <w:sz w:val="24"/>
        </w:rPr>
        <w:t>7.甲方的权利和义务</w:t>
      </w:r>
    </w:p>
    <w:p w14:paraId="1D8BE494">
      <w:pPr>
        <w:spacing w:line="360" w:lineRule="auto"/>
        <w:ind w:firstLine="470" w:firstLineChars="196"/>
        <w:rPr>
          <w:rFonts w:ascii="仿宋" w:hAnsi="仿宋" w:eastAsia="仿宋" w:cs="仿宋"/>
          <w:sz w:val="24"/>
        </w:rPr>
      </w:pPr>
      <w:r>
        <w:rPr>
          <w:rFonts w:hint="eastAsia" w:ascii="仿宋" w:hAnsi="仿宋" w:eastAsia="仿宋" w:cs="仿宋"/>
          <w:sz w:val="24"/>
        </w:rPr>
        <w:t>7.1在项目服务范围内要求乙方提供技术、服务支持。</w:t>
      </w:r>
    </w:p>
    <w:p w14:paraId="4B3919C7">
      <w:pPr>
        <w:spacing w:line="360" w:lineRule="auto"/>
        <w:ind w:firstLine="470" w:firstLineChars="196"/>
        <w:rPr>
          <w:rFonts w:ascii="仿宋" w:hAnsi="仿宋" w:eastAsia="仿宋" w:cs="仿宋"/>
          <w:sz w:val="24"/>
        </w:rPr>
      </w:pPr>
      <w:r>
        <w:rPr>
          <w:rFonts w:hint="eastAsia" w:ascii="仿宋" w:hAnsi="仿宋" w:eastAsia="仿宋" w:cs="仿宋"/>
          <w:sz w:val="24"/>
        </w:rPr>
        <w:t>7.2按合同约定的内容对乙方进行监督检查和过程控制，对不符合本合同约定的情形，甲方有权要求乙方进行整改。</w:t>
      </w:r>
    </w:p>
    <w:p w14:paraId="0C99F4E0">
      <w:pPr>
        <w:spacing w:line="360" w:lineRule="auto"/>
        <w:ind w:firstLine="470" w:firstLineChars="196"/>
        <w:rPr>
          <w:rFonts w:ascii="仿宋" w:hAnsi="仿宋" w:eastAsia="仿宋" w:cs="仿宋"/>
          <w:sz w:val="24"/>
        </w:rPr>
      </w:pPr>
      <w:r>
        <w:rPr>
          <w:rFonts w:hint="eastAsia" w:ascii="仿宋" w:hAnsi="仿宋" w:eastAsia="仿宋" w:cs="仿宋"/>
          <w:sz w:val="24"/>
        </w:rPr>
        <w:t>7.3甲方有权随时了解乙方的工作进展情况。</w:t>
      </w:r>
    </w:p>
    <w:p w14:paraId="13DE8506">
      <w:pPr>
        <w:spacing w:line="360" w:lineRule="auto"/>
        <w:ind w:firstLine="470" w:firstLineChars="196"/>
        <w:rPr>
          <w:rFonts w:ascii="仿宋" w:hAnsi="仿宋" w:eastAsia="仿宋" w:cs="仿宋"/>
          <w:sz w:val="24"/>
        </w:rPr>
      </w:pPr>
      <w:r>
        <w:rPr>
          <w:rFonts w:hint="eastAsia" w:ascii="仿宋" w:hAnsi="仿宋" w:eastAsia="仿宋" w:cs="仿宋"/>
          <w:sz w:val="24"/>
        </w:rPr>
        <w:t>7.4对乙方提供成果的商业秘密、技术秘密有保密的义务。</w:t>
      </w:r>
    </w:p>
    <w:p w14:paraId="768321D0">
      <w:pPr>
        <w:spacing w:line="360" w:lineRule="auto"/>
        <w:ind w:firstLine="470" w:firstLineChars="196"/>
        <w:rPr>
          <w:rFonts w:ascii="仿宋" w:hAnsi="仿宋" w:eastAsia="仿宋" w:cs="仿宋"/>
          <w:sz w:val="24"/>
        </w:rPr>
      </w:pPr>
      <w:r>
        <w:rPr>
          <w:rFonts w:hint="eastAsia" w:ascii="仿宋" w:hAnsi="仿宋" w:eastAsia="仿宋" w:cs="仿宋"/>
          <w:sz w:val="24"/>
        </w:rPr>
        <w:t>7.5按合同约定的期限和方式向乙方支付应付合同价款。</w:t>
      </w:r>
    </w:p>
    <w:p w14:paraId="7E0847ED">
      <w:pPr>
        <w:spacing w:line="360" w:lineRule="auto"/>
        <w:ind w:firstLine="480" w:firstLineChars="200"/>
        <w:outlineLvl w:val="0"/>
        <w:rPr>
          <w:rFonts w:ascii="仿宋" w:hAnsi="仿宋" w:eastAsia="仿宋" w:cs="仿宋"/>
          <w:bCs/>
          <w:sz w:val="24"/>
        </w:rPr>
      </w:pPr>
      <w:r>
        <w:rPr>
          <w:rFonts w:hint="eastAsia" w:ascii="仿宋" w:hAnsi="仿宋" w:eastAsia="仿宋" w:cs="仿宋"/>
          <w:bCs/>
          <w:sz w:val="24"/>
        </w:rPr>
        <w:t>8.乙方的权利和义务</w:t>
      </w:r>
    </w:p>
    <w:p w14:paraId="427A979D">
      <w:pPr>
        <w:spacing w:line="360" w:lineRule="auto"/>
        <w:ind w:firstLine="470" w:firstLineChars="196"/>
        <w:rPr>
          <w:rFonts w:ascii="仿宋" w:hAnsi="仿宋" w:eastAsia="仿宋" w:cs="仿宋"/>
          <w:sz w:val="24"/>
        </w:rPr>
      </w:pPr>
      <w:r>
        <w:rPr>
          <w:rFonts w:hint="eastAsia" w:ascii="仿宋" w:hAnsi="仿宋" w:eastAsia="仿宋" w:cs="仿宋"/>
          <w:sz w:val="24"/>
        </w:rPr>
        <w:t>8.1乙方应根据本合同的约定提供服务并提交工作成果。未经甲方书面同意，乙方不得擅自将本合同约定的工作内容委托任何第三方代为履行。</w:t>
      </w:r>
    </w:p>
    <w:p w14:paraId="708B7847">
      <w:pPr>
        <w:spacing w:line="360" w:lineRule="auto"/>
        <w:ind w:firstLine="470" w:firstLineChars="196"/>
        <w:rPr>
          <w:rFonts w:ascii="仿宋" w:hAnsi="仿宋" w:eastAsia="仿宋" w:cs="仿宋"/>
          <w:sz w:val="24"/>
        </w:rPr>
      </w:pPr>
      <w:r>
        <w:rPr>
          <w:rFonts w:hint="eastAsia" w:ascii="仿宋" w:hAnsi="仿宋" w:eastAsia="仿宋" w:cs="仿宋"/>
          <w:sz w:val="24"/>
        </w:rPr>
        <w:t>8.2乙方应根据本合同的约定提交相关文件、资料。</w:t>
      </w:r>
    </w:p>
    <w:p w14:paraId="7351405B">
      <w:pPr>
        <w:spacing w:line="360" w:lineRule="auto"/>
        <w:ind w:firstLine="470" w:firstLineChars="196"/>
        <w:rPr>
          <w:rFonts w:ascii="仿宋" w:hAnsi="仿宋" w:eastAsia="仿宋" w:cs="仿宋"/>
          <w:sz w:val="24"/>
        </w:rPr>
      </w:pPr>
      <w:r>
        <w:rPr>
          <w:rFonts w:hint="eastAsia" w:ascii="仿宋" w:hAnsi="仿宋" w:eastAsia="仿宋" w:cs="仿宋"/>
          <w:sz w:val="24"/>
        </w:rPr>
        <w:t>8.3乙方应按照本合同约定履行保密义务。</w:t>
      </w:r>
    </w:p>
    <w:p w14:paraId="0C281E65">
      <w:pPr>
        <w:spacing w:line="360" w:lineRule="auto"/>
        <w:ind w:firstLine="470" w:firstLineChars="196"/>
        <w:rPr>
          <w:rFonts w:ascii="仿宋" w:hAnsi="仿宋" w:eastAsia="仿宋" w:cs="仿宋"/>
          <w:sz w:val="24"/>
        </w:rPr>
      </w:pPr>
      <w:r>
        <w:rPr>
          <w:rFonts w:hint="eastAsia" w:ascii="仿宋" w:hAnsi="仿宋" w:eastAsia="仿宋" w:cs="仿宋"/>
          <w:sz w:val="24"/>
        </w:rPr>
        <w:t>8.4 乙方在服务工作过程中所产生的工作底稿的所有权及知识产权归乙方所有。</w:t>
      </w:r>
    </w:p>
    <w:p w14:paraId="386FE1F8">
      <w:pPr>
        <w:spacing w:line="360" w:lineRule="auto"/>
        <w:ind w:firstLine="470" w:firstLineChars="196"/>
        <w:rPr>
          <w:rFonts w:ascii="仿宋" w:hAnsi="仿宋" w:eastAsia="仿宋" w:cs="仿宋"/>
          <w:sz w:val="24"/>
        </w:rPr>
      </w:pPr>
      <w:r>
        <w:rPr>
          <w:rFonts w:hint="eastAsia" w:ascii="仿宋" w:hAnsi="仿宋" w:eastAsia="仿宋" w:cs="仿宋"/>
          <w:sz w:val="24"/>
        </w:rPr>
        <w:t>8.5乙方向甲方提交符合行业规范和标准的密码应用方案的评估报告。</w:t>
      </w:r>
    </w:p>
    <w:p w14:paraId="456A4497">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9.甲、乙双方违约责任</w:t>
      </w:r>
    </w:p>
    <w:p w14:paraId="365A9472">
      <w:pPr>
        <w:spacing w:line="360" w:lineRule="auto"/>
        <w:ind w:firstLine="470" w:firstLineChars="196"/>
        <w:rPr>
          <w:rFonts w:ascii="仿宋" w:hAnsi="仿宋" w:eastAsia="仿宋" w:cs="仿宋"/>
          <w:sz w:val="24"/>
        </w:rPr>
      </w:pPr>
      <w:r>
        <w:rPr>
          <w:rFonts w:hint="eastAsia" w:ascii="仿宋" w:hAnsi="仿宋" w:eastAsia="仿宋" w:cs="仿宋"/>
          <w:sz w:val="24"/>
        </w:rPr>
        <w:t>9.1甲、乙双方必须遵守本合同并执行合同中的各项规定，保证本合同的正常履行。</w:t>
      </w:r>
    </w:p>
    <w:p w14:paraId="76AAA9E0">
      <w:pPr>
        <w:spacing w:line="360" w:lineRule="auto"/>
        <w:ind w:firstLine="470" w:firstLineChars="196"/>
        <w:rPr>
          <w:rFonts w:ascii="仿宋" w:hAnsi="仿宋" w:eastAsia="仿宋" w:cs="仿宋"/>
          <w:sz w:val="24"/>
        </w:rPr>
      </w:pPr>
      <w:r>
        <w:rPr>
          <w:rFonts w:hint="eastAsia" w:ascii="仿宋" w:hAnsi="仿宋" w:eastAsia="仿宋" w:cs="仿宋"/>
          <w:sz w:val="24"/>
        </w:rPr>
        <w:t>9.2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4039473">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10.合同的变更和修改、中止和终止</w:t>
      </w:r>
    </w:p>
    <w:p w14:paraId="4DE94D5D">
      <w:pPr>
        <w:spacing w:line="360" w:lineRule="auto"/>
        <w:ind w:firstLine="470" w:firstLineChars="196"/>
        <w:rPr>
          <w:rFonts w:ascii="仿宋" w:hAnsi="仿宋" w:eastAsia="仿宋" w:cs="仿宋"/>
          <w:sz w:val="24"/>
        </w:rPr>
      </w:pPr>
      <w:r>
        <w:rPr>
          <w:rFonts w:hint="eastAsia" w:ascii="仿宋" w:hAnsi="仿宋" w:eastAsia="仿宋" w:cs="仿宋"/>
          <w:sz w:val="24"/>
        </w:rPr>
        <w:t>10.1本合同一经生效，合同双方均不得擅自对本合同的内容（包括附件）作任何单方的修改。但任何一方均可以对合同内容以书面形式提出变更、修改、取消或补充的建议，经双方同意后，由双方法人代表或委托代理人（须经法定代表人书面授权委托）签字后生效。</w:t>
      </w:r>
    </w:p>
    <w:p w14:paraId="02484E26">
      <w:pPr>
        <w:spacing w:line="360" w:lineRule="auto"/>
        <w:ind w:firstLine="470" w:firstLineChars="196"/>
        <w:rPr>
          <w:rFonts w:ascii="仿宋" w:hAnsi="仿宋" w:eastAsia="仿宋" w:cs="仿宋"/>
          <w:sz w:val="24"/>
        </w:rPr>
      </w:pPr>
      <w:r>
        <w:rPr>
          <w:rFonts w:hint="eastAsia" w:ascii="仿宋" w:hAnsi="仿宋" w:eastAsia="仿宋" w:cs="仿宋"/>
          <w:sz w:val="24"/>
        </w:rPr>
        <w:t>10.2如果甲方认定乙方在执行合同中有腐败或欺诈行为，有权在任何时候发出书面通知终止合同，并不承担任何责任。</w:t>
      </w:r>
    </w:p>
    <w:p w14:paraId="0FC62B67">
      <w:pPr>
        <w:spacing w:line="360" w:lineRule="auto"/>
        <w:ind w:firstLine="470" w:firstLineChars="196"/>
        <w:rPr>
          <w:rFonts w:ascii="仿宋" w:hAnsi="仿宋" w:eastAsia="仿宋" w:cs="仿宋"/>
          <w:sz w:val="24"/>
        </w:rPr>
      </w:pPr>
      <w:r>
        <w:rPr>
          <w:rFonts w:hint="eastAsia" w:ascii="仿宋" w:hAnsi="仿宋" w:eastAsia="仿宋" w:cs="仿宋"/>
          <w:sz w:val="24"/>
        </w:rPr>
        <w:t>10.3甲方因乙方不履约或乙方其他原因而解除合同的，乙方须返还甲方所有已付款项、赔偿甲方由此产生的损失并承担其他相关责任。</w:t>
      </w:r>
    </w:p>
    <w:p w14:paraId="5297668D">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11.不可抗力</w:t>
      </w:r>
    </w:p>
    <w:p w14:paraId="7900064E">
      <w:pPr>
        <w:spacing w:line="360" w:lineRule="auto"/>
        <w:ind w:firstLine="470" w:firstLineChars="196"/>
        <w:rPr>
          <w:rFonts w:ascii="仿宋" w:hAnsi="仿宋" w:eastAsia="仿宋" w:cs="仿宋"/>
          <w:sz w:val="24"/>
        </w:rPr>
      </w:pPr>
      <w:r>
        <w:rPr>
          <w:rFonts w:hint="eastAsia" w:ascii="仿宋" w:hAnsi="仿宋" w:eastAsia="仿宋" w:cs="仿宋"/>
          <w:sz w:val="24"/>
        </w:rPr>
        <w:t>11.1不可抗力是指合同签字后发生的非甲、乙双方所能控制的、并非合同方过失的、无法中止的、不能预防的事件。合同双方中的任何一方，由于不可抗力事件而影响合同义务的执行时，则延迟履行合同义务的期限相当于不可抗力事件影响的时间，但是不能因为不可抗力的延迟而调整合同价格。</w:t>
      </w:r>
    </w:p>
    <w:p w14:paraId="7C3D34E6">
      <w:pPr>
        <w:spacing w:line="360" w:lineRule="auto"/>
        <w:ind w:firstLine="470" w:firstLineChars="196"/>
        <w:rPr>
          <w:rFonts w:ascii="仿宋" w:hAnsi="仿宋" w:eastAsia="仿宋" w:cs="仿宋"/>
          <w:sz w:val="24"/>
        </w:rPr>
      </w:pPr>
      <w:r>
        <w:rPr>
          <w:rFonts w:hint="eastAsia" w:ascii="仿宋" w:hAnsi="仿宋" w:eastAsia="仿宋" w:cs="仿宋"/>
          <w:sz w:val="24"/>
        </w:rPr>
        <w:t>11.2受到不可抗力影响的一方应在不可抗力事故发生后，尽快将所发生的不可抗力事件的情况以传真或电报通知另一方，并尽快取得另一方审阅确认，受影响的一方同时应尽量设法缩小这种影响和由此而引起的延误，一旦不可抗力的影响消除后，应将此情况立即通知对方。</w:t>
      </w:r>
    </w:p>
    <w:p w14:paraId="5304AF13">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12.争议的解决方式</w:t>
      </w:r>
    </w:p>
    <w:p w14:paraId="0DEDB9D8">
      <w:pPr>
        <w:spacing w:line="360" w:lineRule="auto"/>
        <w:ind w:firstLine="470" w:firstLineChars="196"/>
        <w:rPr>
          <w:rFonts w:ascii="仿宋" w:hAnsi="仿宋" w:eastAsia="仿宋" w:cs="仿宋"/>
          <w:sz w:val="24"/>
        </w:rPr>
      </w:pPr>
      <w:r>
        <w:rPr>
          <w:rFonts w:hint="eastAsia" w:ascii="仿宋" w:hAnsi="仿宋" w:eastAsia="仿宋" w:cs="仿宋"/>
          <w:sz w:val="24"/>
        </w:rPr>
        <w:t>12.1本合同适用法律为中华人民共和国法律。</w:t>
      </w:r>
    </w:p>
    <w:p w14:paraId="2B29EDF9">
      <w:pPr>
        <w:spacing w:line="360" w:lineRule="auto"/>
        <w:ind w:firstLine="470" w:firstLineChars="196"/>
        <w:rPr>
          <w:rFonts w:ascii="仿宋" w:hAnsi="仿宋" w:eastAsia="仿宋" w:cs="仿宋"/>
          <w:sz w:val="24"/>
        </w:rPr>
      </w:pPr>
      <w:r>
        <w:rPr>
          <w:rFonts w:hint="eastAsia" w:ascii="仿宋" w:hAnsi="仿宋" w:eastAsia="仿宋" w:cs="仿宋"/>
          <w:sz w:val="24"/>
        </w:rPr>
        <w:t>12.2凡与本合同有关的一切争议，甲乙双方应通过友好协商解决。如经协商后仍不能达成协议时，任何一方都有权向甲方所在地人民法院提起诉讼。</w:t>
      </w:r>
    </w:p>
    <w:p w14:paraId="23DC76E4">
      <w:pPr>
        <w:spacing w:line="360" w:lineRule="auto"/>
        <w:ind w:firstLine="470" w:firstLineChars="196"/>
        <w:outlineLvl w:val="0"/>
        <w:rPr>
          <w:rFonts w:ascii="仿宋" w:hAnsi="仿宋" w:eastAsia="仿宋" w:cs="仿宋"/>
          <w:bCs/>
          <w:sz w:val="24"/>
        </w:rPr>
      </w:pPr>
      <w:r>
        <w:rPr>
          <w:rFonts w:hint="eastAsia" w:ascii="仿宋" w:hAnsi="仿宋" w:eastAsia="仿宋" w:cs="仿宋"/>
          <w:bCs/>
          <w:sz w:val="24"/>
        </w:rPr>
        <w:t>13.合同生效及其它事项</w:t>
      </w:r>
    </w:p>
    <w:p w14:paraId="3E72593B">
      <w:pPr>
        <w:spacing w:line="360" w:lineRule="auto"/>
        <w:ind w:firstLine="470" w:firstLineChars="196"/>
        <w:rPr>
          <w:rFonts w:ascii="仿宋" w:hAnsi="仿宋" w:eastAsia="仿宋" w:cs="仿宋"/>
          <w:sz w:val="24"/>
        </w:rPr>
      </w:pPr>
      <w:r>
        <w:rPr>
          <w:rFonts w:hint="eastAsia" w:ascii="仿宋" w:hAnsi="仿宋" w:eastAsia="仿宋" w:cs="仿宋"/>
          <w:sz w:val="24"/>
        </w:rPr>
        <w:t>13.1本合同经双方法定代表人或授权代表签字、盖章后生效。本合同壹式</w:t>
      </w:r>
      <w:r>
        <w:rPr>
          <w:rFonts w:hint="eastAsia" w:ascii="仿宋" w:hAnsi="仿宋" w:eastAsia="仿宋" w:cs="仿宋"/>
          <w:sz w:val="24"/>
          <w:u w:val="single"/>
        </w:rPr>
        <w:t>陆</w:t>
      </w:r>
      <w:r>
        <w:rPr>
          <w:rFonts w:hint="eastAsia" w:ascii="仿宋" w:hAnsi="仿宋" w:eastAsia="仿宋" w:cs="仿宋"/>
          <w:sz w:val="24"/>
        </w:rPr>
        <w:t>份，甲方</w:t>
      </w:r>
      <w:r>
        <w:rPr>
          <w:rFonts w:hint="eastAsia" w:ascii="仿宋" w:hAnsi="仿宋" w:eastAsia="仿宋" w:cs="仿宋"/>
          <w:sz w:val="24"/>
          <w:u w:val="single"/>
        </w:rPr>
        <w:t>叁</w:t>
      </w:r>
      <w:r>
        <w:rPr>
          <w:rFonts w:hint="eastAsia" w:ascii="仿宋" w:hAnsi="仿宋" w:eastAsia="仿宋" w:cs="仿宋"/>
          <w:sz w:val="24"/>
        </w:rPr>
        <w:t>份，乙方</w:t>
      </w:r>
      <w:r>
        <w:rPr>
          <w:rFonts w:hint="eastAsia" w:ascii="仿宋" w:hAnsi="仿宋" w:eastAsia="仿宋" w:cs="仿宋"/>
          <w:sz w:val="24"/>
          <w:u w:val="single"/>
        </w:rPr>
        <w:t>叁</w:t>
      </w:r>
      <w:r>
        <w:rPr>
          <w:rFonts w:hint="eastAsia" w:ascii="仿宋" w:hAnsi="仿宋" w:eastAsia="仿宋" w:cs="仿宋"/>
          <w:sz w:val="24"/>
        </w:rPr>
        <w:t>份，具有同等法律效力。</w:t>
      </w:r>
    </w:p>
    <w:p w14:paraId="04D8545E">
      <w:pPr>
        <w:spacing w:line="360" w:lineRule="auto"/>
        <w:ind w:firstLine="470" w:firstLineChars="196"/>
        <w:rPr>
          <w:rFonts w:ascii="仿宋" w:hAnsi="仿宋" w:eastAsia="仿宋" w:cs="仿宋"/>
          <w:sz w:val="24"/>
        </w:rPr>
      </w:pPr>
      <w:r>
        <w:rPr>
          <w:rFonts w:hint="eastAsia" w:ascii="仿宋" w:hAnsi="仿宋" w:eastAsia="仿宋" w:cs="仿宋"/>
          <w:sz w:val="24"/>
        </w:rPr>
        <w:t>13.2本合同未尽事宜两方另行协商，并以经两方协商后形成的有关补充协议为准。</w:t>
      </w:r>
    </w:p>
    <w:tbl>
      <w:tblPr>
        <w:tblStyle w:val="7"/>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36"/>
        <w:gridCol w:w="4384"/>
      </w:tblGrid>
      <w:tr w14:paraId="26FB6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27" w:type="pct"/>
          </w:tcPr>
          <w:p w14:paraId="11778AB7">
            <w:pPr>
              <w:spacing w:line="360" w:lineRule="auto"/>
              <w:jc w:val="left"/>
              <w:rPr>
                <w:rFonts w:ascii="仿宋" w:hAnsi="仿宋" w:eastAsia="仿宋" w:cs="仿宋"/>
                <w:kern w:val="0"/>
                <w:sz w:val="24"/>
              </w:rPr>
            </w:pPr>
            <w:r>
              <w:rPr>
                <w:rFonts w:hint="eastAsia" w:ascii="仿宋" w:hAnsi="仿宋" w:eastAsia="仿宋" w:cs="仿宋"/>
                <w:bCs/>
                <w:kern w:val="0"/>
                <w:sz w:val="24"/>
              </w:rPr>
              <w:t>甲 方</w:t>
            </w:r>
            <w:r>
              <w:rPr>
                <w:rFonts w:hint="eastAsia" w:ascii="仿宋" w:hAnsi="仿宋" w:eastAsia="仿宋" w:cs="仿宋"/>
                <w:kern w:val="0"/>
                <w:sz w:val="24"/>
              </w:rPr>
              <w:t>:(公章)</w:t>
            </w:r>
          </w:p>
        </w:tc>
        <w:tc>
          <w:tcPr>
            <w:tcW w:w="2572" w:type="pct"/>
          </w:tcPr>
          <w:p w14:paraId="3EB582E8">
            <w:pPr>
              <w:spacing w:line="360" w:lineRule="auto"/>
              <w:ind w:firstLine="2"/>
              <w:rPr>
                <w:rFonts w:ascii="仿宋" w:hAnsi="仿宋" w:eastAsia="仿宋" w:cs="仿宋"/>
                <w:kern w:val="0"/>
                <w:sz w:val="24"/>
              </w:rPr>
            </w:pPr>
            <w:r>
              <w:rPr>
                <w:rFonts w:hint="eastAsia" w:ascii="仿宋" w:hAnsi="仿宋" w:eastAsia="仿宋" w:cs="仿宋"/>
                <w:bCs/>
                <w:kern w:val="0"/>
                <w:sz w:val="24"/>
              </w:rPr>
              <w:t>乙 方:(公章)</w:t>
            </w:r>
          </w:p>
        </w:tc>
      </w:tr>
      <w:tr w14:paraId="684F1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27" w:type="pct"/>
          </w:tcPr>
          <w:p w14:paraId="1820653A">
            <w:pPr>
              <w:spacing w:line="360" w:lineRule="auto"/>
              <w:jc w:val="left"/>
              <w:rPr>
                <w:rFonts w:ascii="仿宋" w:hAnsi="仿宋" w:eastAsia="仿宋" w:cs="仿宋"/>
                <w:kern w:val="0"/>
                <w:sz w:val="24"/>
              </w:rPr>
            </w:pPr>
            <w:r>
              <w:rPr>
                <w:rFonts w:hint="eastAsia" w:ascii="仿宋" w:hAnsi="仿宋" w:eastAsia="仿宋" w:cs="仿宋"/>
                <w:kern w:val="0"/>
                <w:sz w:val="24"/>
              </w:rPr>
              <w:t>法定代表人(委托代理人)：</w:t>
            </w:r>
          </w:p>
        </w:tc>
        <w:tc>
          <w:tcPr>
            <w:tcW w:w="2572" w:type="pct"/>
          </w:tcPr>
          <w:p w14:paraId="375222C7">
            <w:pPr>
              <w:spacing w:line="360" w:lineRule="auto"/>
              <w:ind w:firstLine="2"/>
              <w:rPr>
                <w:rFonts w:ascii="仿宋" w:hAnsi="仿宋" w:eastAsia="仿宋" w:cs="仿宋"/>
                <w:kern w:val="0"/>
                <w:sz w:val="24"/>
              </w:rPr>
            </w:pPr>
            <w:r>
              <w:rPr>
                <w:rFonts w:hint="eastAsia" w:ascii="仿宋" w:hAnsi="仿宋" w:eastAsia="仿宋" w:cs="仿宋"/>
                <w:kern w:val="0"/>
                <w:sz w:val="24"/>
                <w:lang w:eastAsia="en-US"/>
              </w:rPr>
              <w:t>法定代表人</w:t>
            </w:r>
            <w:r>
              <w:rPr>
                <w:rFonts w:hint="eastAsia" w:ascii="仿宋" w:hAnsi="仿宋" w:eastAsia="仿宋" w:cs="仿宋"/>
                <w:kern w:val="0"/>
                <w:sz w:val="24"/>
              </w:rPr>
              <w:t>(委托代理人)</w:t>
            </w:r>
            <w:r>
              <w:rPr>
                <w:rFonts w:hint="eastAsia" w:ascii="仿宋" w:hAnsi="仿宋" w:eastAsia="仿宋" w:cs="仿宋"/>
                <w:kern w:val="0"/>
                <w:sz w:val="24"/>
                <w:lang w:eastAsia="en-US"/>
              </w:rPr>
              <w:t>：</w:t>
            </w:r>
          </w:p>
        </w:tc>
      </w:tr>
      <w:tr w14:paraId="2B5FD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27" w:type="pct"/>
            <w:vAlign w:val="center"/>
          </w:tcPr>
          <w:p w14:paraId="5698DA06">
            <w:pPr>
              <w:spacing w:line="360" w:lineRule="auto"/>
              <w:rPr>
                <w:rFonts w:ascii="仿宋" w:hAnsi="仿宋" w:eastAsia="仿宋" w:cs="仿宋"/>
                <w:kern w:val="0"/>
                <w:sz w:val="24"/>
              </w:rPr>
            </w:pPr>
            <w:r>
              <w:rPr>
                <w:rFonts w:hint="eastAsia" w:ascii="仿宋" w:hAnsi="仿宋" w:eastAsia="仿宋" w:cs="仿宋"/>
                <w:kern w:val="0"/>
                <w:sz w:val="24"/>
              </w:rPr>
              <w:t>地 址：</w:t>
            </w:r>
          </w:p>
        </w:tc>
        <w:tc>
          <w:tcPr>
            <w:tcW w:w="2572" w:type="pct"/>
            <w:vAlign w:val="center"/>
          </w:tcPr>
          <w:p w14:paraId="5C2DD77A">
            <w:pPr>
              <w:spacing w:line="360" w:lineRule="auto"/>
              <w:ind w:firstLine="2"/>
              <w:rPr>
                <w:rFonts w:ascii="仿宋" w:hAnsi="仿宋" w:eastAsia="仿宋" w:cs="仿宋"/>
                <w:kern w:val="0"/>
                <w:sz w:val="24"/>
              </w:rPr>
            </w:pPr>
            <w:r>
              <w:rPr>
                <w:rFonts w:hint="eastAsia" w:ascii="仿宋" w:hAnsi="仿宋" w:eastAsia="仿宋" w:cs="仿宋"/>
                <w:kern w:val="0"/>
                <w:sz w:val="24"/>
              </w:rPr>
              <w:t>地 址：</w:t>
            </w:r>
          </w:p>
        </w:tc>
      </w:tr>
      <w:tr w14:paraId="33248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27" w:type="pct"/>
            <w:vAlign w:val="center"/>
          </w:tcPr>
          <w:p w14:paraId="48B05C3D">
            <w:pPr>
              <w:spacing w:line="360" w:lineRule="auto"/>
              <w:rPr>
                <w:rFonts w:ascii="仿宋" w:hAnsi="仿宋" w:eastAsia="仿宋" w:cs="仿宋"/>
                <w:kern w:val="0"/>
                <w:sz w:val="24"/>
              </w:rPr>
            </w:pPr>
            <w:r>
              <w:rPr>
                <w:rFonts w:hint="eastAsia" w:ascii="仿宋" w:hAnsi="仿宋" w:eastAsia="仿宋" w:cs="仿宋"/>
                <w:kern w:val="0"/>
                <w:sz w:val="24"/>
              </w:rPr>
              <w:t>邮政编码：</w:t>
            </w:r>
          </w:p>
        </w:tc>
        <w:tc>
          <w:tcPr>
            <w:tcW w:w="2572" w:type="pct"/>
            <w:vAlign w:val="center"/>
          </w:tcPr>
          <w:p w14:paraId="52C90F9D">
            <w:pPr>
              <w:spacing w:line="360" w:lineRule="auto"/>
              <w:ind w:firstLine="2"/>
              <w:rPr>
                <w:rFonts w:ascii="仿宋" w:hAnsi="仿宋" w:eastAsia="仿宋" w:cs="仿宋"/>
                <w:kern w:val="0"/>
                <w:sz w:val="24"/>
              </w:rPr>
            </w:pPr>
            <w:r>
              <w:rPr>
                <w:rFonts w:hint="eastAsia" w:ascii="仿宋" w:hAnsi="仿宋" w:eastAsia="仿宋" w:cs="仿宋"/>
                <w:kern w:val="0"/>
                <w:sz w:val="24"/>
              </w:rPr>
              <w:t>邮政编码：</w:t>
            </w:r>
          </w:p>
        </w:tc>
      </w:tr>
      <w:tr w14:paraId="00BAE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27" w:type="pct"/>
            <w:vAlign w:val="center"/>
          </w:tcPr>
          <w:p w14:paraId="564C2634">
            <w:pPr>
              <w:spacing w:line="360" w:lineRule="auto"/>
              <w:rPr>
                <w:rFonts w:ascii="仿宋" w:hAnsi="仿宋" w:eastAsia="仿宋" w:cs="仿宋"/>
                <w:kern w:val="0"/>
                <w:sz w:val="24"/>
              </w:rPr>
            </w:pPr>
            <w:r>
              <w:rPr>
                <w:rFonts w:hint="eastAsia" w:ascii="仿宋" w:hAnsi="仿宋" w:eastAsia="仿宋" w:cs="仿宋"/>
                <w:kern w:val="0"/>
                <w:sz w:val="24"/>
              </w:rPr>
              <w:t>电 话：</w:t>
            </w:r>
          </w:p>
        </w:tc>
        <w:tc>
          <w:tcPr>
            <w:tcW w:w="2572" w:type="pct"/>
            <w:vAlign w:val="center"/>
          </w:tcPr>
          <w:p w14:paraId="592BFBE5">
            <w:pPr>
              <w:spacing w:line="360" w:lineRule="auto"/>
              <w:ind w:firstLine="2"/>
              <w:rPr>
                <w:rFonts w:ascii="仿宋" w:hAnsi="仿宋" w:eastAsia="仿宋" w:cs="仿宋"/>
                <w:kern w:val="0"/>
                <w:sz w:val="24"/>
              </w:rPr>
            </w:pPr>
            <w:r>
              <w:rPr>
                <w:rFonts w:hint="eastAsia" w:ascii="仿宋" w:hAnsi="仿宋" w:eastAsia="仿宋" w:cs="仿宋"/>
                <w:kern w:val="0"/>
                <w:sz w:val="24"/>
              </w:rPr>
              <w:t>电 话：</w:t>
            </w:r>
          </w:p>
        </w:tc>
      </w:tr>
      <w:tr w14:paraId="4FB33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27" w:type="pct"/>
            <w:vAlign w:val="center"/>
          </w:tcPr>
          <w:p w14:paraId="7FC712A2">
            <w:pPr>
              <w:spacing w:line="360" w:lineRule="auto"/>
              <w:rPr>
                <w:rFonts w:ascii="仿宋" w:hAnsi="仿宋" w:eastAsia="仿宋" w:cs="仿宋"/>
                <w:kern w:val="0"/>
                <w:sz w:val="24"/>
              </w:rPr>
            </w:pPr>
            <w:r>
              <w:rPr>
                <w:rFonts w:hint="eastAsia" w:ascii="仿宋" w:hAnsi="仿宋" w:eastAsia="仿宋" w:cs="仿宋"/>
                <w:kern w:val="0"/>
                <w:sz w:val="24"/>
              </w:rPr>
              <w:t>开户银行：</w:t>
            </w:r>
          </w:p>
        </w:tc>
        <w:tc>
          <w:tcPr>
            <w:tcW w:w="2572" w:type="pct"/>
            <w:vAlign w:val="center"/>
          </w:tcPr>
          <w:p w14:paraId="5591AA2D">
            <w:pPr>
              <w:spacing w:line="360" w:lineRule="auto"/>
              <w:ind w:firstLine="2"/>
              <w:rPr>
                <w:rFonts w:ascii="仿宋" w:hAnsi="仿宋" w:eastAsia="仿宋" w:cs="仿宋"/>
                <w:kern w:val="0"/>
                <w:sz w:val="24"/>
              </w:rPr>
            </w:pPr>
            <w:r>
              <w:rPr>
                <w:rFonts w:hint="eastAsia" w:ascii="仿宋" w:hAnsi="仿宋" w:eastAsia="仿宋" w:cs="仿宋"/>
                <w:kern w:val="0"/>
                <w:sz w:val="24"/>
              </w:rPr>
              <w:t>开户银行：</w:t>
            </w:r>
          </w:p>
        </w:tc>
      </w:tr>
      <w:tr w14:paraId="05679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27" w:type="pct"/>
            <w:vAlign w:val="center"/>
          </w:tcPr>
          <w:p w14:paraId="4814738B">
            <w:pPr>
              <w:spacing w:line="360" w:lineRule="auto"/>
              <w:rPr>
                <w:rFonts w:ascii="仿宋" w:hAnsi="仿宋" w:eastAsia="仿宋" w:cs="仿宋"/>
                <w:kern w:val="0"/>
                <w:sz w:val="24"/>
              </w:rPr>
            </w:pPr>
            <w:r>
              <w:rPr>
                <w:rFonts w:hint="eastAsia" w:ascii="仿宋" w:hAnsi="仿宋" w:eastAsia="仿宋" w:cs="仿宋"/>
                <w:kern w:val="0"/>
                <w:sz w:val="24"/>
              </w:rPr>
              <w:t>账号：</w:t>
            </w:r>
          </w:p>
        </w:tc>
        <w:tc>
          <w:tcPr>
            <w:tcW w:w="2572" w:type="pct"/>
            <w:vAlign w:val="center"/>
          </w:tcPr>
          <w:p w14:paraId="5AFCF435">
            <w:pPr>
              <w:spacing w:line="360" w:lineRule="auto"/>
              <w:ind w:firstLine="2"/>
              <w:rPr>
                <w:rFonts w:ascii="仿宋" w:hAnsi="仿宋" w:eastAsia="仿宋" w:cs="仿宋"/>
                <w:kern w:val="0"/>
                <w:sz w:val="24"/>
              </w:rPr>
            </w:pPr>
            <w:r>
              <w:rPr>
                <w:rFonts w:hint="eastAsia" w:ascii="仿宋" w:hAnsi="仿宋" w:eastAsia="仿宋" w:cs="仿宋"/>
                <w:kern w:val="0"/>
                <w:sz w:val="24"/>
              </w:rPr>
              <w:t>账号：</w:t>
            </w:r>
          </w:p>
        </w:tc>
      </w:tr>
      <w:tr w14:paraId="565F7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5000" w:type="pct"/>
            <w:gridSpan w:val="2"/>
          </w:tcPr>
          <w:p w14:paraId="5ADE5878">
            <w:pPr>
              <w:spacing w:line="360" w:lineRule="auto"/>
              <w:ind w:firstLine="0" w:firstLineChars="0"/>
              <w:jc w:val="left"/>
              <w:rPr>
                <w:rFonts w:ascii="仿宋" w:hAnsi="仿宋" w:eastAsia="仿宋" w:cs="仿宋"/>
                <w:kern w:val="0"/>
                <w:sz w:val="24"/>
              </w:rPr>
            </w:pPr>
            <w:r>
              <w:rPr>
                <w:rFonts w:hint="eastAsia" w:ascii="仿宋" w:hAnsi="仿宋" w:eastAsia="仿宋" w:cs="仿宋"/>
                <w:kern w:val="0"/>
                <w:sz w:val="24"/>
              </w:rPr>
              <w:t>合同订立日期：     年    月    日</w:t>
            </w:r>
          </w:p>
        </w:tc>
      </w:tr>
    </w:tbl>
    <w:p w14:paraId="51B2A5B3">
      <w:pPr>
        <w:pStyle w:val="5"/>
        <w:rPr>
          <w:rFonts w:hint="default"/>
        </w:rPr>
      </w:pPr>
    </w:p>
    <w:p w14:paraId="34AFCD6B">
      <w:pPr>
        <w:rPr>
          <w:rFonts w:hint="eastAsia" w:ascii="宋体" w:hAnsi="宋体" w:eastAsia="宋体" w:cs="宋体"/>
        </w:rPr>
      </w:pPr>
    </w:p>
    <w:p w14:paraId="2EE4E6EE">
      <w:pPr>
        <w:rPr>
          <w:rFonts w:hint="default"/>
        </w:rPr>
      </w:pPr>
      <w:r>
        <w:rPr>
          <w:rFonts w:hint="default"/>
        </w:rPr>
        <w:br w:type="page"/>
      </w:r>
    </w:p>
    <w:p w14:paraId="2D4532E3">
      <w:pPr>
        <w:pStyle w:val="5"/>
        <w:rPr>
          <w:rFonts w:hint="eastAsia" w:ascii="仿宋" w:hAnsi="仿宋" w:eastAsia="仿宋" w:cs="仿宋"/>
          <w:lang w:val="en-US" w:eastAsia="zh-CN"/>
        </w:rPr>
      </w:pPr>
      <w:r>
        <w:rPr>
          <w:rFonts w:hint="eastAsia" w:ascii="仿宋" w:hAnsi="仿宋" w:eastAsia="仿宋" w:cs="仿宋"/>
          <w:lang w:val="en-US" w:eastAsia="zh-CN"/>
        </w:rPr>
        <w:t>附件1:</w:t>
      </w:r>
    </w:p>
    <w:p w14:paraId="16BF4CE9">
      <w:pPr>
        <w:jc w:val="center"/>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西安市12345热线大模型智能化提升建设项目密码应用安全性评估服务</w:t>
      </w:r>
    </w:p>
    <w:p w14:paraId="68C11081">
      <w:pPr>
        <w:jc w:val="center"/>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绩效评价考核方案</w:t>
      </w:r>
    </w:p>
    <w:p w14:paraId="2B8337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一、考核目的</w:t>
      </w:r>
    </w:p>
    <w:p w14:paraId="3FBA7C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此次绩效评价考核目的是为了科学、公平、公正的评估“西安市12345热线大模型智能化提升建设项目密码应用安全性评估服务”交付实施的完整度、交付质量、交付效果。按照考核标准在履约验收时对中标方的服务进行考核，并按照考核结果支付项目尾款，项目服务期内共考核一次。</w:t>
      </w:r>
    </w:p>
    <w:p w14:paraId="4C5462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二、考核标准</w:t>
      </w:r>
    </w:p>
    <w:p w14:paraId="680A9ED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本次绩效评价考核从人员服务，进度管控，项目变更管控，问题整改跟踪，保密、应急与服务保障，项目管理与资料归档等6个维度进行评价，总分值为100分。</w:t>
      </w:r>
    </w:p>
    <w:p w14:paraId="1D70AD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绩效评价考核标准如下所示：</w:t>
      </w:r>
    </w:p>
    <w:tbl>
      <w:tblPr>
        <w:tblStyle w:val="3"/>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
        <w:gridCol w:w="1056"/>
        <w:gridCol w:w="3727"/>
        <w:gridCol w:w="1916"/>
        <w:gridCol w:w="831"/>
      </w:tblGrid>
      <w:tr w14:paraId="16C35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blHeader/>
          <w:jc w:val="center"/>
        </w:trPr>
        <w:tc>
          <w:tcPr>
            <w:tcW w:w="989" w:type="dxa"/>
            <w:shd w:val="clear" w:color="auto" w:fill="D8D8D8"/>
            <w:noWrap w:val="0"/>
            <w:vAlign w:val="center"/>
          </w:tcPr>
          <w:p w14:paraId="596EA53C">
            <w:pPr>
              <w:widowControl/>
              <w:jc w:val="center"/>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rPr>
              <w:t>序号</w:t>
            </w:r>
          </w:p>
        </w:tc>
        <w:tc>
          <w:tcPr>
            <w:tcW w:w="1056" w:type="dxa"/>
            <w:shd w:val="clear" w:color="auto" w:fill="D8D8D8"/>
            <w:noWrap w:val="0"/>
            <w:vAlign w:val="center"/>
          </w:tcPr>
          <w:p w14:paraId="6F090C2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rPr>
              <w:t>评价</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指标</w:t>
            </w:r>
          </w:p>
        </w:tc>
        <w:tc>
          <w:tcPr>
            <w:tcW w:w="3727" w:type="dxa"/>
            <w:shd w:val="clear" w:color="auto" w:fill="D8D8D8"/>
            <w:noWrap w:val="0"/>
            <w:vAlign w:val="center"/>
          </w:tcPr>
          <w:p w14:paraId="7A4AC27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指标明细</w:t>
            </w:r>
          </w:p>
        </w:tc>
        <w:tc>
          <w:tcPr>
            <w:tcW w:w="1916" w:type="dxa"/>
            <w:shd w:val="clear" w:color="auto" w:fill="D8D8D8"/>
            <w:noWrap w:val="0"/>
            <w:vAlign w:val="center"/>
          </w:tcPr>
          <w:p w14:paraId="1E7D08E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rPr>
              <w:t>分值范围</w:t>
            </w:r>
          </w:p>
        </w:tc>
        <w:tc>
          <w:tcPr>
            <w:tcW w:w="831" w:type="dxa"/>
            <w:shd w:val="clear" w:color="auto" w:fill="D8D8D8"/>
            <w:noWrap w:val="0"/>
            <w:vAlign w:val="center"/>
          </w:tcPr>
          <w:p w14:paraId="0C34D02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指标</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得分</w:t>
            </w:r>
          </w:p>
        </w:tc>
      </w:tr>
      <w:tr w14:paraId="23AD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9" w:type="dxa"/>
            <w:noWrap w:val="0"/>
            <w:vAlign w:val="center"/>
          </w:tcPr>
          <w:p w14:paraId="0285FF3B">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1056" w:type="dxa"/>
            <w:vMerge w:val="restart"/>
            <w:noWrap w:val="0"/>
            <w:vAlign w:val="top"/>
          </w:tcPr>
          <w:p w14:paraId="48B92633">
            <w:pPr>
              <w:widowControl w:val="0"/>
              <w:jc w:val="left"/>
              <w:rPr>
                <w:rFonts w:hint="eastAsia" w:ascii="仿宋" w:hAnsi="仿宋" w:eastAsia="仿宋" w:cs="仿宋"/>
                <w:sz w:val="24"/>
                <w:vertAlign w:val="baseline"/>
                <w:lang w:val="en-US" w:eastAsia="zh-CN"/>
              </w:rPr>
            </w:pPr>
          </w:p>
          <w:p w14:paraId="3860511F">
            <w:pPr>
              <w:widowControl w:val="0"/>
              <w:jc w:val="left"/>
              <w:rPr>
                <w:rFonts w:hint="eastAsia" w:ascii="仿宋" w:hAnsi="仿宋" w:eastAsia="仿宋" w:cs="仿宋"/>
                <w:sz w:val="24"/>
                <w:vertAlign w:val="baseline"/>
                <w:lang w:val="en-US" w:eastAsia="zh-CN"/>
              </w:rPr>
            </w:pPr>
          </w:p>
          <w:p w14:paraId="11A94527">
            <w:pPr>
              <w:widowControl w:val="0"/>
              <w:jc w:val="left"/>
              <w:rPr>
                <w:rFonts w:hint="eastAsia" w:ascii="仿宋" w:hAnsi="仿宋" w:eastAsia="仿宋" w:cs="仿宋"/>
                <w:sz w:val="24"/>
                <w:vertAlign w:val="baseline"/>
                <w:lang w:val="en-US" w:eastAsia="zh-CN"/>
              </w:rPr>
            </w:pPr>
          </w:p>
          <w:p w14:paraId="788B8F9C">
            <w:pPr>
              <w:widowControl w:val="0"/>
              <w:jc w:val="left"/>
              <w:rPr>
                <w:rFonts w:hint="eastAsia" w:ascii="仿宋" w:hAnsi="仿宋" w:eastAsia="仿宋" w:cs="仿宋"/>
                <w:sz w:val="24"/>
                <w:vertAlign w:val="baseline"/>
                <w:lang w:val="en-US" w:eastAsia="zh-CN"/>
              </w:rPr>
            </w:pPr>
          </w:p>
          <w:p w14:paraId="7F84924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人员服务</w:t>
            </w:r>
          </w:p>
        </w:tc>
        <w:tc>
          <w:tcPr>
            <w:tcW w:w="3727" w:type="dxa"/>
            <w:noWrap w:val="0"/>
            <w:vAlign w:val="center"/>
          </w:tcPr>
          <w:p w14:paraId="05EAF13E">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测评团队人员配置不足、密评从业人员数量不达标</w:t>
            </w:r>
          </w:p>
        </w:tc>
        <w:tc>
          <w:tcPr>
            <w:tcW w:w="1916" w:type="dxa"/>
            <w:noWrap w:val="0"/>
            <w:vAlign w:val="center"/>
          </w:tcPr>
          <w:p w14:paraId="0A90F441">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每少1人扣4分</w:t>
            </w:r>
          </w:p>
        </w:tc>
        <w:tc>
          <w:tcPr>
            <w:tcW w:w="831" w:type="dxa"/>
            <w:noWrap w:val="0"/>
            <w:vAlign w:val="center"/>
          </w:tcPr>
          <w:p w14:paraId="78C772C6">
            <w:pPr>
              <w:widowControl w:val="0"/>
              <w:jc w:val="center"/>
              <w:rPr>
                <w:rFonts w:hint="eastAsia" w:ascii="仿宋" w:hAnsi="仿宋" w:eastAsia="仿宋" w:cs="仿宋"/>
                <w:sz w:val="24"/>
                <w:vertAlign w:val="baseline"/>
              </w:rPr>
            </w:pPr>
          </w:p>
        </w:tc>
      </w:tr>
      <w:tr w14:paraId="67A67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989" w:type="dxa"/>
            <w:noWrap w:val="0"/>
            <w:vAlign w:val="center"/>
          </w:tcPr>
          <w:p w14:paraId="5B7D907B">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1056" w:type="dxa"/>
            <w:vMerge w:val="continue"/>
            <w:noWrap w:val="0"/>
            <w:vAlign w:val="top"/>
          </w:tcPr>
          <w:p w14:paraId="1F371F4E">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22D871CD">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人员未按期进场开展测评工作</w:t>
            </w:r>
          </w:p>
        </w:tc>
        <w:tc>
          <w:tcPr>
            <w:tcW w:w="1916" w:type="dxa"/>
            <w:noWrap w:val="0"/>
            <w:vAlign w:val="center"/>
          </w:tcPr>
          <w:p w14:paraId="2B9409BE">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扣4分</w:t>
            </w:r>
          </w:p>
        </w:tc>
        <w:tc>
          <w:tcPr>
            <w:tcW w:w="831" w:type="dxa"/>
            <w:noWrap w:val="0"/>
            <w:vAlign w:val="center"/>
          </w:tcPr>
          <w:p w14:paraId="1C8BC2AC">
            <w:pPr>
              <w:widowControl w:val="0"/>
              <w:jc w:val="center"/>
              <w:rPr>
                <w:rFonts w:hint="eastAsia" w:ascii="仿宋" w:hAnsi="仿宋" w:eastAsia="仿宋" w:cs="仿宋"/>
                <w:sz w:val="24"/>
                <w:vertAlign w:val="baseline"/>
              </w:rPr>
            </w:pPr>
          </w:p>
        </w:tc>
      </w:tr>
      <w:tr w14:paraId="1ECEB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6519BE96">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1056" w:type="dxa"/>
            <w:vMerge w:val="continue"/>
            <w:noWrap w:val="0"/>
            <w:vAlign w:val="top"/>
          </w:tcPr>
          <w:p w14:paraId="4FF52091">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3D4F89BB">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测评人员对政务系统、商用密码规范不熟悉，沟通对接低效</w:t>
            </w:r>
          </w:p>
        </w:tc>
        <w:tc>
          <w:tcPr>
            <w:tcW w:w="1916" w:type="dxa"/>
            <w:noWrap w:val="0"/>
            <w:vAlign w:val="center"/>
          </w:tcPr>
          <w:p w14:paraId="12076DFE">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每次扣3分</w:t>
            </w:r>
          </w:p>
        </w:tc>
        <w:tc>
          <w:tcPr>
            <w:tcW w:w="831" w:type="dxa"/>
            <w:noWrap w:val="0"/>
            <w:vAlign w:val="center"/>
          </w:tcPr>
          <w:p w14:paraId="380C67C3">
            <w:pPr>
              <w:widowControl w:val="0"/>
              <w:jc w:val="center"/>
              <w:rPr>
                <w:rFonts w:hint="eastAsia" w:ascii="仿宋" w:hAnsi="仿宋" w:eastAsia="仿宋" w:cs="仿宋"/>
                <w:sz w:val="24"/>
                <w:vertAlign w:val="baseline"/>
              </w:rPr>
            </w:pPr>
          </w:p>
        </w:tc>
      </w:tr>
      <w:tr w14:paraId="4EA6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666D08A8">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w:t>
            </w:r>
          </w:p>
        </w:tc>
        <w:tc>
          <w:tcPr>
            <w:tcW w:w="1056" w:type="dxa"/>
            <w:vMerge w:val="continue"/>
            <w:noWrap w:val="0"/>
            <w:vAlign w:val="top"/>
          </w:tcPr>
          <w:p w14:paraId="6250D30D">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4B448EFB">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人员不服从甲方统筹安排</w:t>
            </w:r>
          </w:p>
        </w:tc>
        <w:tc>
          <w:tcPr>
            <w:tcW w:w="1916" w:type="dxa"/>
            <w:noWrap w:val="0"/>
            <w:vAlign w:val="center"/>
          </w:tcPr>
          <w:p w14:paraId="0EB93216">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每次扣3分</w:t>
            </w:r>
          </w:p>
        </w:tc>
        <w:tc>
          <w:tcPr>
            <w:tcW w:w="831" w:type="dxa"/>
            <w:noWrap w:val="0"/>
            <w:vAlign w:val="center"/>
          </w:tcPr>
          <w:p w14:paraId="42F74534">
            <w:pPr>
              <w:widowControl w:val="0"/>
              <w:jc w:val="center"/>
              <w:rPr>
                <w:rFonts w:hint="eastAsia" w:ascii="仿宋" w:hAnsi="仿宋" w:eastAsia="仿宋" w:cs="仿宋"/>
                <w:sz w:val="24"/>
                <w:vertAlign w:val="baseline"/>
              </w:rPr>
            </w:pPr>
          </w:p>
        </w:tc>
      </w:tr>
      <w:tr w14:paraId="7D700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shd w:val="clear" w:color="auto" w:fill="auto"/>
            <w:noWrap w:val="0"/>
            <w:vAlign w:val="center"/>
          </w:tcPr>
          <w:p w14:paraId="2E1E6D0C">
            <w:pPr>
              <w:widowControl w:val="0"/>
              <w:jc w:val="center"/>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5</w:t>
            </w:r>
          </w:p>
        </w:tc>
        <w:tc>
          <w:tcPr>
            <w:tcW w:w="1056" w:type="dxa"/>
            <w:vMerge w:val="continue"/>
            <w:shd w:val="clear" w:color="auto" w:fill="auto"/>
            <w:noWrap w:val="0"/>
            <w:vAlign w:val="top"/>
          </w:tcPr>
          <w:p w14:paraId="3AF4F935">
            <w:pPr>
              <w:widowControl w:val="0"/>
              <w:jc w:val="left"/>
              <w:rPr>
                <w:rFonts w:hint="eastAsia" w:ascii="仿宋" w:hAnsi="仿宋" w:eastAsia="仿宋" w:cs="仿宋"/>
                <w:kern w:val="2"/>
                <w:sz w:val="24"/>
                <w:szCs w:val="24"/>
                <w:vertAlign w:val="baseline"/>
                <w:lang w:val="en-US" w:eastAsia="zh-CN" w:bidi="ar-SA"/>
              </w:rPr>
            </w:pPr>
          </w:p>
        </w:tc>
        <w:tc>
          <w:tcPr>
            <w:tcW w:w="3727" w:type="dxa"/>
            <w:shd w:val="clear" w:color="auto" w:fill="auto"/>
            <w:noWrap w:val="0"/>
            <w:vAlign w:val="center"/>
          </w:tcPr>
          <w:p w14:paraId="4261DFFB">
            <w:pPr>
              <w:widowControl w:val="0"/>
              <w:jc w:val="left"/>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未履行保密要求、测评资料随意外泄</w:t>
            </w:r>
          </w:p>
        </w:tc>
        <w:tc>
          <w:tcPr>
            <w:tcW w:w="1916" w:type="dxa"/>
            <w:shd w:val="clear" w:color="auto" w:fill="auto"/>
            <w:noWrap w:val="0"/>
            <w:vAlign w:val="center"/>
          </w:tcPr>
          <w:p w14:paraId="05F45844">
            <w:pPr>
              <w:widowControl w:val="0"/>
              <w:jc w:val="left"/>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vertAlign w:val="baseline"/>
                <w:lang w:val="en-US" w:eastAsia="zh-CN"/>
              </w:rPr>
              <w:t>单次扣6分</w:t>
            </w:r>
          </w:p>
        </w:tc>
        <w:tc>
          <w:tcPr>
            <w:tcW w:w="831" w:type="dxa"/>
            <w:noWrap w:val="0"/>
            <w:vAlign w:val="center"/>
          </w:tcPr>
          <w:p w14:paraId="1DBF9B62">
            <w:pPr>
              <w:widowControl w:val="0"/>
              <w:jc w:val="center"/>
              <w:rPr>
                <w:rFonts w:hint="eastAsia" w:ascii="仿宋" w:hAnsi="仿宋" w:eastAsia="仿宋" w:cs="仿宋"/>
                <w:sz w:val="24"/>
                <w:vertAlign w:val="baseline"/>
              </w:rPr>
            </w:pPr>
          </w:p>
        </w:tc>
      </w:tr>
      <w:tr w14:paraId="6F8CF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989" w:type="dxa"/>
            <w:noWrap w:val="0"/>
            <w:vAlign w:val="center"/>
          </w:tcPr>
          <w:p w14:paraId="3579ACC3">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w:t>
            </w:r>
          </w:p>
        </w:tc>
        <w:tc>
          <w:tcPr>
            <w:tcW w:w="1056" w:type="dxa"/>
            <w:vMerge w:val="restart"/>
            <w:noWrap w:val="0"/>
            <w:vAlign w:val="center"/>
          </w:tcPr>
          <w:p w14:paraId="089C2B0D">
            <w:pPr>
              <w:widowControl w:val="0"/>
              <w:jc w:val="center"/>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进度管控</w:t>
            </w:r>
          </w:p>
        </w:tc>
        <w:tc>
          <w:tcPr>
            <w:tcW w:w="3727" w:type="dxa"/>
            <w:noWrap w:val="0"/>
            <w:vAlign w:val="center"/>
          </w:tcPr>
          <w:p w14:paraId="1A176EAF">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未按要求完成全部测评及报告交付</w:t>
            </w:r>
          </w:p>
        </w:tc>
        <w:tc>
          <w:tcPr>
            <w:tcW w:w="1916" w:type="dxa"/>
            <w:noWrap w:val="0"/>
            <w:vAlign w:val="center"/>
          </w:tcPr>
          <w:p w14:paraId="297EE5C4">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延期每日扣2分</w:t>
            </w:r>
          </w:p>
        </w:tc>
        <w:tc>
          <w:tcPr>
            <w:tcW w:w="831" w:type="dxa"/>
            <w:noWrap w:val="0"/>
            <w:vAlign w:val="center"/>
          </w:tcPr>
          <w:p w14:paraId="34B1FB6B">
            <w:pPr>
              <w:widowControl w:val="0"/>
              <w:jc w:val="center"/>
              <w:rPr>
                <w:rFonts w:hint="eastAsia" w:ascii="仿宋" w:hAnsi="仿宋" w:eastAsia="仿宋" w:cs="仿宋"/>
                <w:sz w:val="24"/>
                <w:vertAlign w:val="baseline"/>
              </w:rPr>
            </w:pPr>
          </w:p>
        </w:tc>
      </w:tr>
      <w:tr w14:paraId="79FE0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669FB456">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w:t>
            </w:r>
          </w:p>
        </w:tc>
        <w:tc>
          <w:tcPr>
            <w:tcW w:w="1056" w:type="dxa"/>
            <w:vMerge w:val="continue"/>
            <w:noWrap w:val="0"/>
            <w:vAlign w:val="top"/>
          </w:tcPr>
          <w:p w14:paraId="262CF1C3">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4CDC46E2">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未提交周工作计划、进度跟踪记录</w:t>
            </w:r>
          </w:p>
        </w:tc>
        <w:tc>
          <w:tcPr>
            <w:tcW w:w="1916" w:type="dxa"/>
            <w:noWrap w:val="0"/>
            <w:vAlign w:val="center"/>
          </w:tcPr>
          <w:p w14:paraId="2EAC95C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每次扣2分</w:t>
            </w:r>
          </w:p>
        </w:tc>
        <w:tc>
          <w:tcPr>
            <w:tcW w:w="831" w:type="dxa"/>
            <w:noWrap w:val="0"/>
            <w:vAlign w:val="center"/>
          </w:tcPr>
          <w:p w14:paraId="4BBFE9EB">
            <w:pPr>
              <w:widowControl w:val="0"/>
              <w:jc w:val="center"/>
              <w:rPr>
                <w:rFonts w:hint="eastAsia" w:ascii="仿宋" w:hAnsi="仿宋" w:eastAsia="仿宋" w:cs="仿宋"/>
                <w:sz w:val="24"/>
                <w:vertAlign w:val="baseline"/>
              </w:rPr>
            </w:pPr>
          </w:p>
        </w:tc>
      </w:tr>
      <w:tr w14:paraId="45122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0CBF65AC">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w:t>
            </w:r>
          </w:p>
        </w:tc>
        <w:tc>
          <w:tcPr>
            <w:tcW w:w="1056" w:type="dxa"/>
            <w:vMerge w:val="continue"/>
            <w:noWrap w:val="0"/>
            <w:vAlign w:val="top"/>
          </w:tcPr>
          <w:p w14:paraId="51FA30E4">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55592484">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测评发现问题整改跟踪不及时</w:t>
            </w:r>
          </w:p>
        </w:tc>
        <w:tc>
          <w:tcPr>
            <w:tcW w:w="1916" w:type="dxa"/>
            <w:noWrap w:val="0"/>
            <w:vAlign w:val="center"/>
          </w:tcPr>
          <w:p w14:paraId="2460308E">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每次扣3分</w:t>
            </w:r>
          </w:p>
        </w:tc>
        <w:tc>
          <w:tcPr>
            <w:tcW w:w="831" w:type="dxa"/>
            <w:noWrap w:val="0"/>
            <w:vAlign w:val="center"/>
          </w:tcPr>
          <w:p w14:paraId="73C25D9F">
            <w:pPr>
              <w:widowControl w:val="0"/>
              <w:jc w:val="center"/>
              <w:rPr>
                <w:rFonts w:hint="eastAsia" w:ascii="仿宋" w:hAnsi="仿宋" w:eastAsia="仿宋" w:cs="仿宋"/>
                <w:sz w:val="24"/>
                <w:vertAlign w:val="baseline"/>
              </w:rPr>
            </w:pPr>
          </w:p>
        </w:tc>
      </w:tr>
      <w:tr w14:paraId="3E23A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6E66F5B5">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w:t>
            </w:r>
          </w:p>
        </w:tc>
        <w:tc>
          <w:tcPr>
            <w:tcW w:w="1056" w:type="dxa"/>
            <w:vMerge w:val="continue"/>
            <w:noWrap w:val="0"/>
            <w:vAlign w:val="top"/>
          </w:tcPr>
          <w:p w14:paraId="7110188A">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5F47EA6D">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未按期提交测评初稿、正式报告</w:t>
            </w:r>
          </w:p>
        </w:tc>
        <w:tc>
          <w:tcPr>
            <w:tcW w:w="1916" w:type="dxa"/>
            <w:noWrap w:val="0"/>
            <w:vAlign w:val="center"/>
          </w:tcPr>
          <w:p w14:paraId="364F6A3F">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每项扣4分</w:t>
            </w:r>
          </w:p>
        </w:tc>
        <w:tc>
          <w:tcPr>
            <w:tcW w:w="831" w:type="dxa"/>
            <w:noWrap w:val="0"/>
            <w:vAlign w:val="center"/>
          </w:tcPr>
          <w:p w14:paraId="2BB140D1">
            <w:pPr>
              <w:widowControl w:val="0"/>
              <w:jc w:val="center"/>
              <w:rPr>
                <w:rFonts w:hint="eastAsia" w:ascii="仿宋" w:hAnsi="仿宋" w:eastAsia="仿宋" w:cs="仿宋"/>
                <w:sz w:val="24"/>
                <w:vertAlign w:val="baseline"/>
              </w:rPr>
            </w:pPr>
          </w:p>
        </w:tc>
      </w:tr>
      <w:tr w14:paraId="43298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517BDA19">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10</w:t>
            </w:r>
          </w:p>
        </w:tc>
        <w:tc>
          <w:tcPr>
            <w:tcW w:w="1056" w:type="dxa"/>
            <w:vMerge w:val="restart"/>
            <w:noWrap w:val="0"/>
            <w:vAlign w:val="center"/>
          </w:tcPr>
          <w:p w14:paraId="1D29F6B3">
            <w:pPr>
              <w:widowControl w:val="0"/>
              <w:jc w:val="center"/>
              <w:rPr>
                <w:rFonts w:hint="eastAsia" w:ascii="仿宋" w:hAnsi="仿宋" w:eastAsia="仿宋" w:cs="仿宋"/>
                <w:sz w:val="24"/>
                <w:vertAlign w:val="baseline"/>
                <w:lang w:val="en-US" w:eastAsia="zh-CN"/>
              </w:rPr>
            </w:pPr>
          </w:p>
          <w:p w14:paraId="2F9F12A4">
            <w:pPr>
              <w:widowControl w:val="0"/>
              <w:jc w:val="center"/>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成果交付</w:t>
            </w:r>
          </w:p>
        </w:tc>
        <w:tc>
          <w:tcPr>
            <w:tcW w:w="3727" w:type="dxa"/>
            <w:noWrap w:val="0"/>
            <w:vAlign w:val="center"/>
          </w:tcPr>
          <w:p w14:paraId="0451B603">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未按要求全维度开展测评（物理、网络、设备、应用、密钥、管理制度等）</w:t>
            </w:r>
          </w:p>
        </w:tc>
        <w:tc>
          <w:tcPr>
            <w:tcW w:w="1916" w:type="dxa"/>
            <w:noWrap w:val="0"/>
            <w:vAlign w:val="center"/>
          </w:tcPr>
          <w:p w14:paraId="5E2574B9">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缺一类扣4分</w:t>
            </w:r>
          </w:p>
        </w:tc>
        <w:tc>
          <w:tcPr>
            <w:tcW w:w="831" w:type="dxa"/>
            <w:noWrap w:val="0"/>
            <w:vAlign w:val="center"/>
          </w:tcPr>
          <w:p w14:paraId="19255A72">
            <w:pPr>
              <w:widowControl w:val="0"/>
              <w:jc w:val="center"/>
              <w:rPr>
                <w:rFonts w:hint="eastAsia" w:ascii="仿宋" w:hAnsi="仿宋" w:eastAsia="仿宋" w:cs="仿宋"/>
                <w:sz w:val="24"/>
                <w:vertAlign w:val="baseline"/>
              </w:rPr>
            </w:pPr>
          </w:p>
        </w:tc>
      </w:tr>
      <w:tr w14:paraId="17F63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3B1A007E">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11</w:t>
            </w:r>
          </w:p>
        </w:tc>
        <w:tc>
          <w:tcPr>
            <w:tcW w:w="1056" w:type="dxa"/>
            <w:vMerge w:val="continue"/>
            <w:noWrap w:val="0"/>
            <w:vAlign w:val="top"/>
          </w:tcPr>
          <w:p w14:paraId="28F3629B">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1346118D">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测评方案、现场记录、缺陷清单、整改跟踪表、正式报告任一缺失</w:t>
            </w:r>
          </w:p>
        </w:tc>
        <w:tc>
          <w:tcPr>
            <w:tcW w:w="1916" w:type="dxa"/>
            <w:noWrap w:val="0"/>
            <w:vAlign w:val="center"/>
          </w:tcPr>
          <w:p w14:paraId="61D0325C">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每项扣4分</w:t>
            </w:r>
          </w:p>
        </w:tc>
        <w:tc>
          <w:tcPr>
            <w:tcW w:w="831" w:type="dxa"/>
            <w:noWrap w:val="0"/>
            <w:vAlign w:val="center"/>
          </w:tcPr>
          <w:p w14:paraId="2B0DC832">
            <w:pPr>
              <w:widowControl w:val="0"/>
              <w:jc w:val="center"/>
              <w:rPr>
                <w:rFonts w:hint="eastAsia" w:ascii="仿宋" w:hAnsi="仿宋" w:eastAsia="仿宋" w:cs="仿宋"/>
                <w:sz w:val="24"/>
                <w:vertAlign w:val="baseline"/>
              </w:rPr>
            </w:pPr>
          </w:p>
        </w:tc>
      </w:tr>
      <w:tr w14:paraId="10252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2A6A86E5">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12</w:t>
            </w:r>
          </w:p>
        </w:tc>
        <w:tc>
          <w:tcPr>
            <w:tcW w:w="1056" w:type="dxa"/>
            <w:vMerge w:val="continue"/>
            <w:noWrap w:val="0"/>
            <w:vAlign w:val="top"/>
          </w:tcPr>
          <w:p w14:paraId="72F2F53E">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0C06977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测评内容覆盖不全，遗漏系统模块、密码应用场景</w:t>
            </w:r>
          </w:p>
        </w:tc>
        <w:tc>
          <w:tcPr>
            <w:tcW w:w="1916" w:type="dxa"/>
            <w:noWrap w:val="0"/>
            <w:vAlign w:val="center"/>
          </w:tcPr>
          <w:p w14:paraId="339C991D">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每项扣3分</w:t>
            </w:r>
          </w:p>
        </w:tc>
        <w:tc>
          <w:tcPr>
            <w:tcW w:w="831" w:type="dxa"/>
            <w:noWrap w:val="0"/>
            <w:vAlign w:val="center"/>
          </w:tcPr>
          <w:p w14:paraId="6CC3ACBE">
            <w:pPr>
              <w:widowControl w:val="0"/>
              <w:jc w:val="center"/>
              <w:rPr>
                <w:rFonts w:hint="eastAsia" w:ascii="仿宋" w:hAnsi="仿宋" w:eastAsia="仿宋" w:cs="仿宋"/>
                <w:sz w:val="24"/>
                <w:vertAlign w:val="baseline"/>
              </w:rPr>
            </w:pPr>
          </w:p>
        </w:tc>
      </w:tr>
      <w:tr w14:paraId="1363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20DD0A0B">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13</w:t>
            </w:r>
          </w:p>
        </w:tc>
        <w:tc>
          <w:tcPr>
            <w:tcW w:w="1056" w:type="dxa"/>
            <w:vMerge w:val="continue"/>
            <w:noWrap w:val="0"/>
            <w:vAlign w:val="top"/>
          </w:tcPr>
          <w:p w14:paraId="18AC5383">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2E2AE1D6">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工程款支付审核不严、未核实工程量与质量</w:t>
            </w:r>
          </w:p>
        </w:tc>
        <w:tc>
          <w:tcPr>
            <w:tcW w:w="1916" w:type="dxa"/>
            <w:noWrap w:val="0"/>
            <w:vAlign w:val="center"/>
          </w:tcPr>
          <w:p w14:paraId="69EEA723">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单次扣4分</w:t>
            </w:r>
          </w:p>
        </w:tc>
        <w:tc>
          <w:tcPr>
            <w:tcW w:w="831" w:type="dxa"/>
            <w:noWrap w:val="0"/>
            <w:vAlign w:val="center"/>
          </w:tcPr>
          <w:p w14:paraId="677AEB13">
            <w:pPr>
              <w:widowControl w:val="0"/>
              <w:jc w:val="center"/>
              <w:rPr>
                <w:rFonts w:hint="eastAsia" w:ascii="仿宋" w:hAnsi="仿宋" w:eastAsia="仿宋" w:cs="仿宋"/>
                <w:sz w:val="24"/>
                <w:vertAlign w:val="baseline"/>
              </w:rPr>
            </w:pPr>
          </w:p>
        </w:tc>
      </w:tr>
      <w:tr w14:paraId="38809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3B5203AF">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14</w:t>
            </w:r>
          </w:p>
        </w:tc>
        <w:tc>
          <w:tcPr>
            <w:tcW w:w="1056" w:type="dxa"/>
            <w:vMerge w:val="continue"/>
            <w:noWrap w:val="0"/>
            <w:vAlign w:val="top"/>
          </w:tcPr>
          <w:p w14:paraId="44E1E57D">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044C0399">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报告内容不客观、测评结论失实</w:t>
            </w:r>
          </w:p>
        </w:tc>
        <w:tc>
          <w:tcPr>
            <w:tcW w:w="1916" w:type="dxa"/>
            <w:noWrap w:val="0"/>
            <w:vAlign w:val="center"/>
          </w:tcPr>
          <w:p w14:paraId="3F35F3A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单次扣8分</w:t>
            </w:r>
          </w:p>
        </w:tc>
        <w:tc>
          <w:tcPr>
            <w:tcW w:w="831" w:type="dxa"/>
            <w:noWrap w:val="0"/>
            <w:vAlign w:val="center"/>
          </w:tcPr>
          <w:p w14:paraId="3BBAC874">
            <w:pPr>
              <w:widowControl w:val="0"/>
              <w:jc w:val="center"/>
              <w:rPr>
                <w:rFonts w:hint="eastAsia" w:ascii="仿宋" w:hAnsi="仿宋" w:eastAsia="仿宋" w:cs="仿宋"/>
                <w:sz w:val="24"/>
                <w:vertAlign w:val="baseline"/>
              </w:rPr>
            </w:pPr>
          </w:p>
        </w:tc>
      </w:tr>
      <w:tr w14:paraId="785A2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66F93C82">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15</w:t>
            </w:r>
          </w:p>
        </w:tc>
        <w:tc>
          <w:tcPr>
            <w:tcW w:w="1056" w:type="dxa"/>
            <w:vMerge w:val="continue"/>
            <w:noWrap w:val="0"/>
            <w:vAlign w:val="top"/>
          </w:tcPr>
          <w:p w14:paraId="0D9EA67E">
            <w:pPr>
              <w:widowControl w:val="0"/>
              <w:jc w:val="left"/>
              <w:rPr>
                <w:rFonts w:hint="eastAsia" w:ascii="仿宋" w:hAnsi="仿宋" w:eastAsia="仿宋" w:cs="仿宋"/>
                <w:sz w:val="24"/>
                <w:vertAlign w:val="baseline"/>
                <w:lang w:val="en-US" w:eastAsia="zh-CN"/>
              </w:rPr>
            </w:pPr>
          </w:p>
        </w:tc>
        <w:tc>
          <w:tcPr>
            <w:tcW w:w="3727" w:type="dxa"/>
            <w:noWrap w:val="0"/>
            <w:vAlign w:val="center"/>
          </w:tcPr>
          <w:p w14:paraId="7E10E200">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未协助甲方完成密码备案回执办理</w:t>
            </w:r>
          </w:p>
        </w:tc>
        <w:tc>
          <w:tcPr>
            <w:tcW w:w="1916" w:type="dxa"/>
            <w:noWrap w:val="0"/>
            <w:vAlign w:val="center"/>
          </w:tcPr>
          <w:p w14:paraId="2AF6BD8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扣5分</w:t>
            </w:r>
          </w:p>
        </w:tc>
        <w:tc>
          <w:tcPr>
            <w:tcW w:w="831" w:type="dxa"/>
            <w:noWrap w:val="0"/>
            <w:vAlign w:val="center"/>
          </w:tcPr>
          <w:p w14:paraId="0CEE488D">
            <w:pPr>
              <w:widowControl w:val="0"/>
              <w:jc w:val="center"/>
              <w:rPr>
                <w:rFonts w:hint="eastAsia" w:ascii="仿宋" w:hAnsi="仿宋" w:eastAsia="仿宋" w:cs="仿宋"/>
                <w:sz w:val="24"/>
                <w:vertAlign w:val="baseline"/>
              </w:rPr>
            </w:pPr>
          </w:p>
        </w:tc>
      </w:tr>
      <w:tr w14:paraId="6AF65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51CBEDB5">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16</w:t>
            </w:r>
          </w:p>
        </w:tc>
        <w:tc>
          <w:tcPr>
            <w:tcW w:w="1056" w:type="dxa"/>
            <w:vMerge w:val="restart"/>
            <w:noWrap w:val="0"/>
            <w:vAlign w:val="center"/>
          </w:tcPr>
          <w:p w14:paraId="7926F83A">
            <w:pPr>
              <w:widowControl w:val="0"/>
              <w:jc w:val="center"/>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问题整改跟踪</w:t>
            </w:r>
          </w:p>
        </w:tc>
        <w:tc>
          <w:tcPr>
            <w:tcW w:w="3727" w:type="dxa"/>
            <w:noWrap w:val="0"/>
            <w:vAlign w:val="center"/>
          </w:tcPr>
          <w:p w14:paraId="369F4DE2">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出具整改意见模糊、无可落地整改方案</w:t>
            </w:r>
          </w:p>
        </w:tc>
        <w:tc>
          <w:tcPr>
            <w:tcW w:w="1916" w:type="dxa"/>
            <w:noWrap w:val="0"/>
            <w:vAlign w:val="center"/>
          </w:tcPr>
          <w:p w14:paraId="6EF37C2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每条扣2分</w:t>
            </w:r>
          </w:p>
        </w:tc>
        <w:tc>
          <w:tcPr>
            <w:tcW w:w="831" w:type="dxa"/>
            <w:noWrap w:val="0"/>
            <w:vAlign w:val="center"/>
          </w:tcPr>
          <w:p w14:paraId="03549861">
            <w:pPr>
              <w:widowControl w:val="0"/>
              <w:jc w:val="center"/>
              <w:rPr>
                <w:rFonts w:hint="eastAsia" w:ascii="仿宋" w:hAnsi="仿宋" w:eastAsia="仿宋" w:cs="仿宋"/>
                <w:sz w:val="24"/>
                <w:vertAlign w:val="baseline"/>
              </w:rPr>
            </w:pPr>
          </w:p>
        </w:tc>
      </w:tr>
      <w:tr w14:paraId="52F43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317B9154">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17</w:t>
            </w:r>
          </w:p>
        </w:tc>
        <w:tc>
          <w:tcPr>
            <w:tcW w:w="1056" w:type="dxa"/>
            <w:vMerge w:val="continue"/>
            <w:noWrap w:val="0"/>
            <w:vAlign w:val="center"/>
          </w:tcPr>
          <w:p w14:paraId="4BDC59CD">
            <w:pPr>
              <w:widowControl w:val="0"/>
              <w:jc w:val="center"/>
              <w:rPr>
                <w:rFonts w:hint="eastAsia" w:ascii="仿宋" w:hAnsi="仿宋" w:eastAsia="仿宋" w:cs="仿宋"/>
                <w:sz w:val="24"/>
                <w:vertAlign w:val="baseline"/>
              </w:rPr>
            </w:pPr>
          </w:p>
        </w:tc>
        <w:tc>
          <w:tcPr>
            <w:tcW w:w="3727" w:type="dxa"/>
            <w:noWrap w:val="0"/>
            <w:vAlign w:val="center"/>
          </w:tcPr>
          <w:p w14:paraId="004B2F93">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未跟踪承建单位整改、未开展复测验证</w:t>
            </w:r>
          </w:p>
        </w:tc>
        <w:tc>
          <w:tcPr>
            <w:tcW w:w="1916" w:type="dxa"/>
            <w:noWrap w:val="0"/>
            <w:vAlign w:val="center"/>
          </w:tcPr>
          <w:p w14:paraId="4089A874">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每项扣3分</w:t>
            </w:r>
          </w:p>
        </w:tc>
        <w:tc>
          <w:tcPr>
            <w:tcW w:w="831" w:type="dxa"/>
            <w:noWrap w:val="0"/>
            <w:vAlign w:val="center"/>
          </w:tcPr>
          <w:p w14:paraId="108AF26E">
            <w:pPr>
              <w:widowControl w:val="0"/>
              <w:jc w:val="center"/>
              <w:rPr>
                <w:rFonts w:hint="eastAsia" w:ascii="仿宋" w:hAnsi="仿宋" w:eastAsia="仿宋" w:cs="仿宋"/>
                <w:sz w:val="24"/>
                <w:vertAlign w:val="baseline"/>
              </w:rPr>
            </w:pPr>
          </w:p>
        </w:tc>
      </w:tr>
      <w:tr w14:paraId="16B67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6F4ED9C9">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18</w:t>
            </w:r>
          </w:p>
        </w:tc>
        <w:tc>
          <w:tcPr>
            <w:tcW w:w="1056" w:type="dxa"/>
            <w:vMerge w:val="continue"/>
            <w:noWrap w:val="0"/>
            <w:vAlign w:val="center"/>
          </w:tcPr>
          <w:p w14:paraId="735B03E3">
            <w:pPr>
              <w:widowControl w:val="0"/>
              <w:jc w:val="center"/>
              <w:rPr>
                <w:rFonts w:hint="eastAsia" w:ascii="仿宋" w:hAnsi="仿宋" w:eastAsia="仿宋" w:cs="仿宋"/>
                <w:sz w:val="24"/>
                <w:vertAlign w:val="baseline"/>
              </w:rPr>
            </w:pPr>
          </w:p>
        </w:tc>
        <w:tc>
          <w:tcPr>
            <w:tcW w:w="3727" w:type="dxa"/>
            <w:noWrap w:val="0"/>
            <w:vAlign w:val="center"/>
          </w:tcPr>
          <w:p w14:paraId="6DB56E43">
            <w:pPr>
              <w:widowControl w:val="0"/>
              <w:jc w:val="left"/>
              <w:rPr>
                <w:rFonts w:hint="eastAsia" w:ascii="仿宋" w:hAnsi="仿宋" w:eastAsia="仿宋" w:cs="仿宋"/>
                <w:sz w:val="24"/>
                <w:vertAlign w:val="baseline"/>
              </w:rPr>
            </w:pPr>
            <w:r>
              <w:rPr>
                <w:rFonts w:hint="eastAsia" w:ascii="仿宋" w:hAnsi="仿宋" w:eastAsia="仿宋" w:cs="仿宋"/>
                <w:sz w:val="24"/>
                <w:vertAlign w:val="baseline"/>
              </w:rPr>
              <w:t>复测仍存在同类密码安全问题</w:t>
            </w:r>
          </w:p>
        </w:tc>
        <w:tc>
          <w:tcPr>
            <w:tcW w:w="1916" w:type="dxa"/>
            <w:noWrap w:val="0"/>
            <w:vAlign w:val="center"/>
          </w:tcPr>
          <w:p w14:paraId="247A91B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每项扣3分</w:t>
            </w:r>
          </w:p>
        </w:tc>
        <w:tc>
          <w:tcPr>
            <w:tcW w:w="831" w:type="dxa"/>
            <w:noWrap w:val="0"/>
            <w:vAlign w:val="center"/>
          </w:tcPr>
          <w:p w14:paraId="51CB79C0">
            <w:pPr>
              <w:widowControl w:val="0"/>
              <w:jc w:val="center"/>
              <w:rPr>
                <w:rFonts w:hint="eastAsia" w:ascii="仿宋" w:hAnsi="仿宋" w:eastAsia="仿宋" w:cs="仿宋"/>
                <w:sz w:val="24"/>
                <w:vertAlign w:val="baseline"/>
              </w:rPr>
            </w:pPr>
          </w:p>
        </w:tc>
      </w:tr>
      <w:tr w14:paraId="0D0E0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4894DFB5">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19</w:t>
            </w:r>
          </w:p>
        </w:tc>
        <w:tc>
          <w:tcPr>
            <w:tcW w:w="1056" w:type="dxa"/>
            <w:vMerge w:val="continue"/>
            <w:noWrap w:val="0"/>
            <w:vAlign w:val="center"/>
          </w:tcPr>
          <w:p w14:paraId="3BF8CF04">
            <w:pPr>
              <w:widowControl w:val="0"/>
              <w:jc w:val="center"/>
              <w:rPr>
                <w:rFonts w:hint="eastAsia" w:ascii="仿宋" w:hAnsi="仿宋" w:eastAsia="仿宋" w:cs="仿宋"/>
                <w:sz w:val="24"/>
                <w:vertAlign w:val="baseline"/>
              </w:rPr>
            </w:pPr>
          </w:p>
        </w:tc>
        <w:tc>
          <w:tcPr>
            <w:tcW w:w="3727" w:type="dxa"/>
            <w:noWrap w:val="0"/>
            <w:vAlign w:val="center"/>
          </w:tcPr>
          <w:p w14:paraId="044AD5BA">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配合甲方迎接主管部门密码核查情况</w:t>
            </w:r>
          </w:p>
        </w:tc>
        <w:tc>
          <w:tcPr>
            <w:tcW w:w="1916" w:type="dxa"/>
            <w:noWrap w:val="0"/>
            <w:vAlign w:val="center"/>
          </w:tcPr>
          <w:p w14:paraId="5B0903B6">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视配合情况扣1-5分</w:t>
            </w:r>
          </w:p>
        </w:tc>
        <w:tc>
          <w:tcPr>
            <w:tcW w:w="831" w:type="dxa"/>
            <w:noWrap w:val="0"/>
            <w:vAlign w:val="center"/>
          </w:tcPr>
          <w:p w14:paraId="3032061C">
            <w:pPr>
              <w:widowControl w:val="0"/>
              <w:jc w:val="center"/>
              <w:rPr>
                <w:rFonts w:hint="eastAsia" w:ascii="仿宋" w:hAnsi="仿宋" w:eastAsia="仿宋" w:cs="仿宋"/>
                <w:sz w:val="24"/>
                <w:vertAlign w:val="baseline"/>
              </w:rPr>
            </w:pPr>
          </w:p>
        </w:tc>
      </w:tr>
      <w:tr w14:paraId="5E394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6F465A7B">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20</w:t>
            </w:r>
          </w:p>
        </w:tc>
        <w:tc>
          <w:tcPr>
            <w:tcW w:w="1056" w:type="dxa"/>
            <w:vMerge w:val="restart"/>
            <w:noWrap w:val="0"/>
            <w:vAlign w:val="center"/>
          </w:tcPr>
          <w:p w14:paraId="69E9CB24">
            <w:pPr>
              <w:widowControl w:val="0"/>
              <w:jc w:val="center"/>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保密、应急与服务保障</w:t>
            </w:r>
          </w:p>
        </w:tc>
        <w:tc>
          <w:tcPr>
            <w:tcW w:w="3727" w:type="dxa"/>
            <w:noWrap w:val="0"/>
            <w:vAlign w:val="center"/>
          </w:tcPr>
          <w:p w14:paraId="61C31AF1">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测评资料、系统敏感数据未加密管控</w:t>
            </w:r>
          </w:p>
        </w:tc>
        <w:tc>
          <w:tcPr>
            <w:tcW w:w="1916" w:type="dxa"/>
            <w:noWrap w:val="0"/>
            <w:vAlign w:val="center"/>
          </w:tcPr>
          <w:p w14:paraId="1110E371">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每次扣3分</w:t>
            </w:r>
          </w:p>
        </w:tc>
        <w:tc>
          <w:tcPr>
            <w:tcW w:w="831" w:type="dxa"/>
            <w:noWrap w:val="0"/>
            <w:vAlign w:val="center"/>
          </w:tcPr>
          <w:p w14:paraId="08C135A7">
            <w:pPr>
              <w:widowControl w:val="0"/>
              <w:jc w:val="center"/>
              <w:rPr>
                <w:rFonts w:hint="eastAsia" w:ascii="仿宋" w:hAnsi="仿宋" w:eastAsia="仿宋" w:cs="仿宋"/>
                <w:sz w:val="24"/>
                <w:vertAlign w:val="baseline"/>
              </w:rPr>
            </w:pPr>
          </w:p>
        </w:tc>
      </w:tr>
      <w:tr w14:paraId="500E0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15747184">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21</w:t>
            </w:r>
          </w:p>
        </w:tc>
        <w:tc>
          <w:tcPr>
            <w:tcW w:w="1056" w:type="dxa"/>
            <w:vMerge w:val="continue"/>
            <w:noWrap w:val="0"/>
            <w:vAlign w:val="center"/>
          </w:tcPr>
          <w:p w14:paraId="5285C728">
            <w:pPr>
              <w:widowControl w:val="0"/>
              <w:jc w:val="center"/>
              <w:rPr>
                <w:rFonts w:hint="eastAsia" w:ascii="仿宋" w:hAnsi="仿宋" w:eastAsia="仿宋" w:cs="仿宋"/>
                <w:sz w:val="24"/>
                <w:vertAlign w:val="baseline"/>
              </w:rPr>
            </w:pPr>
          </w:p>
        </w:tc>
        <w:tc>
          <w:tcPr>
            <w:tcW w:w="3727" w:type="dxa"/>
            <w:noWrap w:val="0"/>
            <w:vAlign w:val="center"/>
          </w:tcPr>
          <w:p w14:paraId="32B967A6">
            <w:pPr>
              <w:widowControl w:val="0"/>
              <w:jc w:val="left"/>
              <w:rPr>
                <w:rFonts w:hint="eastAsia" w:ascii="仿宋" w:hAnsi="仿宋" w:eastAsia="仿宋" w:cs="仿宋"/>
                <w:sz w:val="24"/>
                <w:vertAlign w:val="baseline"/>
                <w:lang w:val="en-US"/>
              </w:rPr>
            </w:pPr>
            <w:r>
              <w:rPr>
                <w:rFonts w:hint="eastAsia" w:ascii="仿宋" w:hAnsi="仿宋" w:eastAsia="仿宋" w:cs="仿宋"/>
                <w:sz w:val="24"/>
                <w:vertAlign w:val="baseline"/>
                <w:lang w:val="en-US"/>
              </w:rPr>
              <w:t>未建立测评安全应急预案，未开展演练</w:t>
            </w:r>
          </w:p>
        </w:tc>
        <w:tc>
          <w:tcPr>
            <w:tcW w:w="1916" w:type="dxa"/>
            <w:noWrap w:val="0"/>
            <w:vAlign w:val="center"/>
          </w:tcPr>
          <w:p w14:paraId="7FD392EF">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扣3分</w:t>
            </w:r>
          </w:p>
        </w:tc>
        <w:tc>
          <w:tcPr>
            <w:tcW w:w="831" w:type="dxa"/>
            <w:noWrap w:val="0"/>
            <w:vAlign w:val="center"/>
          </w:tcPr>
          <w:p w14:paraId="0F17D6D9">
            <w:pPr>
              <w:widowControl w:val="0"/>
              <w:jc w:val="center"/>
              <w:rPr>
                <w:rFonts w:hint="eastAsia" w:ascii="仿宋" w:hAnsi="仿宋" w:eastAsia="仿宋" w:cs="仿宋"/>
                <w:sz w:val="24"/>
                <w:vertAlign w:val="baseline"/>
              </w:rPr>
            </w:pPr>
          </w:p>
        </w:tc>
      </w:tr>
      <w:tr w14:paraId="636F0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2F6203E5">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22</w:t>
            </w:r>
          </w:p>
        </w:tc>
        <w:tc>
          <w:tcPr>
            <w:tcW w:w="1056" w:type="dxa"/>
            <w:vMerge w:val="continue"/>
            <w:noWrap w:val="0"/>
            <w:vAlign w:val="center"/>
          </w:tcPr>
          <w:p w14:paraId="2138F34D">
            <w:pPr>
              <w:widowControl w:val="0"/>
              <w:jc w:val="center"/>
              <w:rPr>
                <w:rFonts w:hint="eastAsia" w:ascii="仿宋" w:hAnsi="仿宋" w:eastAsia="仿宋" w:cs="仿宋"/>
                <w:sz w:val="24"/>
                <w:vertAlign w:val="baseline"/>
              </w:rPr>
            </w:pPr>
          </w:p>
        </w:tc>
        <w:tc>
          <w:tcPr>
            <w:tcW w:w="3727" w:type="dxa"/>
            <w:noWrap w:val="0"/>
            <w:vAlign w:val="center"/>
          </w:tcPr>
          <w:p w14:paraId="0F0945AE">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咨询密码合规问题响应情况</w:t>
            </w:r>
          </w:p>
        </w:tc>
        <w:tc>
          <w:tcPr>
            <w:tcW w:w="1916" w:type="dxa"/>
            <w:noWrap w:val="0"/>
            <w:vAlign w:val="center"/>
          </w:tcPr>
          <w:p w14:paraId="32DE9DDD">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每次响应不及时扣1分</w:t>
            </w:r>
          </w:p>
        </w:tc>
        <w:tc>
          <w:tcPr>
            <w:tcW w:w="831" w:type="dxa"/>
            <w:noWrap w:val="0"/>
            <w:vAlign w:val="center"/>
          </w:tcPr>
          <w:p w14:paraId="24891CA7">
            <w:pPr>
              <w:widowControl w:val="0"/>
              <w:jc w:val="center"/>
              <w:rPr>
                <w:rFonts w:hint="eastAsia" w:ascii="仿宋" w:hAnsi="仿宋" w:eastAsia="仿宋" w:cs="仿宋"/>
                <w:sz w:val="24"/>
                <w:vertAlign w:val="baseline"/>
              </w:rPr>
            </w:pPr>
          </w:p>
        </w:tc>
      </w:tr>
      <w:tr w14:paraId="456A0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989" w:type="dxa"/>
            <w:noWrap w:val="0"/>
            <w:vAlign w:val="center"/>
          </w:tcPr>
          <w:p w14:paraId="7195B244">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23</w:t>
            </w:r>
          </w:p>
        </w:tc>
        <w:tc>
          <w:tcPr>
            <w:tcW w:w="1056" w:type="dxa"/>
            <w:vMerge w:val="continue"/>
            <w:noWrap w:val="0"/>
            <w:vAlign w:val="center"/>
          </w:tcPr>
          <w:p w14:paraId="09AA51A9">
            <w:pPr>
              <w:widowControl w:val="0"/>
              <w:jc w:val="center"/>
              <w:rPr>
                <w:rFonts w:hint="eastAsia" w:ascii="仿宋" w:hAnsi="仿宋" w:eastAsia="仿宋" w:cs="仿宋"/>
                <w:sz w:val="24"/>
                <w:vertAlign w:val="baseline"/>
              </w:rPr>
            </w:pPr>
          </w:p>
        </w:tc>
        <w:tc>
          <w:tcPr>
            <w:tcW w:w="3727" w:type="dxa"/>
            <w:noWrap w:val="0"/>
            <w:vAlign w:val="center"/>
          </w:tcPr>
          <w:p w14:paraId="1DE990A3">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咨询密码合规问题反馈质量情况</w:t>
            </w:r>
          </w:p>
        </w:tc>
        <w:tc>
          <w:tcPr>
            <w:tcW w:w="1916" w:type="dxa"/>
            <w:noWrap w:val="0"/>
            <w:vAlign w:val="center"/>
          </w:tcPr>
          <w:p w14:paraId="17DB3918">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每次未达到于要求扣2分</w:t>
            </w:r>
          </w:p>
        </w:tc>
        <w:tc>
          <w:tcPr>
            <w:tcW w:w="831" w:type="dxa"/>
            <w:noWrap w:val="0"/>
            <w:vAlign w:val="center"/>
          </w:tcPr>
          <w:p w14:paraId="6C2A0EC7">
            <w:pPr>
              <w:widowControl w:val="0"/>
              <w:jc w:val="center"/>
              <w:rPr>
                <w:rFonts w:hint="eastAsia" w:ascii="仿宋" w:hAnsi="仿宋" w:eastAsia="仿宋" w:cs="仿宋"/>
                <w:sz w:val="24"/>
                <w:vertAlign w:val="baseline"/>
              </w:rPr>
            </w:pPr>
          </w:p>
        </w:tc>
      </w:tr>
      <w:tr w14:paraId="5BD8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89" w:type="dxa"/>
            <w:noWrap w:val="0"/>
            <w:vAlign w:val="center"/>
          </w:tcPr>
          <w:p w14:paraId="1E64A129">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24</w:t>
            </w:r>
          </w:p>
        </w:tc>
        <w:tc>
          <w:tcPr>
            <w:tcW w:w="1056" w:type="dxa"/>
            <w:vMerge w:val="restart"/>
            <w:noWrap w:val="0"/>
            <w:vAlign w:val="center"/>
          </w:tcPr>
          <w:p w14:paraId="08A094CA">
            <w:pPr>
              <w:widowControl w:val="0"/>
              <w:jc w:val="center"/>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项目管理与资料归档</w:t>
            </w:r>
          </w:p>
        </w:tc>
        <w:tc>
          <w:tcPr>
            <w:tcW w:w="3727" w:type="dxa"/>
            <w:noWrap w:val="0"/>
            <w:vAlign w:val="center"/>
          </w:tcPr>
          <w:p w14:paraId="35FF3597">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无完整测评组织、质量管控方案</w:t>
            </w:r>
          </w:p>
        </w:tc>
        <w:tc>
          <w:tcPr>
            <w:tcW w:w="1916" w:type="dxa"/>
            <w:noWrap w:val="0"/>
            <w:vAlign w:val="center"/>
          </w:tcPr>
          <w:p w14:paraId="3E96DFA4">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扣2分</w:t>
            </w:r>
          </w:p>
        </w:tc>
        <w:tc>
          <w:tcPr>
            <w:tcW w:w="831" w:type="dxa"/>
            <w:noWrap w:val="0"/>
            <w:vAlign w:val="center"/>
          </w:tcPr>
          <w:p w14:paraId="6B78CC9F">
            <w:pPr>
              <w:widowControl w:val="0"/>
              <w:jc w:val="center"/>
              <w:rPr>
                <w:rFonts w:hint="eastAsia" w:ascii="仿宋" w:hAnsi="仿宋" w:eastAsia="仿宋" w:cs="仿宋"/>
                <w:sz w:val="24"/>
                <w:vertAlign w:val="baseline"/>
              </w:rPr>
            </w:pPr>
          </w:p>
        </w:tc>
      </w:tr>
      <w:tr w14:paraId="1CCAE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89" w:type="dxa"/>
            <w:noWrap w:val="0"/>
            <w:vAlign w:val="center"/>
          </w:tcPr>
          <w:p w14:paraId="7777D34A">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25</w:t>
            </w:r>
          </w:p>
        </w:tc>
        <w:tc>
          <w:tcPr>
            <w:tcW w:w="1056" w:type="dxa"/>
            <w:vMerge w:val="continue"/>
            <w:noWrap w:val="0"/>
            <w:vAlign w:val="center"/>
          </w:tcPr>
          <w:p w14:paraId="6B8C6807">
            <w:pPr>
              <w:widowControl w:val="0"/>
              <w:jc w:val="center"/>
              <w:rPr>
                <w:rFonts w:hint="eastAsia" w:ascii="仿宋" w:hAnsi="仿宋" w:eastAsia="仿宋" w:cs="仿宋"/>
                <w:sz w:val="24"/>
                <w:vertAlign w:val="baseline"/>
              </w:rPr>
            </w:pPr>
          </w:p>
        </w:tc>
        <w:tc>
          <w:tcPr>
            <w:tcW w:w="3727" w:type="dxa"/>
            <w:noWrap w:val="0"/>
            <w:vAlign w:val="center"/>
          </w:tcPr>
          <w:p w14:paraId="1D5C8C6D">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缺少测评全过程纸质和电子底稿</w:t>
            </w:r>
          </w:p>
        </w:tc>
        <w:tc>
          <w:tcPr>
            <w:tcW w:w="1916" w:type="dxa"/>
            <w:noWrap w:val="0"/>
            <w:vAlign w:val="center"/>
          </w:tcPr>
          <w:p w14:paraId="3A4CC5D8">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每份资料缺失扣1分</w:t>
            </w:r>
          </w:p>
        </w:tc>
        <w:tc>
          <w:tcPr>
            <w:tcW w:w="831" w:type="dxa"/>
            <w:noWrap w:val="0"/>
            <w:vAlign w:val="center"/>
          </w:tcPr>
          <w:p w14:paraId="477F6F06">
            <w:pPr>
              <w:widowControl w:val="0"/>
              <w:jc w:val="center"/>
              <w:rPr>
                <w:rFonts w:hint="eastAsia" w:ascii="仿宋" w:hAnsi="仿宋" w:eastAsia="仿宋" w:cs="仿宋"/>
                <w:sz w:val="24"/>
                <w:vertAlign w:val="baseline"/>
              </w:rPr>
            </w:pPr>
          </w:p>
        </w:tc>
      </w:tr>
      <w:tr w14:paraId="50444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989" w:type="dxa"/>
            <w:noWrap w:val="0"/>
            <w:vAlign w:val="center"/>
          </w:tcPr>
          <w:p w14:paraId="19A64016">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26</w:t>
            </w:r>
          </w:p>
        </w:tc>
        <w:tc>
          <w:tcPr>
            <w:tcW w:w="1056" w:type="dxa"/>
            <w:vMerge w:val="continue"/>
            <w:noWrap w:val="0"/>
            <w:vAlign w:val="center"/>
          </w:tcPr>
          <w:p w14:paraId="120AD1BF">
            <w:pPr>
              <w:widowControl w:val="0"/>
              <w:jc w:val="center"/>
              <w:rPr>
                <w:rFonts w:hint="eastAsia" w:ascii="仿宋" w:hAnsi="仿宋" w:eastAsia="仿宋" w:cs="仿宋"/>
                <w:sz w:val="24"/>
                <w:vertAlign w:val="baseline"/>
              </w:rPr>
            </w:pPr>
          </w:p>
        </w:tc>
        <w:tc>
          <w:tcPr>
            <w:tcW w:w="3727" w:type="dxa"/>
            <w:shd w:val="clear" w:color="auto" w:fill="auto"/>
            <w:noWrap w:val="0"/>
            <w:vAlign w:val="center"/>
          </w:tcPr>
          <w:p w14:paraId="72197B9C">
            <w:pPr>
              <w:widowControl w:val="0"/>
              <w:jc w:val="left"/>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vertAlign w:val="baseline"/>
                <w:lang w:val="en-US" w:eastAsia="zh-CN"/>
              </w:rPr>
              <w:t>项目结束未按时完成全套资料归档</w:t>
            </w:r>
          </w:p>
        </w:tc>
        <w:tc>
          <w:tcPr>
            <w:tcW w:w="1916" w:type="dxa"/>
            <w:shd w:val="clear" w:color="auto" w:fill="auto"/>
            <w:noWrap w:val="0"/>
            <w:vAlign w:val="center"/>
          </w:tcPr>
          <w:p w14:paraId="1F7BB8C4">
            <w:pPr>
              <w:widowControl w:val="0"/>
              <w:jc w:val="left"/>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vertAlign w:val="baseline"/>
                <w:lang w:val="en-US" w:eastAsia="zh-CN"/>
              </w:rPr>
              <w:t>扣2分</w:t>
            </w:r>
          </w:p>
        </w:tc>
        <w:tc>
          <w:tcPr>
            <w:tcW w:w="831" w:type="dxa"/>
            <w:noWrap w:val="0"/>
            <w:vAlign w:val="center"/>
          </w:tcPr>
          <w:p w14:paraId="10C6FDAC">
            <w:pPr>
              <w:widowControl w:val="0"/>
              <w:jc w:val="center"/>
              <w:rPr>
                <w:rFonts w:hint="eastAsia" w:ascii="仿宋" w:hAnsi="仿宋" w:eastAsia="仿宋" w:cs="仿宋"/>
                <w:sz w:val="24"/>
                <w:vertAlign w:val="baseline"/>
              </w:rPr>
            </w:pPr>
          </w:p>
        </w:tc>
      </w:tr>
      <w:tr w14:paraId="473A7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89" w:type="dxa"/>
            <w:noWrap w:val="0"/>
            <w:vAlign w:val="center"/>
          </w:tcPr>
          <w:p w14:paraId="7320928D">
            <w:pPr>
              <w:widowControl w:val="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27</w:t>
            </w:r>
          </w:p>
        </w:tc>
        <w:tc>
          <w:tcPr>
            <w:tcW w:w="1056" w:type="dxa"/>
            <w:vMerge w:val="continue"/>
            <w:noWrap w:val="0"/>
            <w:vAlign w:val="center"/>
          </w:tcPr>
          <w:p w14:paraId="73FF1D00">
            <w:pPr>
              <w:widowControl w:val="0"/>
              <w:jc w:val="center"/>
              <w:rPr>
                <w:rFonts w:hint="eastAsia" w:ascii="仿宋" w:hAnsi="仿宋" w:eastAsia="仿宋" w:cs="仿宋"/>
                <w:sz w:val="24"/>
                <w:vertAlign w:val="baseline"/>
              </w:rPr>
            </w:pPr>
          </w:p>
        </w:tc>
        <w:tc>
          <w:tcPr>
            <w:tcW w:w="3727" w:type="dxa"/>
            <w:noWrap w:val="0"/>
            <w:vAlign w:val="center"/>
          </w:tcPr>
          <w:p w14:paraId="2093044C">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项目资料质量不达标</w:t>
            </w:r>
          </w:p>
        </w:tc>
        <w:tc>
          <w:tcPr>
            <w:tcW w:w="1916" w:type="dxa"/>
            <w:noWrap w:val="0"/>
            <w:vAlign w:val="center"/>
          </w:tcPr>
          <w:p w14:paraId="0950F4C3">
            <w:pPr>
              <w:widowControl w:val="0"/>
              <w:jc w:val="left"/>
              <w:rPr>
                <w:rFonts w:hint="eastAsia" w:ascii="仿宋" w:hAnsi="仿宋" w:eastAsia="仿宋" w:cs="仿宋"/>
                <w:sz w:val="24"/>
                <w:vertAlign w:val="baseline"/>
                <w:lang w:val="en-US" w:eastAsia="zh-CN"/>
              </w:rPr>
            </w:pPr>
            <w:r>
              <w:rPr>
                <w:rFonts w:hint="eastAsia" w:ascii="仿宋" w:hAnsi="仿宋" w:eastAsia="仿宋" w:cs="仿宋"/>
                <w:sz w:val="24"/>
                <w:vertAlign w:val="baseline"/>
                <w:lang w:val="en-US" w:eastAsia="zh-CN"/>
              </w:rPr>
              <w:t>每有一处扣1分</w:t>
            </w:r>
          </w:p>
        </w:tc>
        <w:tc>
          <w:tcPr>
            <w:tcW w:w="831" w:type="dxa"/>
            <w:noWrap w:val="0"/>
            <w:vAlign w:val="center"/>
          </w:tcPr>
          <w:p w14:paraId="70B944CE">
            <w:pPr>
              <w:widowControl w:val="0"/>
              <w:jc w:val="center"/>
              <w:rPr>
                <w:rFonts w:hint="eastAsia" w:ascii="仿宋" w:hAnsi="仿宋" w:eastAsia="仿宋" w:cs="仿宋"/>
                <w:sz w:val="24"/>
                <w:vertAlign w:val="baseline"/>
              </w:rPr>
            </w:pPr>
          </w:p>
        </w:tc>
      </w:tr>
      <w:tr w14:paraId="1666B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7688" w:type="dxa"/>
            <w:gridSpan w:val="4"/>
            <w:noWrap w:val="0"/>
            <w:vAlign w:val="center"/>
          </w:tcPr>
          <w:p w14:paraId="48E608B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合计</w:t>
            </w:r>
          </w:p>
        </w:tc>
        <w:tc>
          <w:tcPr>
            <w:tcW w:w="831" w:type="dxa"/>
            <w:noWrap w:val="0"/>
            <w:vAlign w:val="center"/>
          </w:tcPr>
          <w:p w14:paraId="30E96D7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auto"/>
                <w:kern w:val="0"/>
                <w:sz w:val="24"/>
                <w:szCs w:val="24"/>
                <w:lang w:val="en-US" w:eastAsia="zh-Hans" w:bidi="ar-SA"/>
              </w:rPr>
            </w:pPr>
          </w:p>
        </w:tc>
      </w:tr>
    </w:tbl>
    <w:p w14:paraId="791767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三、考核结果及运用</w:t>
      </w:r>
    </w:p>
    <w:p w14:paraId="3A5D79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根据考核标准对服务质量进行考核打分，并按照考核实际得分情况对照绩效考核系数进行尾款支付。绩效考核系数计算方法:</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260A6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shd w:val="clear" w:color="auto" w:fill="D8D8D8"/>
            <w:vAlign w:val="center"/>
          </w:tcPr>
          <w:p w14:paraId="0C997267">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bCs w:val="0"/>
                <w:sz w:val="24"/>
                <w:szCs w:val="24"/>
                <w:vertAlign w:val="baseline"/>
                <w:lang w:val="en-US" w:eastAsia="zh-CN"/>
              </w:rPr>
            </w:pPr>
            <w:r>
              <w:rPr>
                <w:rFonts w:hint="eastAsia" w:ascii="仿宋" w:hAnsi="仿宋" w:eastAsia="仿宋" w:cs="仿宋"/>
                <w:b/>
                <w:bCs w:val="0"/>
                <w:sz w:val="24"/>
                <w:szCs w:val="24"/>
                <w:vertAlign w:val="baseline"/>
                <w:lang w:val="en-US" w:eastAsia="zh-CN"/>
              </w:rPr>
              <w:t>绩效考核得分</w:t>
            </w:r>
          </w:p>
        </w:tc>
        <w:tc>
          <w:tcPr>
            <w:tcW w:w="4261" w:type="dxa"/>
            <w:shd w:val="clear" w:color="auto" w:fill="D8D8D8"/>
            <w:vAlign w:val="center"/>
          </w:tcPr>
          <w:p w14:paraId="30E026D4">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bCs w:val="0"/>
                <w:sz w:val="24"/>
                <w:szCs w:val="24"/>
                <w:vertAlign w:val="baseline"/>
                <w:lang w:val="en-US" w:eastAsia="zh-CN"/>
              </w:rPr>
            </w:pPr>
            <w:r>
              <w:rPr>
                <w:rFonts w:hint="eastAsia" w:ascii="仿宋" w:hAnsi="仿宋" w:eastAsia="仿宋" w:cs="仿宋"/>
                <w:b/>
                <w:bCs w:val="0"/>
                <w:sz w:val="24"/>
                <w:szCs w:val="24"/>
                <w:vertAlign w:val="baseline"/>
                <w:lang w:val="en-US" w:eastAsia="zh-CN"/>
              </w:rPr>
              <w:t>绩效考核系数</w:t>
            </w:r>
          </w:p>
        </w:tc>
      </w:tr>
      <w:tr w14:paraId="5FB5D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0EFC654C">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100～90</w:t>
            </w:r>
          </w:p>
        </w:tc>
        <w:tc>
          <w:tcPr>
            <w:tcW w:w="4261" w:type="dxa"/>
            <w:vAlign w:val="center"/>
          </w:tcPr>
          <w:p w14:paraId="0AA4EBB7">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1.00</w:t>
            </w:r>
          </w:p>
        </w:tc>
      </w:tr>
      <w:tr w14:paraId="0A8A1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157AFA32">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89～80</w:t>
            </w:r>
          </w:p>
        </w:tc>
        <w:tc>
          <w:tcPr>
            <w:tcW w:w="4261" w:type="dxa"/>
            <w:vAlign w:val="center"/>
          </w:tcPr>
          <w:p w14:paraId="66193F3D">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0.89～0.80</w:t>
            </w:r>
          </w:p>
        </w:tc>
      </w:tr>
      <w:tr w14:paraId="45E1D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7EF26997">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79～70</w:t>
            </w:r>
          </w:p>
        </w:tc>
        <w:tc>
          <w:tcPr>
            <w:tcW w:w="4261" w:type="dxa"/>
            <w:vAlign w:val="center"/>
          </w:tcPr>
          <w:p w14:paraId="0026F153">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0.79～0.70</w:t>
            </w:r>
          </w:p>
        </w:tc>
      </w:tr>
      <w:tr w14:paraId="2BB41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17394738">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69～60</w:t>
            </w:r>
          </w:p>
        </w:tc>
        <w:tc>
          <w:tcPr>
            <w:tcW w:w="4261" w:type="dxa"/>
            <w:vAlign w:val="center"/>
          </w:tcPr>
          <w:p w14:paraId="4D7D0FCC">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0.69～0.60</w:t>
            </w:r>
          </w:p>
        </w:tc>
      </w:tr>
      <w:tr w14:paraId="20C3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7115CEBC">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60分以下</w:t>
            </w:r>
          </w:p>
        </w:tc>
        <w:tc>
          <w:tcPr>
            <w:tcW w:w="4261" w:type="dxa"/>
            <w:vAlign w:val="center"/>
          </w:tcPr>
          <w:p w14:paraId="264A9AA1">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0</w:t>
            </w:r>
          </w:p>
        </w:tc>
      </w:tr>
      <w:tr w14:paraId="6E02E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vAlign w:val="center"/>
          </w:tcPr>
          <w:p w14:paraId="4A3C1EF6">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说明:90以上(包含90分)绩效考核系数取1;60～89分绩效考核系数按照考核得分除以100计算;60分以下(不含60分)绩效考核系数为0，不予支付当期尾款，乙方需全面整改并重新考核。</w:t>
            </w:r>
          </w:p>
        </w:tc>
      </w:tr>
    </w:tbl>
    <w:p w14:paraId="7F2B19D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FB6FD4"/>
    <w:rsid w:val="02B437ED"/>
    <w:rsid w:val="2CA8741C"/>
    <w:rsid w:val="79FB6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ull3"/>
    <w:autoRedefine/>
    <w:hidden/>
    <w:qFormat/>
    <w:uiPriority w:val="0"/>
    <w:rPr>
      <w:rFonts w:hint="eastAsia" w:asciiTheme="minorHAnsi" w:hAnsiTheme="minorHAnsi" w:eastAsiaTheme="minorEastAsia" w:cstheme="minorBidi"/>
      <w:lang w:val="en-US" w:eastAsia="zh-Hans" w:bidi="ar-SA"/>
    </w:rPr>
  </w:style>
  <w:style w:type="paragraph" w:customStyle="1" w:styleId="6">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table" w:customStyle="1" w:styleId="7">
    <w:name w:val="网格型1"/>
    <w:basedOn w:val="2"/>
    <w:autoRedefine/>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3200</Words>
  <Characters>3354</Characters>
  <Lines>0</Lines>
  <Paragraphs>0</Paragraphs>
  <TotalTime>0</TotalTime>
  <ScaleCrop>false</ScaleCrop>
  <LinksUpToDate>false</LinksUpToDate>
  <CharactersWithSpaces>3430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2026-09-02T01:43:00Z</dcterms:created>
  <dc:creator>慕妍baby</dc:creator>
  <cp:lastModifiedBy>慕妍baby</cp:lastModifiedBy>
  <dcterms:modified xsi:type="dcterms:W3CDTF">2026-09-02T02:31:32Z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E37D2EEB41E74FF08B0C0ACB226110BE_11</vt:lpwstr>
  </property>
  <property fmtid="{D5CDD505-2E9C-101B-9397-08002B2CF9AE}" pid="4" name="KSOTemplateDocerSaveRecord">
    <vt:lpwstr>eyJoZGlkIjoiNGM5YTEyZDdiZmUwMTU0ZjBjYzY2MWQzZDZhMGY5Y2MiLCJ1c2VySWQiOiI5MzkzMTM1NjYifQ==</vt:lpwstr>
  </property>
</Properties>
</file>