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14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rPr>
          <w:rFonts w:hint="eastAsia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/>
          <w:b/>
          <w:bCs/>
          <w:sz w:val="30"/>
          <w:szCs w:val="30"/>
          <w:lang w:val="en-US" w:eastAsia="zh-CN"/>
        </w:rPr>
        <w:t>神木市城区</w:t>
      </w:r>
      <w:r>
        <w:rPr>
          <w:rFonts w:hint="eastAsia"/>
          <w:b/>
          <w:bCs/>
          <w:sz w:val="30"/>
          <w:szCs w:val="30"/>
          <w:lang w:eastAsia="zh-CN"/>
        </w:rPr>
        <w:t>桥梁</w:t>
      </w:r>
      <w:r>
        <w:rPr>
          <w:rFonts w:hint="eastAsia"/>
          <w:b/>
          <w:bCs/>
          <w:sz w:val="30"/>
          <w:szCs w:val="30"/>
        </w:rPr>
        <w:t>安全风险专项排查工作方案</w:t>
      </w:r>
    </w:p>
    <w:p w14:paraId="7F9E34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宋体" w:hAnsi="宋体" w:eastAsia="宋体" w:cs="宋体"/>
          <w:b/>
          <w:bCs/>
          <w:sz w:val="28"/>
          <w:szCs w:val="28"/>
        </w:rPr>
      </w:pPr>
    </w:p>
    <w:p w14:paraId="287EC4E5">
      <w:pPr>
        <w:pStyle w:val="2"/>
        <w:bidi w:val="0"/>
        <w:rPr>
          <w:rFonts w:hint="default"/>
        </w:rPr>
      </w:pPr>
      <w:r>
        <w:rPr>
          <w:rFonts w:hint="default"/>
        </w:rPr>
        <w:t>一、总体概况</w:t>
      </w:r>
    </w:p>
    <w:p w14:paraId="5C6F282D">
      <w:pPr>
        <w:pStyle w:val="3"/>
        <w:bidi w:val="0"/>
        <w:rPr>
          <w:rFonts w:hint="default"/>
        </w:rPr>
      </w:pPr>
      <w:r>
        <w:rPr>
          <w:rFonts w:hint="default"/>
        </w:rPr>
        <w:t>1.1 编制背景</w:t>
      </w:r>
    </w:p>
    <w:p w14:paraId="5CEDB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辖区多座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市政桥梁</w:t>
      </w:r>
      <w:r>
        <w:rPr>
          <w:rFonts w:hint="default" w:ascii="Times New Roman" w:hAnsi="Times New Roman" w:eastAsia="宋体" w:cs="Times New Roman"/>
          <w:sz w:val="24"/>
          <w:szCs w:val="24"/>
        </w:rPr>
        <w:t>投入运营多年，受车辆振动、雨水侵蚀、温差冻融、行人荷载、车辆撞击等因素影响，易出现混凝土开裂、钢结构锈蚀、栏杆松动、排水堵塞、支座老化失效、墩台沉降倾斜等安全隐患。为落实住建部门城市桥梁安全管理相关工作要求，防范桥梁安全事故，保障群众通行安全，拟组织开展辖区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市政桥梁</w:t>
      </w:r>
      <w:r>
        <w:rPr>
          <w:rFonts w:hint="default" w:ascii="Times New Roman" w:hAnsi="Times New Roman" w:eastAsia="宋体" w:cs="Times New Roman"/>
          <w:sz w:val="24"/>
          <w:szCs w:val="24"/>
        </w:rPr>
        <w:t>全覆盖安全风险专项排查工作。</w:t>
      </w:r>
    </w:p>
    <w:p w14:paraId="36F70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本次排查</w:t>
      </w:r>
      <w:r>
        <w:rPr>
          <w:rFonts w:hint="eastAsia" w:cs="Times New Roman"/>
          <w:sz w:val="24"/>
          <w:szCs w:val="24"/>
          <w:lang w:val="en-US" w:eastAsia="zh-CN"/>
        </w:rPr>
        <w:t>主要工作位</w:t>
      </w:r>
      <w:r>
        <w:rPr>
          <w:rFonts w:hint="default" w:ascii="Times New Roman" w:hAnsi="Times New Roman" w:eastAsia="宋体" w:cs="Times New Roman"/>
          <w:sz w:val="24"/>
          <w:szCs w:val="24"/>
        </w:rPr>
        <w:t>开展外观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+ 简易仪器风险排查（快速全覆盖）</w:t>
      </w:r>
      <w:r>
        <w:rPr>
          <w:rFonts w:hint="eastAsia" w:cs="Times New Roman"/>
          <w:sz w:val="24"/>
          <w:szCs w:val="24"/>
          <w:lang w:eastAsia="zh-CN"/>
        </w:rPr>
        <w:t>。</w:t>
      </w:r>
    </w:p>
    <w:p w14:paraId="125C3340">
      <w:pPr>
        <w:pStyle w:val="3"/>
        <w:bidi w:val="0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1.2 排查范围</w:t>
      </w:r>
    </w:p>
    <w:p w14:paraId="697AB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辖区全部已投用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市政桥梁</w:t>
      </w:r>
      <w:r>
        <w:rPr>
          <w:rFonts w:hint="default" w:ascii="Times New Roman" w:hAnsi="Times New Roman" w:eastAsia="宋体" w:cs="Times New Roman"/>
          <w:sz w:val="24"/>
          <w:szCs w:val="24"/>
        </w:rPr>
        <w:t>，包含混凝土箱梁、板梁、钢桁架天桥，含带电梯无障碍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市政桥梁</w:t>
      </w:r>
      <w:r>
        <w:rPr>
          <w:rFonts w:hint="default" w:ascii="Times New Roman" w:hAnsi="Times New Roman" w:eastAsia="宋体" w:cs="Times New Roman"/>
          <w:sz w:val="24"/>
          <w:szCs w:val="24"/>
        </w:rPr>
        <w:t>，梳理形成桥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梁</w:t>
      </w:r>
      <w:r>
        <w:rPr>
          <w:rFonts w:hint="default" w:ascii="Times New Roman" w:hAnsi="Times New Roman" w:eastAsia="宋体" w:cs="Times New Roman"/>
          <w:sz w:val="24"/>
          <w:szCs w:val="24"/>
        </w:rPr>
        <w:t>清单台账，做到 “一座不漏”。</w:t>
      </w:r>
    </w:p>
    <w:p w14:paraId="2C727A3C">
      <w:pPr>
        <w:pStyle w:val="3"/>
        <w:bidi w:val="0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1.3 工作目标</w:t>
      </w:r>
    </w:p>
    <w:p w14:paraId="76DD5C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通过目视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+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便携式仪器排查，全面摸清各桥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梁</w:t>
      </w:r>
      <w:r>
        <w:rPr>
          <w:rFonts w:hint="default" w:ascii="Times New Roman" w:hAnsi="Times New Roman" w:eastAsia="宋体" w:cs="Times New Roman"/>
          <w:sz w:val="24"/>
          <w:szCs w:val="24"/>
        </w:rPr>
        <w:t>显性病害，识别一般、较大、重大安全隐患，形成隐患清单；对病害桥梁开展技术状况初步判定，区分仅需养护、需专项检测、需立即管控处置三类；落实“一桥一档”，明确整改责任、措施、时限，闭环隐患整治；</w:t>
      </w:r>
    </w:p>
    <w:p w14:paraId="099CA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建立长效巡查复测机制，为后续维修、加固、专项检测提供技术依据。</w:t>
      </w:r>
    </w:p>
    <w:p w14:paraId="15315401">
      <w:pPr>
        <w:pStyle w:val="3"/>
        <w:bidi w:val="0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1.4 编制依据</w:t>
      </w:r>
    </w:p>
    <w:p w14:paraId="2DC7D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1.《城市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市政桥梁</w:t>
      </w:r>
      <w:r>
        <w:rPr>
          <w:rFonts w:hint="default" w:ascii="Times New Roman" w:hAnsi="Times New Roman" w:eastAsia="宋体" w:cs="Times New Roman"/>
          <w:sz w:val="24"/>
          <w:szCs w:val="24"/>
        </w:rPr>
        <w:t>与人行地道技术规范》CJJ 69</w:t>
      </w:r>
    </w:p>
    <w:p w14:paraId="415E9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2.《城市桥梁养护技术标准》CJJ 99‑2017</w:t>
      </w:r>
    </w:p>
    <w:p w14:paraId="60D066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3.《城市桥梁检测与评定技术规范》CJJ/T 233‑2015</w:t>
      </w:r>
    </w:p>
    <w:p w14:paraId="6E3A5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4.《公路桥梁技术状况评定标准》JTG/T H21‑2011</w:t>
      </w:r>
    </w:p>
    <w:p w14:paraId="46A61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5.《公路桥涵养护规范》JTG 5120‑2021</w:t>
      </w:r>
    </w:p>
    <w:p w14:paraId="2EF3B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6.各桥梁原设计、竣工资料（如有）</w:t>
      </w:r>
    </w:p>
    <w:p w14:paraId="45A77458">
      <w:pPr>
        <w:pStyle w:val="2"/>
        <w:bidi w:val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二、工作组织及实施模式</w:t>
      </w:r>
    </w:p>
    <w:p w14:paraId="4C89B253">
      <w:pPr>
        <w:pStyle w:val="3"/>
        <w:bidi w:val="0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2.1 组织架构</w:t>
      </w:r>
    </w:p>
    <w:p w14:paraId="4A15D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˙主管单位：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市</w:t>
      </w:r>
      <w:r>
        <w:rPr>
          <w:rFonts w:hint="default" w:ascii="Times New Roman" w:hAnsi="Times New Roman" w:eastAsia="宋体" w:cs="Times New Roman"/>
          <w:sz w:val="24"/>
          <w:szCs w:val="24"/>
        </w:rPr>
        <w:t>住建局（统筹、协调、成果审核、隐患督办）</w:t>
      </w:r>
    </w:p>
    <w:p w14:paraId="6D620B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˙实施单位：第三方技术服务单位</w:t>
      </w:r>
    </w:p>
    <w:p w14:paraId="273DDD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˙人员配置：项目负责人、技术负责人、现场排查人员、专职安全员，现场作业人员持证上岗。</w:t>
      </w:r>
    </w:p>
    <w:p w14:paraId="14392B45">
      <w:pPr>
        <w:pStyle w:val="3"/>
        <w:bidi w:val="0"/>
        <w:rPr>
          <w:rFonts w:hint="eastAsia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</w:rPr>
        <w:t>2.2 实施推进</w:t>
      </w:r>
      <w:r>
        <w:rPr>
          <w:rFonts w:hint="eastAsia" w:cs="宋体"/>
          <w:lang w:val="en-US" w:eastAsia="zh-CN"/>
        </w:rPr>
        <w:t>计划</w:t>
      </w:r>
    </w:p>
    <w:p w14:paraId="30075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 xml:space="preserve">表1 </w:t>
      </w:r>
      <w:r>
        <w:rPr>
          <w:rFonts w:hint="eastAsia" w:cs="Times New Roman"/>
          <w:b/>
          <w:bCs/>
          <w:sz w:val="24"/>
          <w:szCs w:val="24"/>
          <w:lang w:val="en-US" w:eastAsia="zh-CN"/>
        </w:rPr>
        <w:t>实施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>推进计划表</w:t>
      </w:r>
    </w:p>
    <w:tbl>
      <w:tblPr>
        <w:tblStyle w:val="24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4099"/>
        <w:gridCol w:w="1638"/>
        <w:gridCol w:w="2098"/>
      </w:tblGrid>
      <w:tr w14:paraId="66072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9" w:type="dxa"/>
            <w:tcBorders>
              <w:top w:val="single" w:color="000000" w:sz="6" w:space="0"/>
              <w:left w:val="single" w:color="000000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2B199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  <w:t>工作名称</w:t>
            </w:r>
          </w:p>
        </w:tc>
        <w:tc>
          <w:tcPr>
            <w:tcW w:w="4099" w:type="dxa"/>
            <w:tcBorders>
              <w:top w:val="single" w:color="000000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1B06A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  <w:t>工作内容</w:t>
            </w:r>
          </w:p>
        </w:tc>
        <w:tc>
          <w:tcPr>
            <w:tcW w:w="1638" w:type="dxa"/>
            <w:tcBorders>
              <w:top w:val="single" w:color="000000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6ECAB4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  <w:t>工作周期</w:t>
            </w:r>
          </w:p>
        </w:tc>
        <w:tc>
          <w:tcPr>
            <w:tcW w:w="2098" w:type="dxa"/>
            <w:tcBorders>
              <w:top w:val="single" w:color="000000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618A4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  <w:t>输出成果</w:t>
            </w:r>
          </w:p>
        </w:tc>
      </w:tr>
      <w:tr w14:paraId="5DF85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9" w:type="dxa"/>
            <w:tcBorders>
              <w:top w:val="single" w:color="999999" w:sz="6" w:space="0"/>
              <w:left w:val="single" w:color="000000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7777B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简易风险排查</w:t>
            </w:r>
          </w:p>
        </w:tc>
        <w:tc>
          <w:tcPr>
            <w:tcW w:w="4099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3FD27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肉眼外观 + 便携式仪器全覆盖排查；隐患分级建档；现场拍照记录；形成初步排查报告</w:t>
            </w:r>
          </w:p>
        </w:tc>
        <w:tc>
          <w:tcPr>
            <w:tcW w:w="1638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73884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50-6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0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天</w:t>
            </w:r>
          </w:p>
        </w:tc>
        <w:tc>
          <w:tcPr>
            <w:tcW w:w="2098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auto"/>
            <w:vAlign w:val="center"/>
          </w:tcPr>
          <w:p w14:paraId="0E167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《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市政桥梁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安全风险排查初步报告》、隐患台账、现场影像资料</w:t>
            </w:r>
          </w:p>
        </w:tc>
      </w:tr>
    </w:tbl>
    <w:p w14:paraId="7AB6573D">
      <w:pPr>
        <w:pStyle w:val="2"/>
        <w:bidi w:val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三、主要排查检测内容</w:t>
      </w:r>
    </w:p>
    <w:p w14:paraId="2C94780A">
      <w:pPr>
        <w:pStyle w:val="3"/>
        <w:bidi w:val="0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  <w:lang w:val="en-US" w:eastAsia="zh-CN"/>
        </w:rPr>
        <w:t xml:space="preserve">3.1 </w:t>
      </w:r>
      <w:r>
        <w:rPr>
          <w:rFonts w:hint="default" w:ascii="宋体" w:hAnsi="宋体" w:eastAsia="宋体" w:cs="宋体"/>
        </w:rPr>
        <w:t>简易仪器排查（肉眼 + 便携设备）</w:t>
      </w:r>
    </w:p>
    <w:p w14:paraId="66277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2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仪器配置</w:t>
      </w:r>
      <w:r>
        <w:rPr>
          <w:rFonts w:hint="default" w:ascii="Times New Roman" w:hAnsi="Times New Roman" w:eastAsia="宋体" w:cs="Times New Roman"/>
          <w:sz w:val="24"/>
          <w:szCs w:val="24"/>
        </w:rPr>
        <w:t>：裂缝宽度观测仪、10 倍放大镜、激光测距尺、涂层测厚仪（钢桥）、手持水准仪、测斜靠尺、小铁锤、卷尺、高清相机等。</w:t>
      </w:r>
    </w:p>
    <w:p w14:paraId="2E14E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2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按桥面附属→上部承重结构→支座→下部墩台基础→机电附属设施开展</w:t>
      </w:r>
      <w:r>
        <w:rPr>
          <w:rFonts w:hint="default" w:ascii="Times New Roman" w:hAnsi="Times New Roman" w:eastAsia="宋体" w:cs="Times New Roman"/>
          <w:sz w:val="24"/>
          <w:szCs w:val="24"/>
        </w:rPr>
        <w:t>：</w:t>
      </w:r>
    </w:p>
    <w:p w14:paraId="1AB044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1.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桥面系及梯道无障碍设施：</w:t>
      </w:r>
    </w:p>
    <w:p w14:paraId="070161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铺装裂缝、坑槽剥落；伸缩缝止水条破损、堵塞；泄水孔堵塞、桥面积水；踏步破损、防滑条脱落；栏杆螺栓松动、焊缝开裂、锈蚀、栏杆高度不足；手摇检查牢固度。</w:t>
      </w:r>
    </w:p>
    <w:p w14:paraId="351E6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上部主体结构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:</w:t>
      </w:r>
    </w:p>
    <w:p w14:paraId="4DA32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混凝土桥：梁体横向、斜向、竖向裂缝，混凝土剥落、露筋、锈渍；实测裂缝宽度；敲击排查空鼓蜂窝；区分无害收缩裂缝与受力危险裂缝。</w:t>
      </w:r>
    </w:p>
    <w:p w14:paraId="633408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钢结构桥：涂层起皮脱落、母材锈蚀；焊缝锈蚀、疲劳微裂纹；主梁下挠、侧向扭曲变形；漆膜厚度检测。</w:t>
      </w:r>
    </w:p>
    <w:p w14:paraId="46CDB2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3.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支座系统：</w:t>
      </w:r>
    </w:p>
    <w:p w14:paraId="503802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橡胶支座开裂、鼓胀、脱空、滑移、老化；垫板锈蚀、螺栓松动。</w:t>
      </w:r>
    </w:p>
    <w:p w14:paraId="63906F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4.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下部墩台及基础：</w:t>
      </w:r>
    </w:p>
    <w:p w14:paraId="481911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墩台裂缝、剥落露筋；简易测墩身倾斜；手持水准仪观测不均匀沉降；桥台后背填土流失、锥坡塌陷、基础冲刷掏空；桥下防撞墩破损。</w:t>
      </w:r>
    </w:p>
    <w:p w14:paraId="3F6B0B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5.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机电及附属设施：</w:t>
      </w:r>
    </w:p>
    <w:p w14:paraId="29255E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照明、线路、配电箱；电梯运行、应急按钮；监控避雷；警示标识；外挂支架松动等。</w:t>
      </w:r>
    </w:p>
    <w:p w14:paraId="2D5C88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隐患分级（现场判定）</w:t>
      </w:r>
    </w:p>
    <w:p w14:paraId="2D5C8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一般隐患：</w:t>
      </w:r>
      <w:r>
        <w:rPr>
          <w:rFonts w:hint="default" w:ascii="Times New Roman" w:hAnsi="Times New Roman" w:eastAsia="宋体" w:cs="Times New Roman"/>
          <w:sz w:val="24"/>
          <w:szCs w:val="24"/>
        </w:rPr>
        <w:t>外观破损，不影响结构安全，日常养护处置；7 日内完成。</w:t>
      </w:r>
    </w:p>
    <w:p w14:paraId="6DCB3B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较大隐患</w:t>
      </w:r>
      <w:r>
        <w:rPr>
          <w:rFonts w:hint="default" w:ascii="Times New Roman" w:hAnsi="Times New Roman" w:eastAsia="宋体" w:cs="Times New Roman"/>
          <w:sz w:val="24"/>
          <w:szCs w:val="24"/>
        </w:rPr>
        <w:t>：局部构件损伤，持续发展降低承载力；15 日内维修，同步纳入第二阶段深度检测。</w:t>
      </w:r>
    </w:p>
    <w:p w14:paraId="7716D2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3.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重大安全隐患：</w:t>
      </w:r>
      <w:r>
        <w:rPr>
          <w:rFonts w:hint="default" w:ascii="Times New Roman" w:hAnsi="Times New Roman" w:eastAsia="宋体" w:cs="Times New Roman"/>
          <w:sz w:val="24"/>
          <w:szCs w:val="24"/>
        </w:rPr>
        <w:t>存在构件坠落、垮塌、行人坠落风险；立即局部 / 全桥临时封闭管控，上报主管部门，7 日内启动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深度检测</w:t>
      </w:r>
      <w:r>
        <w:rPr>
          <w:rFonts w:hint="default" w:ascii="Times New Roman" w:hAnsi="Times New Roman" w:eastAsia="宋体" w:cs="Times New Roman"/>
          <w:sz w:val="24"/>
          <w:szCs w:val="24"/>
        </w:rPr>
        <w:t>处置。</w:t>
      </w:r>
    </w:p>
    <w:p w14:paraId="6BEB2A16">
      <w:pPr>
        <w:pStyle w:val="2"/>
        <w:bidi w:val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四、安全保障措施</w:t>
      </w:r>
    </w:p>
    <w:p w14:paraId="2D2E5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sz w:val="24"/>
          <w:szCs w:val="24"/>
        </w:rPr>
        <w:t>现场占道作业提前报备交管部门，设置警示围挡、警示标志，配备专职安全员；高空桥下作业落实防护措施。</w:t>
      </w:r>
    </w:p>
    <w:p w14:paraId="4F72D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sz w:val="24"/>
          <w:szCs w:val="24"/>
        </w:rPr>
        <w:t>检测仪器定期校验，确保数据真实有效；实行项目负责人、技术负责人、审核人三级审核制度。</w:t>
      </w:r>
    </w:p>
    <w:p w14:paraId="45753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3.</w:t>
      </w:r>
      <w:r>
        <w:rPr>
          <w:rFonts w:hint="default" w:ascii="Times New Roman" w:hAnsi="Times New Roman" w:eastAsia="宋体" w:cs="Times New Roman"/>
          <w:sz w:val="24"/>
          <w:szCs w:val="24"/>
        </w:rPr>
        <w:t>应急处置：排查过程中一旦发现重大险情，第一时间设置围挡、限制行人通行，即时上报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主管部门</w:t>
      </w:r>
      <w:r>
        <w:rPr>
          <w:rFonts w:hint="default" w:ascii="Times New Roman" w:hAnsi="Times New Roman" w:eastAsia="宋体" w:cs="Times New Roman"/>
          <w:sz w:val="24"/>
          <w:szCs w:val="24"/>
        </w:rPr>
        <w:t>，不等待完整报告出具。</w:t>
      </w:r>
    </w:p>
    <w:p w14:paraId="66450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z w:val="24"/>
          <w:szCs w:val="24"/>
        </w:rPr>
        <w:t>雨天、大风天气停止桥下高空作业，避开早晚行人高峰开展现场作业。</w:t>
      </w:r>
    </w:p>
    <w:p w14:paraId="36D5C477">
      <w:pPr>
        <w:pStyle w:val="2"/>
        <w:bidi w:val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五、成果输出</w:t>
      </w:r>
    </w:p>
    <w:p w14:paraId="1F513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sz w:val="24"/>
          <w:szCs w:val="24"/>
        </w:rPr>
        <w:t>成果：</w:t>
      </w:r>
    </w:p>
    <w:p w14:paraId="752E7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《</w:t>
      </w:r>
      <w:r>
        <w:rPr>
          <w:rFonts w:hint="eastAsia" w:cs="Times New Roman"/>
          <w:sz w:val="24"/>
          <w:szCs w:val="24"/>
          <w:lang w:val="en-US" w:eastAsia="zh-CN"/>
        </w:rPr>
        <w:t>神木市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市政桥梁</w:t>
      </w:r>
      <w:r>
        <w:rPr>
          <w:rFonts w:hint="default" w:ascii="Times New Roman" w:hAnsi="Times New Roman" w:eastAsia="宋体" w:cs="Times New Roman"/>
          <w:sz w:val="24"/>
          <w:szCs w:val="24"/>
        </w:rPr>
        <w:t>安全风险排查初步报告》；</w:t>
      </w:r>
    </w:p>
    <w:p w14:paraId="4D691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附表 1：单桥排查记录表（每桥一表，含测量数据、病害、风险等级）；</w:t>
      </w:r>
    </w:p>
    <w:p w14:paraId="69FC9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附表 2：隐患整改分解清单（位置、隐患、等级、责任单位、时限、验收标准）；</w:t>
      </w:r>
    </w:p>
    <w:p w14:paraId="54B66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附件：病害现场照片集。</w:t>
      </w:r>
    </w:p>
    <w:p w14:paraId="72ED1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</w:rPr>
        <w:t>统一建立 “一桥一档” 电子档案，包含排查、检测、维修记录，实现病害全周期跟踪。</w:t>
      </w:r>
    </w:p>
    <w:p w14:paraId="AF89045E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</w:rPr>
      </w:pPr>
    </w:p>
    <w:p w14:paraId="7AE1ACEC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</w:rPr>
      </w:pPr>
    </w:p>
    <w:p w14:paraId="728AE57C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</w:rPr>
      </w:pPr>
    </w:p>
    <w:p w14:paraId="2CFB6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3614" w:firstLineChars="1500"/>
        <w:jc w:val="right"/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</w:p>
    <w:p w14:paraId="1AFC81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3614" w:firstLineChars="1500"/>
        <w:jc w:val="right"/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</w:p>
    <w:p w14:paraId="5F900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760" w:firstLineChars="1700"/>
        <w:jc w:val="right"/>
        <w:rPr>
          <w:rFonts w:hint="default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F5555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61AF34">
                          <w:pPr>
                            <w:pStyle w:val="1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AM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61AF34">
                    <w:pPr>
                      <w:pStyle w:val="1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8D3732"/>
    <w:rsid w:val="00CE31B1"/>
    <w:rsid w:val="02E90D84"/>
    <w:rsid w:val="0BCC68EA"/>
    <w:rsid w:val="0D4C35AE"/>
    <w:rsid w:val="11FA1551"/>
    <w:rsid w:val="151C3F4B"/>
    <w:rsid w:val="1D105088"/>
    <w:rsid w:val="23AA13C4"/>
    <w:rsid w:val="23AD7CC4"/>
    <w:rsid w:val="241B0099"/>
    <w:rsid w:val="28B776A0"/>
    <w:rsid w:val="30DA242D"/>
    <w:rsid w:val="37284E0F"/>
    <w:rsid w:val="39DF2EAD"/>
    <w:rsid w:val="3A62265E"/>
    <w:rsid w:val="40D413FB"/>
    <w:rsid w:val="43AD2778"/>
    <w:rsid w:val="499951E6"/>
    <w:rsid w:val="5A664053"/>
    <w:rsid w:val="685A7DE9"/>
    <w:rsid w:val="6B8D3732"/>
    <w:rsid w:val="6F4F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semiHidden="0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iPriority="39" w:name="toc 1"/>
    <w:lsdException w:qFormat="1" w:unhideWhenUsed="0" w:uiPriority="39" w:semiHidden="0" w:name="toc 2"/>
    <w:lsdException w:qFormat="1" w:uiPriority="39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qFormat="1"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qFormat="1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qFormat="1" w:uiPriority="99" w:semiHidden="0" w:name="Body Text First Indent"/>
    <w:lsdException w:unhideWhenUsed="0" w:uiPriority="99" w:semiHidden="0" w:name="Body Text First Indent 2"/>
    <w:lsdException w:qFormat="1" w:unhideWhenUsed="0" w:uiPriority="99" w:semiHidden="0" w:name="Note Heading"/>
    <w:lsdException w:qFormat="1" w:uiPriority="0" w:semiHidden="0" w:name="Body Text 2"/>
    <w:lsdException w:unhideWhenUsed="0" w:uiPriority="99" w:semiHidden="0" w:name="Body Text 3"/>
    <w:lsdException w:qFormat="1" w:unhideWhenUsed="0" w:uiPriority="0" w:semiHidden="0" w:name="Body Text Indent 2"/>
    <w:lsdException w:unhideWhenUsed="0" w:uiPriority="99" w:semiHidden="0" w:name="Body Text Indent 3"/>
    <w:lsdException w:qFormat="1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qFormat="1" w:unhideWhenUsed="0" w:uiPriority="0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keepLines/>
      <w:spacing w:beforeLines="0" w:afterLines="0" w:line="360" w:lineRule="auto"/>
      <w:outlineLvl w:val="0"/>
    </w:pPr>
    <w:rPr>
      <w:rFonts w:ascii="宋体" w:hAnsi="宋体" w:eastAsia="宋体" w:cs="宋体"/>
      <w:b/>
      <w:bCs/>
      <w:kern w:val="44"/>
      <w:sz w:val="28"/>
      <w:szCs w:val="28"/>
    </w:rPr>
  </w:style>
  <w:style w:type="paragraph" w:styleId="3">
    <w:name w:val="heading 2"/>
    <w:basedOn w:val="1"/>
    <w:link w:val="36"/>
    <w:qFormat/>
    <w:uiPriority w:val="0"/>
    <w:pPr>
      <w:keepNext/>
      <w:keepLines/>
      <w:spacing w:beforeLines="0" w:afterLines="0" w:line="360" w:lineRule="auto"/>
      <w:jc w:val="left"/>
      <w:outlineLvl w:val="1"/>
    </w:pPr>
    <w:rPr>
      <w:rFonts w:ascii="宋体" w:hAnsi="宋体" w:eastAsia="宋体" w:cs="宋体"/>
      <w:b/>
      <w:bCs/>
      <w:sz w:val="24"/>
      <w:szCs w:val="24"/>
    </w:rPr>
  </w:style>
  <w:style w:type="paragraph" w:styleId="4">
    <w:name w:val="heading 3"/>
    <w:basedOn w:val="1"/>
    <w:link w:val="35"/>
    <w:qFormat/>
    <w:uiPriority w:val="0"/>
    <w:pPr>
      <w:keepNext/>
      <w:spacing w:line="360" w:lineRule="auto"/>
      <w:ind w:firstLine="0" w:firstLineChars="0"/>
      <w:outlineLvl w:val="2"/>
    </w:pPr>
    <w:rPr>
      <w:rFonts w:ascii="宋体" w:hAnsi="宋体" w:eastAsia="宋体" w:cs="宋体"/>
      <w:b/>
      <w:bCs/>
      <w:sz w:val="24"/>
      <w:szCs w:val="24"/>
    </w:rPr>
  </w:style>
  <w:style w:type="paragraph" w:styleId="5">
    <w:name w:val="heading 4"/>
    <w:basedOn w:val="1"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3"/>
    </w:pPr>
    <w:rPr>
      <w:rFonts w:ascii="宋体" w:hAnsi="宋体" w:eastAsia="宋体" w:cs="宋体"/>
      <w:b/>
      <w:bCs/>
      <w:sz w:val="24"/>
      <w:szCs w:val="24"/>
    </w:rPr>
  </w:style>
  <w:style w:type="paragraph" w:styleId="6">
    <w:name w:val="heading 5"/>
    <w:basedOn w:val="1"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4"/>
    </w:pPr>
    <w:rPr>
      <w:rFonts w:ascii="宋体" w:hAnsi="宋体" w:eastAsia="宋体" w:cs="宋体"/>
      <w:b/>
      <w:bCs/>
      <w:sz w:val="24"/>
      <w:szCs w:val="24"/>
    </w:rPr>
  </w:style>
  <w:style w:type="character" w:default="1" w:styleId="25">
    <w:name w:val="Default Paragraph Font"/>
    <w:semiHidden/>
    <w:qFormat/>
    <w:uiPriority w:val="0"/>
  </w:style>
  <w:style w:type="table" w:default="1" w:styleId="2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te Heading"/>
    <w:basedOn w:val="1"/>
    <w:qFormat/>
    <w:uiPriority w:val="99"/>
    <w:pPr>
      <w:jc w:val="center"/>
    </w:pPr>
  </w:style>
  <w:style w:type="paragraph" w:styleId="8">
    <w:name w:val="Normal Indent"/>
    <w:basedOn w:val="1"/>
    <w:qFormat/>
    <w:uiPriority w:val="99"/>
    <w:pPr>
      <w:autoSpaceDE w:val="0"/>
      <w:autoSpaceDN w:val="0"/>
      <w:adjustRightInd w:val="0"/>
      <w:ind w:firstLine="420"/>
    </w:pPr>
    <w:rPr>
      <w:kern w:val="0"/>
      <w:szCs w:val="21"/>
    </w:rPr>
  </w:style>
  <w:style w:type="paragraph" w:styleId="9">
    <w:name w:val="Body Text"/>
    <w:basedOn w:val="1"/>
    <w:qFormat/>
    <w:uiPriority w:val="0"/>
    <w:pPr>
      <w:spacing w:beforeLines="0" w:afterLines="0"/>
      <w:jc w:val="center"/>
    </w:pPr>
    <w:rPr>
      <w:rFonts w:hint="default"/>
    </w:rPr>
  </w:style>
  <w:style w:type="paragraph" w:styleId="10">
    <w:name w:val="Block Text"/>
    <w:basedOn w:val="1"/>
    <w:unhideWhenUsed/>
    <w:qFormat/>
    <w:uiPriority w:val="99"/>
    <w:pPr>
      <w:ind w:left="1440" w:leftChars="700" w:right="700" w:rightChars="700"/>
    </w:pPr>
  </w:style>
  <w:style w:type="paragraph" w:styleId="11">
    <w:name w:val="toc 3"/>
    <w:basedOn w:val="1"/>
    <w:semiHidden/>
    <w:unhideWhenUsed/>
    <w:qFormat/>
    <w:uiPriority w:val="39"/>
    <w:pPr>
      <w:ind w:left="840" w:leftChars="400"/>
    </w:pPr>
  </w:style>
  <w:style w:type="paragraph" w:styleId="1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3">
    <w:name w:val="Body Text Indent 2"/>
    <w:basedOn w:val="1"/>
    <w:qFormat/>
    <w:uiPriority w:val="0"/>
    <w:pPr>
      <w:spacing w:beforeLines="0" w:afterLines="0" w:line="480" w:lineRule="exact"/>
      <w:ind w:left="-1"/>
    </w:pPr>
    <w:rPr>
      <w:rFonts w:hint="eastAsia"/>
      <w:sz w:val="24"/>
    </w:rPr>
  </w:style>
  <w:style w:type="paragraph" w:styleId="1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</w:rPr>
  </w:style>
  <w:style w:type="paragraph" w:styleId="15">
    <w:name w:val="envelope return"/>
    <w:basedOn w:val="1"/>
    <w:unhideWhenUsed/>
    <w:qFormat/>
    <w:uiPriority w:val="99"/>
    <w:pPr>
      <w:snapToGrid w:val="0"/>
    </w:pPr>
    <w:rPr>
      <w:rFonts w:ascii="等线 Light" w:hAnsi="等线 Light" w:eastAsia="等线 Light" w:cs="Times New Roman"/>
    </w:rPr>
  </w:style>
  <w:style w:type="paragraph" w:styleId="1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7">
    <w:name w:val="toc 1"/>
    <w:basedOn w:val="1"/>
    <w:semiHidden/>
    <w:unhideWhenUsed/>
    <w:qFormat/>
    <w:uiPriority w:val="39"/>
  </w:style>
  <w:style w:type="paragraph" w:styleId="18">
    <w:name w:val="toc 2"/>
    <w:basedOn w:val="1"/>
    <w:qFormat/>
    <w:uiPriority w:val="39"/>
    <w:pPr>
      <w:spacing w:beforeLines="0" w:afterLines="0"/>
      <w:ind w:left="210"/>
      <w:jc w:val="left"/>
    </w:pPr>
    <w:rPr>
      <w:rFonts w:hint="eastAsia" w:ascii="Calibri" w:hAnsi="Calibri"/>
      <w:sz w:val="20"/>
    </w:rPr>
  </w:style>
  <w:style w:type="paragraph" w:styleId="19">
    <w:name w:val="Body Text 2"/>
    <w:basedOn w:val="1"/>
    <w:unhideWhenUsed/>
    <w:qFormat/>
    <w:uiPriority w:val="0"/>
    <w:pPr>
      <w:spacing w:after="120" w:line="480" w:lineRule="auto"/>
    </w:pPr>
  </w:style>
  <w:style w:type="paragraph" w:styleId="2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paragraph" w:styleId="21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hint="eastAsia" w:ascii="宋体" w:hAnsi="宋体"/>
      <w:sz w:val="24"/>
    </w:rPr>
  </w:style>
  <w:style w:type="paragraph" w:styleId="22">
    <w:name w:val="Body Text First Indent"/>
    <w:basedOn w:val="9"/>
    <w:unhideWhenUsed/>
    <w:qFormat/>
    <w:uiPriority w:val="99"/>
    <w:pPr>
      <w:spacing w:before="120"/>
      <w:ind w:firstLine="723" w:firstLineChars="200"/>
      <w:jc w:val="center"/>
    </w:pPr>
    <w:rPr>
      <w:rFonts w:ascii="仿宋_GB2312"/>
      <w:sz w:val="28"/>
      <w:szCs w:val="20"/>
    </w:rPr>
  </w:style>
  <w:style w:type="table" w:styleId="24">
    <w:name w:val="Table Grid"/>
    <w:basedOn w:val="2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6">
    <w:name w:val="正文缩进1"/>
    <w:basedOn w:val="27"/>
    <w:qFormat/>
    <w:uiPriority w:val="0"/>
    <w:pPr>
      <w:ind w:firstLine="420" w:firstLineChars="200"/>
    </w:pPr>
  </w:style>
  <w:style w:type="paragraph" w:customStyle="1" w:styleId="27">
    <w:name w:val="正文_1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28">
    <w:name w:val="font71"/>
    <w:basedOn w:val="25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29">
    <w:name w:val="font61"/>
    <w:basedOn w:val="25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paragraph" w:customStyle="1" w:styleId="30">
    <w:name w:val="目录"/>
    <w:basedOn w:val="1"/>
    <w:qFormat/>
    <w:uiPriority w:val="0"/>
    <w:pPr>
      <w:widowControl/>
      <w:jc w:val="center"/>
    </w:pPr>
    <w:rPr>
      <w:rFonts w:ascii="宋体"/>
      <w:b/>
      <w:kern w:val="0"/>
      <w:sz w:val="36"/>
      <w:szCs w:val="20"/>
    </w:rPr>
  </w:style>
  <w:style w:type="paragraph" w:customStyle="1" w:styleId="3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3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3">
    <w:name w:val="NormalCharacter"/>
    <w:qFormat/>
    <w:uiPriority w:val="0"/>
    <w:rPr>
      <w:rFonts w:hint="eastAsia"/>
      <w:kern w:val="2"/>
      <w:sz w:val="21"/>
      <w:szCs w:val="22"/>
      <w:lang w:val="en-US" w:eastAsia="zh-CN" w:bidi="ar-SA"/>
    </w:rPr>
  </w:style>
  <w:style w:type="paragraph" w:customStyle="1" w:styleId="34">
    <w:name w:val="00封面-宋体加粗"/>
    <w:basedOn w:val="1"/>
    <w:qFormat/>
    <w:uiPriority w:val="0"/>
    <w:pPr>
      <w:spacing w:line="240" w:lineRule="atLeast"/>
      <w:ind w:firstLine="0" w:firstLineChars="0"/>
      <w:jc w:val="center"/>
    </w:pPr>
    <w:rPr>
      <w:rFonts w:hint="eastAsia" w:ascii="黑体" w:hAnsi="黑体" w:cs="黑体"/>
      <w:b/>
      <w:bCs/>
      <w:color w:val="auto"/>
      <w:sz w:val="36"/>
      <w:szCs w:val="32"/>
    </w:rPr>
  </w:style>
  <w:style w:type="character" w:customStyle="1" w:styleId="35">
    <w:name w:val="标题 3 Char"/>
    <w:link w:val="4"/>
    <w:qFormat/>
    <w:uiPriority w:val="0"/>
    <w:rPr>
      <w:rFonts w:ascii="宋体" w:hAnsi="宋体" w:eastAsia="宋体" w:cs="宋体"/>
      <w:b/>
      <w:bCs/>
      <w:sz w:val="24"/>
      <w:szCs w:val="24"/>
    </w:rPr>
  </w:style>
  <w:style w:type="character" w:customStyle="1" w:styleId="36">
    <w:name w:val="标题 2 Char"/>
    <w:link w:val="3"/>
    <w:qFormat/>
    <w:uiPriority w:val="0"/>
    <w:rPr>
      <w:rFonts w:ascii="宋体" w:hAnsi="宋体" w:eastAsia="宋体" w:cs="宋体"/>
      <w:b/>
      <w:bCs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1691</Words>
  <Characters>1774</Characters>
  <Lines>0</Lines>
  <Paragraphs>0</Paragraphs>
  <TotalTime>17</TotalTime>
  <ScaleCrop>false</ScaleCrop>
  <LinksUpToDate>false</LinksUpToDate>
  <CharactersWithSpaces>1807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2026-08-20T02:43:00Z</dcterms:created>
  <dc:creator>大智</dc:creator>
  <cp:lastModifiedBy>陕西众智诚笃项目管理有限公司</cp:lastModifiedBy>
  <dcterms:modified xsi:type="dcterms:W3CDTF">2026-10-15T02:55:09Z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29C01EAB5DA54D789059A186E1507873_13</vt:lpwstr>
  </property>
  <property fmtid="{D5CDD505-2E9C-101B-9397-08002B2CF9AE}" pid="4" name="KSOTemplateDocerSaveRecord">
    <vt:lpwstr>eyJoZGlkIjoiOTYyNWFkY2EyNDQ3YmRhOTAzNWVkYTU0YjBhMDNkZjQiLCJ1c2VySWQiOiI1MTIwMDI2MDUifQ==</vt:lpwstr>
  </property>
</Properties>
</file>